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B1" w:rsidRPr="00AB05DA" w:rsidRDefault="00D341B1" w:rsidP="00370652">
      <w:pPr>
        <w:pStyle w:val="Antrat1"/>
        <w:numPr>
          <w:ilvl w:val="0"/>
          <w:numId w:val="34"/>
        </w:numPr>
        <w:jc w:val="center"/>
        <w:rPr>
          <w:rFonts w:ascii="Times New Roman" w:hAnsi="Times New Roman"/>
          <w:sz w:val="28"/>
          <w:szCs w:val="28"/>
        </w:rPr>
      </w:pPr>
      <w:bookmarkStart w:id="0" w:name="_Toc289359831"/>
      <w:bookmarkStart w:id="1" w:name="_Toc289360425"/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2011 metų  I ketv. Finansinių ataskaitų rinkinio aiškinamasis raštas</w:t>
      </w:r>
      <w:bookmarkEnd w:id="0"/>
      <w:bookmarkEnd w:id="1"/>
    </w:p>
    <w:p w:rsidR="00D341B1" w:rsidRPr="00026A15" w:rsidRDefault="00D341B1" w:rsidP="00370652">
      <w:pPr>
        <w:jc w:val="center"/>
        <w:rPr>
          <w:rFonts w:ascii="Times New Roman" w:hAnsi="Times New Roman"/>
          <w:b/>
        </w:rPr>
      </w:pPr>
      <w:r w:rsidRPr="00026A15">
        <w:rPr>
          <w:rFonts w:ascii="Times New Roman" w:hAnsi="Times New Roman"/>
          <w:b/>
        </w:rPr>
        <w:t>Prie 201</w:t>
      </w:r>
      <w:r>
        <w:rPr>
          <w:rFonts w:ascii="Times New Roman" w:hAnsi="Times New Roman"/>
          <w:b/>
        </w:rPr>
        <w:t>1</w:t>
      </w:r>
      <w:r w:rsidRPr="00026A15">
        <w:rPr>
          <w:rFonts w:ascii="Times New Roman" w:hAnsi="Times New Roman"/>
          <w:b/>
        </w:rPr>
        <w:t xml:space="preserve"> m. </w:t>
      </w:r>
      <w:r>
        <w:rPr>
          <w:rFonts w:ascii="Times New Roman" w:hAnsi="Times New Roman"/>
          <w:b/>
        </w:rPr>
        <w:t>kovo</w:t>
      </w:r>
      <w:r w:rsidRPr="00026A15">
        <w:rPr>
          <w:rFonts w:ascii="Times New Roman" w:hAnsi="Times New Roman"/>
          <w:b/>
        </w:rPr>
        <w:t xml:space="preserve"> mėn. 31 d. finansinių ataskaitų</w:t>
      </w:r>
    </w:p>
    <w:p w:rsidR="00D341B1" w:rsidRPr="00026A15" w:rsidRDefault="00D341B1" w:rsidP="00370652">
      <w:pPr>
        <w:jc w:val="center"/>
        <w:rPr>
          <w:rFonts w:ascii="Times New Roman" w:hAnsi="Times New Roman"/>
        </w:rPr>
      </w:pPr>
    </w:p>
    <w:p w:rsidR="00D341B1" w:rsidRDefault="00D341B1" w:rsidP="00370652">
      <w:pPr>
        <w:numPr>
          <w:ilvl w:val="0"/>
          <w:numId w:val="31"/>
        </w:numPr>
        <w:rPr>
          <w:rFonts w:ascii="Times New Roman" w:hAnsi="Times New Roman"/>
          <w:b/>
        </w:rPr>
      </w:pPr>
      <w:r w:rsidRPr="00026A15">
        <w:rPr>
          <w:rFonts w:ascii="Times New Roman" w:hAnsi="Times New Roman"/>
          <w:b/>
        </w:rPr>
        <w:t xml:space="preserve">Bendroji </w:t>
      </w:r>
      <w:r>
        <w:rPr>
          <w:rFonts w:ascii="Times New Roman" w:hAnsi="Times New Roman"/>
          <w:b/>
        </w:rPr>
        <w:t>dalis</w:t>
      </w:r>
    </w:p>
    <w:p w:rsidR="00D341B1" w:rsidRPr="00BD6355" w:rsidRDefault="00D341B1" w:rsidP="00370652">
      <w:pPr>
        <w:ind w:left="360"/>
        <w:rPr>
          <w:rFonts w:ascii="Times New Roman" w:hAnsi="Times New Roman"/>
          <w:b/>
          <w:sz w:val="6"/>
          <w:szCs w:val="6"/>
        </w:rPr>
      </w:pP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622128">
        <w:rPr>
          <w:rFonts w:ascii="Times New Roman" w:hAnsi="Times New Roman"/>
        </w:rPr>
        <w:t>Viešoji</w:t>
      </w:r>
      <w:r>
        <w:rPr>
          <w:rFonts w:ascii="Times New Roman" w:hAnsi="Times New Roman"/>
        </w:rPr>
        <w:t xml:space="preserve"> </w:t>
      </w:r>
      <w:r w:rsidRPr="00622128">
        <w:rPr>
          <w:rFonts w:ascii="Times New Roman" w:hAnsi="Times New Roman"/>
        </w:rPr>
        <w:t xml:space="preserve"> įstaiga </w:t>
      </w:r>
      <w:r>
        <w:rPr>
          <w:rFonts w:ascii="Times New Roman" w:hAnsi="Times New Roman"/>
        </w:rPr>
        <w:t>Kauno šv. Mato vidurinė mokykla (toliau – „</w:t>
      </w:r>
      <w:r w:rsidRPr="00622128">
        <w:rPr>
          <w:rFonts w:ascii="Times New Roman" w:hAnsi="Times New Roman"/>
        </w:rPr>
        <w:t xml:space="preserve">Įstaiga“) yra </w:t>
      </w:r>
      <w:r>
        <w:rPr>
          <w:rFonts w:ascii="Times New Roman" w:hAnsi="Times New Roman"/>
        </w:rPr>
        <w:t>mokinių ugdymo bei švietimo ir mokslo veiklą vykdanti įstaiga, įregistruota juridinių asmenų registre 2005 m. rugpjūčio 31d., registracijos Nr. 075853, įmonės kodas 19013525, steigėjas – Kauno miesto savivaldybės taryba, kodas 188691967, Laisvės al. 96, LT-44251 Kaunas.</w:t>
      </w: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Įstaiga filial</w:t>
      </w:r>
      <w:r>
        <w:rPr>
          <w:rFonts w:ascii="Times New Roman" w:hAnsi="Times New Roman"/>
        </w:rPr>
        <w:t>ų neturi.</w:t>
      </w:r>
      <w:r w:rsidRPr="00026A15">
        <w:rPr>
          <w:rFonts w:ascii="Times New Roman" w:hAnsi="Times New Roman"/>
        </w:rPr>
        <w:t xml:space="preserve"> </w:t>
      </w: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Įstaiga kontroliuojamų, asocijuotų ir kitų subjektų neturi.</w:t>
      </w:r>
    </w:p>
    <w:p w:rsidR="00D341B1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 xml:space="preserve">Įstaigos pagrindinė veikla – </w:t>
      </w:r>
      <w:r>
        <w:rPr>
          <w:rFonts w:ascii="Times New Roman" w:hAnsi="Times New Roman"/>
        </w:rPr>
        <w:t>švietimas.</w:t>
      </w:r>
    </w:p>
    <w:p w:rsidR="00D341B1" w:rsidRDefault="00D341B1" w:rsidP="003F6A8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Mokykla biologinio turto neturi.</w:t>
      </w: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F015D7">
        <w:rPr>
          <w:rFonts w:ascii="Times New Roman" w:hAnsi="Times New Roman"/>
        </w:rPr>
        <w:t>Įstaigos metines finansines ataskaitas tvirtina visuotinis dalininkų susirinkimas.</w:t>
      </w: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Vidutinis darbuotojų skaičius</w:t>
      </w:r>
      <w:r>
        <w:rPr>
          <w:rFonts w:ascii="Times New Roman" w:hAnsi="Times New Roman"/>
        </w:rPr>
        <w:t>:</w:t>
      </w:r>
      <w:r w:rsidRPr="00026A15">
        <w:rPr>
          <w:rFonts w:ascii="Times New Roman" w:hAnsi="Times New Roman"/>
        </w:rPr>
        <w:t xml:space="preserve"> per ataskaitin</w:t>
      </w:r>
      <w:r>
        <w:rPr>
          <w:rFonts w:ascii="Times New Roman" w:hAnsi="Times New Roman"/>
        </w:rPr>
        <w:t>į</w:t>
      </w:r>
      <w:r w:rsidRPr="00026A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laikotarpį</w:t>
      </w:r>
      <w:r w:rsidRPr="00026A15">
        <w:rPr>
          <w:rFonts w:ascii="Times New Roman" w:hAnsi="Times New Roman"/>
        </w:rPr>
        <w:t xml:space="preserve"> buvo </w:t>
      </w:r>
      <w:r>
        <w:rPr>
          <w:rFonts w:ascii="Times New Roman" w:hAnsi="Times New Roman"/>
        </w:rPr>
        <w:t>99</w:t>
      </w:r>
      <w:r w:rsidRPr="00026A15">
        <w:rPr>
          <w:rFonts w:ascii="Times New Roman" w:hAnsi="Times New Roman"/>
        </w:rPr>
        <w:t xml:space="preserve"> darbuotojai.</w:t>
      </w: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Įstaigos finansiniai metai sutampa su kalendoriniais metais.</w:t>
      </w: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Įstaiga rengia žemesniojo lygio finansines ataskaitas.</w:t>
      </w:r>
    </w:p>
    <w:p w:rsidR="00D341B1" w:rsidRPr="00026A15" w:rsidRDefault="00D341B1" w:rsidP="00370652">
      <w:pPr>
        <w:jc w:val="both"/>
        <w:rPr>
          <w:rFonts w:ascii="Times New Roman" w:hAnsi="Times New Roman"/>
        </w:rPr>
      </w:pPr>
    </w:p>
    <w:p w:rsidR="00D341B1" w:rsidRDefault="00D341B1" w:rsidP="00370652">
      <w:pPr>
        <w:numPr>
          <w:ilvl w:val="0"/>
          <w:numId w:val="31"/>
        </w:numPr>
        <w:rPr>
          <w:rFonts w:ascii="Times New Roman" w:hAnsi="Times New Roman"/>
          <w:b/>
        </w:rPr>
      </w:pPr>
      <w:r w:rsidRPr="00026A15">
        <w:rPr>
          <w:rFonts w:ascii="Times New Roman" w:hAnsi="Times New Roman"/>
          <w:b/>
        </w:rPr>
        <w:t>Apskaitos politika</w:t>
      </w:r>
    </w:p>
    <w:p w:rsidR="00D341B1" w:rsidRPr="00BD6355" w:rsidRDefault="00D341B1" w:rsidP="00370652">
      <w:pPr>
        <w:ind w:left="360"/>
        <w:rPr>
          <w:rFonts w:ascii="Times New Roman" w:hAnsi="Times New Roman"/>
          <w:b/>
          <w:sz w:val="6"/>
          <w:szCs w:val="6"/>
        </w:rPr>
      </w:pP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Rengiant 201</w:t>
      </w:r>
      <w:r>
        <w:rPr>
          <w:rFonts w:ascii="Times New Roman" w:hAnsi="Times New Roman"/>
        </w:rPr>
        <w:t>1</w:t>
      </w:r>
      <w:r w:rsidRPr="00026A15">
        <w:rPr>
          <w:rFonts w:ascii="Times New Roman" w:hAnsi="Times New Roman"/>
        </w:rPr>
        <w:t xml:space="preserve"> metų finansines ataskaitas</w:t>
      </w:r>
      <w:r>
        <w:rPr>
          <w:rFonts w:ascii="Times New Roman" w:hAnsi="Times New Roman"/>
        </w:rPr>
        <w:t>,</w:t>
      </w:r>
      <w:r w:rsidRPr="00026A15">
        <w:rPr>
          <w:rFonts w:ascii="Times New Roman" w:hAnsi="Times New Roman"/>
        </w:rPr>
        <w:t xml:space="preserve"> vadovautasi šiais privalomais bendraisiais apskaitos principais: subjekto, įstaigos veiklos tęstinumo, periodiškumo, pastovumo, piniginio mato, kaupimo, palyginimo, atsargumo, neutralumo ir turinio svarbos.</w:t>
      </w:r>
    </w:p>
    <w:p w:rsidR="00D341B1" w:rsidRPr="00AB5802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 xml:space="preserve">Perėjimo VSAFAS dienai, įstaiga inventorizavo visą turtą ir įsipareigojimus pagal Vyriausybės patvirtintas Inventorizacijos taisykles ir atliko visas reikiamas procedūras, nustatytas 2009 m. liepos 10 d. Finansų </w:t>
      </w:r>
      <w:r w:rsidRPr="00F015D7">
        <w:rPr>
          <w:rFonts w:ascii="Times New Roman" w:hAnsi="Times New Roman"/>
        </w:rPr>
        <w:t>ministro įsakymu Nr.1K-223 patvirtintame Viešojo sektoriaus</w:t>
      </w:r>
      <w:r w:rsidRPr="00026A15">
        <w:rPr>
          <w:rFonts w:ascii="Times New Roman" w:hAnsi="Times New Roman"/>
        </w:rPr>
        <w:t xml:space="preserve"> subjektų kontroliuojamų sveikatos priežiūros įstaigų buhalterinių sąskaitų likučių perkėlimo tvarkos apraše. Tokiu būdu</w:t>
      </w:r>
      <w:r>
        <w:rPr>
          <w:rFonts w:ascii="Times New Roman" w:hAnsi="Times New Roman"/>
        </w:rPr>
        <w:t>,</w:t>
      </w:r>
      <w:r w:rsidRPr="00026A15">
        <w:rPr>
          <w:rFonts w:ascii="Times New Roman" w:hAnsi="Times New Roman"/>
        </w:rPr>
        <w:t xml:space="preserve"> pradiniai finansinės būklės ataskaitos straipsnių likučiai buvo apskaičiuoti pagal VSAFAS reikalavimus</w:t>
      </w:r>
      <w:r w:rsidRPr="00AB5802">
        <w:rPr>
          <w:rFonts w:ascii="Times New Roman" w:hAnsi="Times New Roman"/>
        </w:rPr>
        <w:t>. Kokią įtaką turėjo perėjimas nuo ankščiau taikytos apskaitos politikos prie VSAFAS finansinės būklės ataskaitoje pateikiamai informacijai</w:t>
      </w:r>
      <w:r>
        <w:rPr>
          <w:rFonts w:ascii="Times New Roman" w:hAnsi="Times New Roman"/>
        </w:rPr>
        <w:t>,</w:t>
      </w:r>
      <w:r w:rsidRPr="00AB5802">
        <w:rPr>
          <w:rFonts w:ascii="Times New Roman" w:hAnsi="Times New Roman"/>
        </w:rPr>
        <w:t xml:space="preserve"> nurodyta pastabose (1 lentelė).</w:t>
      </w:r>
    </w:p>
    <w:p w:rsidR="00D341B1" w:rsidRDefault="00D341B1" w:rsidP="00370652">
      <w:pPr>
        <w:jc w:val="both"/>
        <w:rPr>
          <w:rFonts w:ascii="Times New Roman" w:hAnsi="Times New Roman"/>
        </w:rPr>
      </w:pPr>
      <w:r w:rsidRPr="00AB5802">
        <w:rPr>
          <w:rFonts w:ascii="Times New Roman" w:hAnsi="Times New Roman"/>
        </w:rPr>
        <w:tab/>
        <w:t>Apskaitos politika, pagal 23 VSAFAS reikalavimus, už pirmojo ketvirčio laikotarpį (tarpinėse ataskaitose) neteikiama.</w:t>
      </w:r>
    </w:p>
    <w:p w:rsidR="00D341B1" w:rsidRPr="00026A15" w:rsidRDefault="00D341B1" w:rsidP="00370652">
      <w:pPr>
        <w:jc w:val="both"/>
        <w:rPr>
          <w:rFonts w:ascii="Times New Roman" w:hAnsi="Times New Roman"/>
        </w:rPr>
      </w:pPr>
    </w:p>
    <w:p w:rsidR="00D341B1" w:rsidRPr="00026A15" w:rsidRDefault="00D341B1" w:rsidP="00370652">
      <w:pPr>
        <w:ind w:left="660"/>
        <w:rPr>
          <w:rFonts w:ascii="Times New Roman" w:hAnsi="Times New Roman"/>
          <w:b/>
        </w:rPr>
      </w:pPr>
      <w:r w:rsidRPr="00026A15">
        <w:rPr>
          <w:rFonts w:ascii="Times New Roman" w:hAnsi="Times New Roman"/>
          <w:b/>
        </w:rPr>
        <w:t>2.1.  Finansinių ataskaitų forma</w:t>
      </w:r>
    </w:p>
    <w:p w:rsidR="00D341B1" w:rsidRPr="00026A15" w:rsidRDefault="00D341B1" w:rsidP="00370652">
      <w:pPr>
        <w:rPr>
          <w:rFonts w:ascii="Times New Roman" w:hAnsi="Times New Roman"/>
        </w:rPr>
      </w:pPr>
      <w:r w:rsidRPr="00026A15">
        <w:rPr>
          <w:rFonts w:ascii="Times New Roman" w:hAnsi="Times New Roman"/>
        </w:rPr>
        <w:t xml:space="preserve"> </w:t>
      </w: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Šios finansinės ataskaitos yra parengtos pagal 201</w:t>
      </w:r>
      <w:r>
        <w:rPr>
          <w:rFonts w:ascii="Times New Roman" w:hAnsi="Times New Roman"/>
        </w:rPr>
        <w:t>1</w:t>
      </w:r>
      <w:r w:rsidRPr="00026A15">
        <w:rPr>
          <w:rFonts w:ascii="Times New Roman" w:hAnsi="Times New Roman"/>
        </w:rPr>
        <w:t xml:space="preserve"> m. </w:t>
      </w:r>
      <w:r>
        <w:rPr>
          <w:rFonts w:ascii="Times New Roman" w:hAnsi="Times New Roman"/>
        </w:rPr>
        <w:t>kovo 31</w:t>
      </w:r>
      <w:r w:rsidRPr="00026A15">
        <w:rPr>
          <w:rFonts w:ascii="Times New Roman" w:hAnsi="Times New Roman"/>
        </w:rPr>
        <w:t xml:space="preserve"> d. galiojusį Lietuvos Respublikos Buhalterinės apskaitos įstatymą, Lietuvos Respublikos viešojo sektoriaus atskaitomybės įstatymą, Viešojo sektoriaus apskaitos ir finansinės atskaitomybės standartus (VSAFAS).</w:t>
      </w:r>
    </w:p>
    <w:p w:rsidR="00D341B1" w:rsidRPr="00026A15" w:rsidRDefault="00D341B1" w:rsidP="00370652">
      <w:pPr>
        <w:rPr>
          <w:rFonts w:ascii="Times New Roman" w:hAnsi="Times New Roman"/>
        </w:rPr>
      </w:pPr>
    </w:p>
    <w:p w:rsidR="00D341B1" w:rsidRPr="00026A15" w:rsidRDefault="00D341B1" w:rsidP="00370652">
      <w:pPr>
        <w:numPr>
          <w:ilvl w:val="1"/>
          <w:numId w:val="32"/>
        </w:numPr>
        <w:rPr>
          <w:rFonts w:ascii="Times New Roman" w:hAnsi="Times New Roman"/>
          <w:b/>
        </w:rPr>
      </w:pPr>
      <w:r w:rsidRPr="00026A15">
        <w:rPr>
          <w:rFonts w:ascii="Times New Roman" w:hAnsi="Times New Roman"/>
          <w:b/>
        </w:rPr>
        <w:t>Finansinių ataskaitų valiuta</w:t>
      </w:r>
    </w:p>
    <w:p w:rsidR="00D341B1" w:rsidRPr="00026A15" w:rsidRDefault="00D341B1" w:rsidP="00370652">
      <w:pPr>
        <w:rPr>
          <w:rFonts w:ascii="Times New Roman" w:hAnsi="Times New Roman"/>
        </w:rPr>
      </w:pP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Šiose finansinėse ataskaitose visos sumos yra pateiktos Lietuvos Respublikos nacionaline valiuta, litais</w:t>
      </w:r>
      <w:r>
        <w:rPr>
          <w:rFonts w:ascii="Times New Roman" w:hAnsi="Times New Roman"/>
        </w:rPr>
        <w:t>.</w:t>
      </w:r>
    </w:p>
    <w:p w:rsidR="00D341B1" w:rsidRDefault="00D341B1" w:rsidP="00370652">
      <w:pPr>
        <w:rPr>
          <w:rFonts w:ascii="Times New Roman" w:hAnsi="Times New Roman"/>
        </w:rPr>
      </w:pPr>
    </w:p>
    <w:p w:rsidR="00D341B1" w:rsidRPr="00026A15" w:rsidRDefault="00D341B1" w:rsidP="00370652">
      <w:pPr>
        <w:numPr>
          <w:ilvl w:val="1"/>
          <w:numId w:val="32"/>
        </w:numPr>
        <w:jc w:val="both"/>
        <w:rPr>
          <w:rFonts w:ascii="Times New Roman" w:hAnsi="Times New Roman"/>
          <w:b/>
        </w:rPr>
      </w:pPr>
      <w:r w:rsidRPr="00026A15">
        <w:rPr>
          <w:rFonts w:ascii="Times New Roman" w:hAnsi="Times New Roman"/>
        </w:rPr>
        <w:t xml:space="preserve">  </w:t>
      </w:r>
      <w:r w:rsidRPr="00026A15">
        <w:rPr>
          <w:rFonts w:ascii="Times New Roman" w:hAnsi="Times New Roman"/>
          <w:b/>
        </w:rPr>
        <w:t>Finansavimo sumos</w:t>
      </w:r>
    </w:p>
    <w:p w:rsidR="00D341B1" w:rsidRPr="00026A15" w:rsidRDefault="00D341B1" w:rsidP="00370652">
      <w:pPr>
        <w:jc w:val="both"/>
        <w:rPr>
          <w:rFonts w:ascii="Times New Roman" w:hAnsi="Times New Roman"/>
        </w:rPr>
      </w:pP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Finansavimo sumos - tai iš valstybės ir savivaldybės biudžetų, kitų šaltinių gauti arba gautini pinigai arba kitas turtas. Finansavimo sumos apima gautus arba gautinus pinigus ir kaip paramą gautą turtą.</w:t>
      </w:r>
    </w:p>
    <w:p w:rsidR="00D341B1" w:rsidRPr="00026A15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t>Gautos (gautinos) ir panaudotos finansavimo sumos arba jų dalis pripažįstamos finansavimo pajamomis tais laikotarpiais, kuriais parodomos su finansavimo sumomis susijusios sąnaudos.</w:t>
      </w:r>
    </w:p>
    <w:p w:rsidR="00D341B1" w:rsidRPr="00AB5802" w:rsidRDefault="00D341B1" w:rsidP="00370652">
      <w:pPr>
        <w:ind w:firstLine="567"/>
        <w:jc w:val="both"/>
        <w:rPr>
          <w:rFonts w:ascii="Times New Roman" w:hAnsi="Times New Roman"/>
        </w:rPr>
      </w:pPr>
      <w:r w:rsidRPr="00026A15">
        <w:rPr>
          <w:rFonts w:ascii="Times New Roman" w:hAnsi="Times New Roman"/>
        </w:rPr>
        <w:lastRenderedPageBreak/>
        <w:t xml:space="preserve"> </w:t>
      </w:r>
      <w:r w:rsidRPr="00AB5802">
        <w:rPr>
          <w:rFonts w:ascii="Times New Roman" w:hAnsi="Times New Roman"/>
        </w:rPr>
        <w:t>Gautos ir perduotos kitiems viešojo sektoriaus subjektams finansavimo sumos sąnaudomis nepripažįstamos. Perdavus finansavimo sumas kitiems viešojo sektoriaus subjektams, mažinamos gautos finansavimo sumos, registruojamos finansavimo sumos (perduotos).</w:t>
      </w:r>
    </w:p>
    <w:p w:rsidR="00D341B1" w:rsidRPr="00AB5802" w:rsidRDefault="00D341B1" w:rsidP="0037065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Finansavimo </w:t>
      </w:r>
      <w:r w:rsidRPr="00AB5802">
        <w:rPr>
          <w:rFonts w:ascii="Times New Roman" w:hAnsi="Times New Roman"/>
        </w:rPr>
        <w:t>sumų likučiai aptariami pastabose (</w:t>
      </w:r>
      <w:r>
        <w:rPr>
          <w:rFonts w:ascii="Times New Roman" w:hAnsi="Times New Roman"/>
        </w:rPr>
        <w:t>2</w:t>
      </w:r>
      <w:r w:rsidRPr="00AB5802">
        <w:rPr>
          <w:rFonts w:ascii="Times New Roman" w:hAnsi="Times New Roman"/>
        </w:rPr>
        <w:t xml:space="preserve"> lentelė).</w:t>
      </w:r>
    </w:p>
    <w:p w:rsidR="00D341B1" w:rsidRPr="00AB5802" w:rsidRDefault="00D341B1" w:rsidP="00370652">
      <w:pPr>
        <w:jc w:val="both"/>
        <w:rPr>
          <w:rFonts w:ascii="Times New Roman" w:hAnsi="Times New Roman"/>
        </w:rPr>
      </w:pPr>
    </w:p>
    <w:p w:rsidR="00D341B1" w:rsidRPr="00AB5802" w:rsidRDefault="00D341B1" w:rsidP="00370652">
      <w:pPr>
        <w:numPr>
          <w:ilvl w:val="1"/>
          <w:numId w:val="32"/>
        </w:numPr>
        <w:jc w:val="both"/>
        <w:rPr>
          <w:rFonts w:ascii="Times New Roman" w:hAnsi="Times New Roman"/>
          <w:b/>
        </w:rPr>
      </w:pPr>
      <w:r w:rsidRPr="00AB5802">
        <w:rPr>
          <w:rFonts w:ascii="Times New Roman" w:hAnsi="Times New Roman"/>
          <w:b/>
        </w:rPr>
        <w:t>Aiškinamojo rašto pastabos</w:t>
      </w:r>
    </w:p>
    <w:p w:rsidR="00D341B1" w:rsidRPr="00AB5802" w:rsidRDefault="00D341B1" w:rsidP="00370652">
      <w:pPr>
        <w:jc w:val="both"/>
        <w:rPr>
          <w:rFonts w:ascii="Times New Roman" w:hAnsi="Times New Roman"/>
          <w:b/>
        </w:rPr>
      </w:pPr>
    </w:p>
    <w:p w:rsidR="00D341B1" w:rsidRDefault="00D341B1" w:rsidP="00370652">
      <w:pPr>
        <w:ind w:firstLine="540"/>
        <w:jc w:val="both"/>
        <w:rPr>
          <w:rFonts w:ascii="Times New Roman" w:hAnsi="Times New Roman"/>
        </w:rPr>
      </w:pPr>
      <w:r w:rsidRPr="00AB5802">
        <w:rPr>
          <w:rFonts w:ascii="Times New Roman" w:hAnsi="Times New Roman"/>
        </w:rPr>
        <w:t>Viešojo sektoriaus subjekto restruktūrizavimas iki tarpinio ataskaitinio laikotarpio  nenumatytas.</w:t>
      </w:r>
    </w:p>
    <w:p w:rsidR="00D341B1" w:rsidRPr="009407BD" w:rsidRDefault="00D341B1" w:rsidP="00370652">
      <w:pPr>
        <w:ind w:firstLine="540"/>
        <w:jc w:val="both"/>
        <w:rPr>
          <w:rFonts w:ascii="Times New Roman" w:hAnsi="Times New Roman"/>
          <w:highlight w:val="green"/>
        </w:rPr>
      </w:pPr>
      <w:r>
        <w:rPr>
          <w:rFonts w:ascii="Times New Roman" w:hAnsi="Times New Roman"/>
        </w:rPr>
        <w:t>Neapibrėžtų įsipareigojimų, neapibrėžtojo turto  pokyčių, spendimų dėl teisinių ginčų ar reikšmingų įvykių nuo ataskaitinių finansinių metų pradžios iki paskutinės</w:t>
      </w:r>
      <w:r w:rsidRPr="009407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tarpinio ataskaitinio laikotarpio dienos nėra.</w:t>
      </w:r>
      <w:r w:rsidRPr="009407BD">
        <w:rPr>
          <w:rFonts w:ascii="Times New Roman" w:hAnsi="Times New Roman"/>
        </w:rPr>
        <w:t xml:space="preserve">  </w:t>
      </w:r>
    </w:p>
    <w:p w:rsidR="00D341B1" w:rsidRDefault="00D341B1" w:rsidP="003F6A89">
      <w:pPr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Einamųjų metų perviršis ar deficitas yra neigiamas,  nes atsargos (kapitalas) pagal 8 VSAFO reikalavimus yra perkeltos į nebalansinę sąskaitą.</w:t>
      </w:r>
    </w:p>
    <w:p w:rsidR="00D341B1" w:rsidRDefault="00D341B1" w:rsidP="003F6A89">
      <w:pPr>
        <w:ind w:firstLine="567"/>
        <w:jc w:val="both"/>
        <w:rPr>
          <w:rFonts w:ascii="Times New Roman" w:hAnsi="Times New Roman"/>
          <w:bCs/>
        </w:rPr>
      </w:pPr>
    </w:p>
    <w:p w:rsidR="00D341B1" w:rsidRDefault="00D341B1" w:rsidP="003F6A89">
      <w:pPr>
        <w:ind w:firstLine="567"/>
        <w:jc w:val="both"/>
        <w:rPr>
          <w:rFonts w:ascii="Times New Roman" w:hAnsi="Times New Roman"/>
          <w:bCs/>
        </w:rPr>
      </w:pPr>
    </w:p>
    <w:p w:rsidR="00D341B1" w:rsidRPr="00026A15" w:rsidRDefault="00D341B1" w:rsidP="00370652">
      <w:pPr>
        <w:numPr>
          <w:ilvl w:val="0"/>
          <w:numId w:val="31"/>
        </w:numPr>
        <w:tabs>
          <w:tab w:val="left" w:pos="720"/>
        </w:tabs>
        <w:ind w:right="101"/>
        <w:jc w:val="both"/>
        <w:rPr>
          <w:rFonts w:ascii="Times New Roman" w:hAnsi="Times New Roman"/>
          <w:b/>
          <w:bCs/>
        </w:rPr>
      </w:pPr>
      <w:r w:rsidRPr="00026A15">
        <w:rPr>
          <w:rFonts w:ascii="Times New Roman" w:hAnsi="Times New Roman"/>
          <w:b/>
          <w:bCs/>
        </w:rPr>
        <w:t xml:space="preserve"> Aiškinamojo rašto pastabos</w:t>
      </w:r>
    </w:p>
    <w:p w:rsidR="00D341B1" w:rsidRPr="00053757" w:rsidRDefault="00D341B1" w:rsidP="00370652">
      <w:pPr>
        <w:tabs>
          <w:tab w:val="left" w:pos="720"/>
        </w:tabs>
        <w:ind w:right="101"/>
        <w:jc w:val="right"/>
        <w:rPr>
          <w:rFonts w:ascii="Times New Roman" w:hAnsi="Times New Roman"/>
          <w:bCs/>
        </w:rPr>
      </w:pPr>
      <w:r w:rsidRPr="00053757">
        <w:rPr>
          <w:rFonts w:ascii="Times New Roman" w:hAnsi="Times New Roman"/>
          <w:bCs/>
        </w:rPr>
        <w:t xml:space="preserve">1 lentelė </w:t>
      </w:r>
    </w:p>
    <w:p w:rsidR="00D341B1" w:rsidRDefault="00D341B1" w:rsidP="00370652">
      <w:pPr>
        <w:tabs>
          <w:tab w:val="left" w:pos="720"/>
        </w:tabs>
        <w:ind w:right="101"/>
        <w:jc w:val="both"/>
        <w:rPr>
          <w:rFonts w:ascii="Times New Roman" w:hAnsi="Times New Roman"/>
          <w:bCs/>
        </w:rPr>
      </w:pPr>
    </w:p>
    <w:p w:rsidR="00D341B1" w:rsidRPr="00AB05DA" w:rsidRDefault="00D341B1" w:rsidP="00370652">
      <w:pPr>
        <w:ind w:left="2835"/>
        <w:rPr>
          <w:rFonts w:ascii="Times New Roman" w:hAnsi="Times New Roman"/>
          <w:sz w:val="20"/>
          <w:szCs w:val="20"/>
        </w:rPr>
      </w:pPr>
      <w:r w:rsidRPr="00AB05DA">
        <w:rPr>
          <w:rFonts w:ascii="Times New Roman" w:hAnsi="Times New Roman"/>
          <w:sz w:val="20"/>
          <w:szCs w:val="20"/>
        </w:rPr>
        <w:t>7-ojo VSAFAS „Apskaitos politikos, apskaitinių įverčių keitimas ir klaidų taisymas“</w:t>
      </w:r>
    </w:p>
    <w:p w:rsidR="00D341B1" w:rsidRPr="00AB05DA" w:rsidRDefault="00D341B1" w:rsidP="00370652">
      <w:pPr>
        <w:ind w:left="2835"/>
        <w:rPr>
          <w:sz w:val="20"/>
          <w:szCs w:val="20"/>
        </w:rPr>
      </w:pPr>
      <w:r w:rsidRPr="00AB05DA">
        <w:rPr>
          <w:rFonts w:ascii="Times New Roman" w:hAnsi="Times New Roman"/>
          <w:sz w:val="20"/>
          <w:szCs w:val="20"/>
        </w:rPr>
        <w:t>5 priedas</w:t>
      </w:r>
    </w:p>
    <w:p w:rsidR="00D341B1" w:rsidRDefault="00D341B1" w:rsidP="00370652">
      <w:pPr>
        <w:jc w:val="center"/>
        <w:rPr>
          <w:b/>
        </w:rPr>
      </w:pPr>
    </w:p>
    <w:p w:rsidR="00D341B1" w:rsidRDefault="00D341B1" w:rsidP="00370652">
      <w:pPr>
        <w:jc w:val="center"/>
        <w:rPr>
          <w:rFonts w:ascii="Times New Roman" w:hAnsi="Times New Roman"/>
          <w:b/>
        </w:rPr>
      </w:pPr>
      <w:r w:rsidRPr="00053757">
        <w:rPr>
          <w:rFonts w:ascii="Times New Roman" w:hAnsi="Times New Roman"/>
          <w:b/>
        </w:rPr>
        <w:t>Viešoji įstaiga Kauno</w:t>
      </w:r>
      <w:r>
        <w:rPr>
          <w:rFonts w:ascii="Times New Roman" w:hAnsi="Times New Roman"/>
          <w:b/>
        </w:rPr>
        <w:t xml:space="preserve"> šv. Mato vidurinė mokykla</w:t>
      </w:r>
    </w:p>
    <w:p w:rsidR="00D341B1" w:rsidRPr="00EA2EB7" w:rsidRDefault="00D341B1" w:rsidP="00370652">
      <w:pPr>
        <w:jc w:val="center"/>
        <w:rPr>
          <w:rFonts w:ascii="Times New Roman" w:hAnsi="Times New Roman"/>
          <w:b/>
        </w:rPr>
      </w:pPr>
    </w:p>
    <w:p w:rsidR="00D341B1" w:rsidRPr="00346D4A" w:rsidRDefault="00D341B1" w:rsidP="00370652">
      <w:pPr>
        <w:jc w:val="center"/>
        <w:rPr>
          <w:rFonts w:ascii="Times New Roman" w:hAnsi="Times New Roman"/>
          <w:b/>
          <w:sz w:val="20"/>
          <w:szCs w:val="20"/>
        </w:rPr>
      </w:pPr>
      <w:r w:rsidRPr="00346D4A">
        <w:rPr>
          <w:rFonts w:ascii="Times New Roman" w:hAnsi="Times New Roman"/>
          <w:b/>
          <w:sz w:val="20"/>
          <w:szCs w:val="20"/>
        </w:rPr>
        <w:t>PERĖJIMO NUO ANKSČIAU TAIKYTOS APSKAITOS POLITIKOS PRIE VSAFAS TAIKYMO POVEIKIS KITŲ VIEŠOJO SEKTORIAUS SUBJEKTŲ PRADINĖJE FINANSINĖS BŪKLĖS ATASKAITOJE PAGAL VSAFAS RODOMAI INFORMACIJAI</w:t>
      </w:r>
    </w:p>
    <w:p w:rsidR="00D341B1" w:rsidRDefault="00D341B1" w:rsidP="00370652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850"/>
        <w:gridCol w:w="1260"/>
      </w:tblGrid>
      <w:tr w:rsidR="00D341B1" w:rsidRPr="00AB05DA" w:rsidTr="008D640D">
        <w:trPr>
          <w:tblHeader/>
        </w:trPr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Eil. Nr.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Suma</w:t>
            </w:r>
            <w:r w:rsidRPr="00AB05DA">
              <w:rPr>
                <w:rStyle w:val="Puslapioinaosnuoroda"/>
                <w:b/>
                <w:sz w:val="20"/>
                <w:szCs w:val="20"/>
              </w:rPr>
              <w:footnoteReference w:id="1"/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Turto suma viešojo sektoriaus subjekto balanse paskutinę dieną iki perėjimo prie VSAFAS dienos pagal iki VSAFAS įsigaliojimo taikytą apskaitos politiką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341110,62</w:t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1.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Nematerialiojo turto balansinės vertės pasikeitimas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2.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Ilgalaikio materialiojo turto balansinės vertės pasikeitimas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+76174,77</w:t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3.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Ilgalaikio finansinio turto balansinės vertės pasikeitimas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4.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Biologinio turto registravimas apskaitoje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5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Atsargų balansinės vertės pasikeitimas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-272438,97</w:t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6.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Gautinų sumų vertės pasikeitimas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+176529,30</w:t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7.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Kiti koregavimai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Turto suma viešojo sektoriaus subjekto finansinės būklės ataskaitoje perėjimo prie VSAFAS dieną pagal VSAFAS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321375,72</w:t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Savininkų nuosavybės ir įsipareigojimų suma viešojo sektoriaus subjekto balanse paskutinę dieną iki perėjimo prie VSAFAS dienos pagal iki VSAFAS įsigaliojimo taikytą apskaitos politiką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341110,62</w:t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1.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Finansavimo sumų vertės pasikeitimas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1.1.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Finansavimo sumų, lygių nematerialiojo, ilgalaikio materialiojo, biologinio, ilgalaikio finansinio turto ir atsargų balansinių verčių sumai, įkėlimas</w:t>
            </w:r>
          </w:p>
        </w:tc>
        <w:tc>
          <w:tcPr>
            <w:tcW w:w="1260" w:type="dxa"/>
          </w:tcPr>
          <w:p w:rsidR="00D341B1" w:rsidRPr="00BD14E9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sz w:val="20"/>
                <w:szCs w:val="20"/>
              </w:rPr>
            </w:pPr>
            <w:r w:rsidRPr="00BD14E9">
              <w:rPr>
                <w:sz w:val="20"/>
                <w:szCs w:val="20"/>
              </w:rPr>
              <w:t>+76174,77</w:t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1.2.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Finansavimo sumų kitoms išlaidoms vertės pasikeitimas (+/-)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2.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Įsipareigojimų vertės pasikeitimas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+176529,30</w:t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2.1.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Atidėjinių suformavimas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2.2.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Anksčiau neregistruotų kitų įsipareigojimų registravimas apskaitoje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2.3.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Anksčiau registruotų įsipareigojimų vertės pasikeitimas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>3.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b/>
                <w:sz w:val="20"/>
                <w:szCs w:val="20"/>
              </w:rPr>
            </w:pPr>
            <w:r w:rsidRPr="00AB05DA">
              <w:rPr>
                <w:sz w:val="20"/>
                <w:szCs w:val="20"/>
              </w:rPr>
              <w:t xml:space="preserve">Grynojo turto likučio registravimas 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-272438,97</w:t>
            </w:r>
          </w:p>
        </w:tc>
      </w:tr>
      <w:tr w:rsidR="00D341B1" w:rsidRPr="00AB05DA" w:rsidTr="008D640D">
        <w:tc>
          <w:tcPr>
            <w:tcW w:w="61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7850" w:type="dxa"/>
            <w:vAlign w:val="center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jc w:val="left"/>
              <w:rPr>
                <w:sz w:val="20"/>
                <w:szCs w:val="20"/>
              </w:rPr>
            </w:pPr>
            <w:r w:rsidRPr="00AB05DA">
              <w:rPr>
                <w:b/>
                <w:sz w:val="20"/>
                <w:szCs w:val="20"/>
              </w:rPr>
              <w:t>Finansavimo sumų, įsipareigojimų ir grynojo turto suma finansinės būklės ataskaitoje perėjimo prie VSAFAS dieną pagal VSAFAS</w:t>
            </w:r>
          </w:p>
        </w:tc>
        <w:tc>
          <w:tcPr>
            <w:tcW w:w="1260" w:type="dxa"/>
          </w:tcPr>
          <w:p w:rsidR="00D341B1" w:rsidRPr="00AB05DA" w:rsidRDefault="00D341B1" w:rsidP="0074313A">
            <w:pPr>
              <w:pStyle w:val="finmingeneral"/>
              <w:numPr>
                <w:ilvl w:val="0"/>
                <w:numId w:val="0"/>
              </w:numPr>
              <w:tabs>
                <w:tab w:val="clear" w:pos="360"/>
                <w:tab w:val="left" w:pos="720"/>
              </w:tabs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321375,72</w:t>
            </w:r>
          </w:p>
        </w:tc>
      </w:tr>
    </w:tbl>
    <w:p w:rsidR="00D341B1" w:rsidRPr="00AB5802" w:rsidRDefault="00D341B1" w:rsidP="00370652">
      <w:pPr>
        <w:rPr>
          <w:rFonts w:ascii="Times New Roman" w:hAnsi="Times New Roman"/>
        </w:rPr>
        <w:sectPr w:rsidR="00D341B1" w:rsidRPr="00AB5802" w:rsidSect="00571818">
          <w:footerReference w:type="default" r:id="rId8"/>
          <w:pgSz w:w="11907" w:h="16840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341B1" w:rsidRDefault="00D341B1" w:rsidP="00370652">
      <w:pPr>
        <w:tabs>
          <w:tab w:val="left" w:pos="720"/>
        </w:tabs>
        <w:ind w:right="101"/>
        <w:jc w:val="both"/>
        <w:rPr>
          <w:rFonts w:ascii="Times New Roman" w:hAnsi="Times New Roman"/>
          <w:bCs/>
        </w:rPr>
        <w:sectPr w:rsidR="00D341B1" w:rsidSect="00683135">
          <w:type w:val="continuous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  <w:bookmarkStart w:id="3" w:name="RANGE!A1:R53"/>
      <w:bookmarkEnd w:id="3"/>
    </w:p>
    <w:p w:rsidR="00D341B1" w:rsidRDefault="00D341B1" w:rsidP="00370652">
      <w:pPr>
        <w:tabs>
          <w:tab w:val="left" w:pos="720"/>
        </w:tabs>
        <w:ind w:right="680"/>
        <w:rPr>
          <w:rFonts w:ascii="Times New Roman" w:hAnsi="Times New Roman"/>
          <w:bCs/>
        </w:rPr>
      </w:pPr>
      <w:bookmarkStart w:id="4" w:name="RANGE!A1:G37"/>
      <w:bookmarkStart w:id="5" w:name="RANGE!A1:M25"/>
      <w:bookmarkEnd w:id="4"/>
      <w:bookmarkEnd w:id="5"/>
      <w:r w:rsidRPr="00D778BE">
        <w:rPr>
          <w:rFonts w:ascii="Times New Roman" w:hAnsi="Times New Roman"/>
          <w:b/>
          <w:bCs/>
        </w:rPr>
        <w:lastRenderedPageBreak/>
        <w:t>2 lentelė</w:t>
      </w:r>
      <w:r w:rsidRPr="00026A15">
        <w:rPr>
          <w:rFonts w:ascii="Times New Roman" w:hAnsi="Times New Roman"/>
          <w:bCs/>
        </w:rPr>
        <w:t xml:space="preserve"> </w:t>
      </w:r>
    </w:p>
    <w:p w:rsidR="00D341B1" w:rsidRDefault="00D341B1" w:rsidP="00370652">
      <w:pPr>
        <w:tabs>
          <w:tab w:val="left" w:pos="720"/>
        </w:tabs>
        <w:ind w:right="101"/>
        <w:jc w:val="both"/>
        <w:rPr>
          <w:rFonts w:ascii="Times New Roman" w:hAnsi="Times New Roman"/>
          <w:bCs/>
        </w:rPr>
      </w:pPr>
    </w:p>
    <w:tbl>
      <w:tblPr>
        <w:tblW w:w="13148" w:type="dxa"/>
        <w:jc w:val="center"/>
        <w:tblInd w:w="93" w:type="dxa"/>
        <w:tblLook w:val="0000" w:firstRow="0" w:lastRow="0" w:firstColumn="0" w:lastColumn="0" w:noHBand="0" w:noVBand="0"/>
      </w:tblPr>
      <w:tblGrid>
        <w:gridCol w:w="511"/>
        <w:gridCol w:w="5260"/>
        <w:gridCol w:w="1317"/>
        <w:gridCol w:w="1317"/>
        <w:gridCol w:w="824"/>
        <w:gridCol w:w="236"/>
        <w:gridCol w:w="1317"/>
        <w:gridCol w:w="1317"/>
        <w:gridCol w:w="1151"/>
      </w:tblGrid>
      <w:tr w:rsidR="00D341B1" w:rsidRPr="0062386B" w:rsidTr="0074313A">
        <w:trPr>
          <w:trHeight w:val="300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bookmarkStart w:id="6" w:name="RANGE!A1:H20"/>
            <w:bookmarkEnd w:id="6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B0145E" w:rsidRDefault="00D341B1" w:rsidP="0074313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</w:tr>
      <w:tr w:rsidR="00D341B1" w:rsidRPr="0062386B" w:rsidTr="0074313A">
        <w:trPr>
          <w:trHeight w:val="300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39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B0145E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B0145E">
              <w:rPr>
                <w:rFonts w:ascii="Times New Roman" w:hAnsi="Times New Roman"/>
                <w:sz w:val="20"/>
                <w:szCs w:val="20"/>
                <w:lang w:eastAsia="lt-LT"/>
              </w:rPr>
              <w:t>20-ojo VSAFAS „Finansavimo sumos“</w:t>
            </w:r>
          </w:p>
        </w:tc>
      </w:tr>
      <w:tr w:rsidR="00D341B1" w:rsidRPr="0062386B" w:rsidTr="0074313A">
        <w:trPr>
          <w:trHeight w:val="300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B0145E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B0145E">
              <w:rPr>
                <w:rFonts w:ascii="Times New Roman" w:hAnsi="Times New Roman"/>
                <w:sz w:val="20"/>
                <w:szCs w:val="20"/>
                <w:lang w:eastAsia="lt-LT"/>
              </w:rPr>
              <w:t>5 priedas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</w:tr>
      <w:tr w:rsidR="00D341B1" w:rsidRPr="0062386B" w:rsidTr="0074313A">
        <w:trPr>
          <w:trHeight w:val="165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457020" w:rsidRDefault="00D341B1" w:rsidP="0074313A">
            <w:pPr>
              <w:rPr>
                <w:rFonts w:ascii="Times New Roman" w:hAnsi="Times New Roman"/>
                <w:sz w:val="20"/>
                <w:szCs w:val="20"/>
                <w:highlight w:val="lightGray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457020" w:rsidRDefault="00D341B1" w:rsidP="0074313A">
            <w:pPr>
              <w:rPr>
                <w:rFonts w:ascii="Times New Roman" w:hAnsi="Times New Roman"/>
                <w:highlight w:val="lightGray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457020" w:rsidRDefault="00D341B1" w:rsidP="0074313A">
            <w:pPr>
              <w:rPr>
                <w:rFonts w:ascii="Times New Roman" w:hAnsi="Times New Roman"/>
                <w:highlight w:val="lightGray"/>
                <w:lang w:eastAsia="lt-LT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457020" w:rsidRDefault="00D341B1" w:rsidP="0074313A">
            <w:pPr>
              <w:rPr>
                <w:rFonts w:ascii="Times New Roman" w:hAnsi="Times New Roman"/>
                <w:highlight w:val="lightGray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</w:tr>
      <w:tr w:rsidR="00D341B1" w:rsidRPr="0062386B" w:rsidTr="0074313A">
        <w:trPr>
          <w:trHeight w:val="300"/>
          <w:jc w:val="center"/>
        </w:trPr>
        <w:tc>
          <w:tcPr>
            <w:tcW w:w="131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/>
                <w:bCs/>
                <w:highlight w:val="lightGray"/>
                <w:lang w:eastAsia="lt-LT"/>
              </w:rPr>
            </w:pPr>
            <w:r w:rsidRPr="00D778BE"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 xml:space="preserve">Viešoji įstaiga Kauno šv. Mato vidurinė mokykla </w:t>
            </w:r>
          </w:p>
        </w:tc>
      </w:tr>
      <w:tr w:rsidR="00D341B1" w:rsidRPr="0062386B" w:rsidTr="0074313A">
        <w:trPr>
          <w:trHeight w:val="105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</w:tr>
      <w:tr w:rsidR="00D341B1" w:rsidRPr="0062386B" w:rsidTr="0074313A">
        <w:trPr>
          <w:trHeight w:val="300"/>
          <w:jc w:val="center"/>
        </w:trPr>
        <w:tc>
          <w:tcPr>
            <w:tcW w:w="131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>FINANSAVIMO SUMŲ LIKUČIAI</w:t>
            </w:r>
          </w:p>
        </w:tc>
      </w:tr>
      <w:tr w:rsidR="00D341B1" w:rsidRPr="0062386B" w:rsidTr="0074313A">
        <w:trPr>
          <w:trHeight w:val="105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</w:tr>
      <w:tr w:rsidR="00D341B1" w:rsidRPr="0062386B" w:rsidTr="0074313A">
        <w:trPr>
          <w:trHeight w:val="300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>Finansavimo šaltinis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>Ataskaitinio laikotarpio pradžioje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>Ataskaitinio laikotarpio pabaigoje</w:t>
            </w:r>
          </w:p>
        </w:tc>
      </w:tr>
      <w:tr w:rsidR="00D341B1" w:rsidRPr="0062386B" w:rsidTr="0074313A">
        <w:trPr>
          <w:trHeight w:val="1401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>Finansavimo sumos (gautinos)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>Finansavimo sumos (gautos)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 xml:space="preserve"> Finansavimo sumos (gautinos)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 xml:space="preserve"> Finansavimo sumos (gautos)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0"/>
                <w:szCs w:val="20"/>
                <w:lang w:eastAsia="lt-LT"/>
              </w:rPr>
              <w:t>Iš viso</w:t>
            </w:r>
          </w:p>
        </w:tc>
      </w:tr>
      <w:tr w:rsidR="00D341B1" w:rsidRPr="0062386B" w:rsidTr="0074313A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62386B">
              <w:rPr>
                <w:rFonts w:ascii="Times New Roman" w:hAnsi="Times New Roman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62386B">
              <w:rPr>
                <w:rFonts w:ascii="Times New Roman" w:hAnsi="Times New Roman"/>
                <w:sz w:val="22"/>
                <w:szCs w:val="22"/>
                <w:lang w:eastAsia="lt-LT"/>
              </w:rPr>
              <w:t>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62386B">
              <w:rPr>
                <w:rFonts w:ascii="Times New Roman" w:hAnsi="Times New Roman"/>
                <w:sz w:val="22"/>
                <w:szCs w:val="22"/>
                <w:lang w:eastAsia="lt-LT"/>
              </w:rPr>
              <w:t>5=3+4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62386B">
              <w:rPr>
                <w:rFonts w:ascii="Times New Roman" w:hAnsi="Times New Roman"/>
                <w:sz w:val="22"/>
                <w:szCs w:val="22"/>
                <w:lang w:eastAsia="lt-LT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62386B">
              <w:rPr>
                <w:rFonts w:ascii="Times New Roman" w:hAnsi="Times New Roman"/>
                <w:sz w:val="22"/>
                <w:szCs w:val="22"/>
                <w:lang w:eastAsia="lt-LT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lang w:eastAsia="lt-LT"/>
              </w:rPr>
            </w:pPr>
            <w:r w:rsidRPr="0062386B">
              <w:rPr>
                <w:rFonts w:ascii="Times New Roman" w:hAnsi="Times New Roman"/>
                <w:sz w:val="22"/>
                <w:szCs w:val="22"/>
                <w:lang w:eastAsia="lt-LT"/>
              </w:rPr>
              <w:t>8=6+7</w:t>
            </w:r>
          </w:p>
        </w:tc>
      </w:tr>
      <w:tr w:rsidR="00D341B1" w:rsidRPr="0062386B" w:rsidTr="0074313A">
        <w:trPr>
          <w:trHeight w:val="765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Iš valstybės biudžeto  (išskyrus valstybės biudžeto asignavimų dalį, gautą iš Europos Sąjungos, užsienio valstybių ir tarptautinių organizacijų)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F015D7" w:rsidRDefault="00D341B1" w:rsidP="0074313A">
            <w:pPr>
              <w:jc w:val="center"/>
              <w:rPr>
                <w:rFonts w:ascii="Times New Roman" w:hAnsi="Times New Roman"/>
                <w:b/>
                <w:bCs/>
                <w:highlight w:val="lightGray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highlight w:val="lightGray"/>
                <w:lang w:eastAsia="lt-LT"/>
              </w:rPr>
            </w:pPr>
            <w:r w:rsidRPr="00457020">
              <w:rPr>
                <w:rFonts w:ascii="Times New Roman" w:hAnsi="Times New Roman"/>
                <w:bCs/>
                <w:sz w:val="22"/>
                <w:szCs w:val="22"/>
                <w:highlight w:val="lightGray"/>
                <w:lang w:eastAsia="lt-LT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highlight w:val="lightGray"/>
                <w:lang w:eastAsia="lt-LT"/>
              </w:rPr>
            </w:pPr>
            <w:r w:rsidRPr="00457020">
              <w:rPr>
                <w:rFonts w:ascii="Times New Roman" w:hAnsi="Times New Roman"/>
                <w:bCs/>
                <w:sz w:val="22"/>
                <w:szCs w:val="22"/>
                <w:highlight w:val="lightGray"/>
                <w:lang w:eastAsia="lt-LT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 w:rsidRPr="00457020"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73279,35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73279,35</w:t>
            </w:r>
          </w:p>
        </w:tc>
      </w:tr>
      <w:tr w:rsidR="00D341B1" w:rsidRPr="0062386B" w:rsidTr="0074313A">
        <w:trPr>
          <w:trHeight w:val="898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Iš savivaldybės biudžeto (išskyrus savivaldybės biudžeto asignavimų dalį, gautą  iš Europos Sąjungos, užsienio valstybių ir tarptautinių organizacijų)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 w:rsidRPr="00457020"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 w:rsidRPr="00457020"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 w:rsidRPr="00457020"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0</w:t>
            </w:r>
          </w:p>
        </w:tc>
      </w:tr>
      <w:tr w:rsidR="00D341B1" w:rsidRPr="0062386B" w:rsidTr="0074313A">
        <w:trPr>
          <w:trHeight w:val="111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Iš Europos Sąjungos, užsienio valstybių ir tarptautinių organizacijų  (finansavimo sumų dalis, kuri gaunama iš Europos Sąjungos, neįskaitant finansvimo sumų iš valstybės ar savivaldybės biudžetų ES  projektams finansuoti)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highlight w:val="lightGray"/>
                <w:lang w:eastAsia="lt-LT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highlight w:val="lightGray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 w:rsidRPr="00457020"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</w:p>
        </w:tc>
      </w:tr>
      <w:tr w:rsidR="00D341B1" w:rsidRPr="0062386B" w:rsidTr="0074313A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Iš kitų šaltinių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37005,98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37005,98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 w:rsidRPr="00457020"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lang w:eastAsia="lt-LT"/>
              </w:rPr>
              <w:t>35634,96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457020" w:rsidRDefault="00D341B1" w:rsidP="0074313A">
            <w:pPr>
              <w:jc w:val="center"/>
              <w:rPr>
                <w:rFonts w:ascii="Times New Roman" w:hAnsi="Times New Roman"/>
                <w:bCs/>
                <w:lang w:eastAsia="lt-LT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lt-LT"/>
              </w:rPr>
              <w:t>35634,96</w:t>
            </w:r>
          </w:p>
        </w:tc>
      </w:tr>
      <w:tr w:rsidR="00D341B1" w:rsidRPr="0062386B" w:rsidTr="0074313A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62386B">
              <w:rPr>
                <w:rFonts w:ascii="Times New Roman" w:hAnsi="Times New Roman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 w:rsidRPr="0062386B"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>37005,98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>37005,98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>108914,31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1B1" w:rsidRPr="0062386B" w:rsidRDefault="00D341B1" w:rsidP="0074313A">
            <w:pPr>
              <w:jc w:val="center"/>
              <w:rPr>
                <w:rFonts w:ascii="Times New Roman" w:hAnsi="Times New Roman"/>
                <w:b/>
                <w:bCs/>
                <w:lang w:eastAsia="lt-L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lt-LT"/>
              </w:rPr>
              <w:t>108914,31</w:t>
            </w:r>
          </w:p>
        </w:tc>
      </w:tr>
      <w:tr w:rsidR="00D341B1" w:rsidRPr="0062386B" w:rsidTr="0074313A">
        <w:trPr>
          <w:trHeight w:val="135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</w:tr>
      <w:tr w:rsidR="00D341B1" w:rsidRPr="0062386B" w:rsidTr="0074313A">
        <w:trPr>
          <w:trHeight w:val="225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  <w:r w:rsidRPr="0062386B">
              <w:rPr>
                <w:rFonts w:ascii="Times New Roman" w:hAnsi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  <w:r w:rsidRPr="0062386B">
              <w:rPr>
                <w:rFonts w:ascii="Times New Roman" w:hAnsi="Times New Roman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341B1" w:rsidRPr="0062386B" w:rsidRDefault="00D341B1" w:rsidP="0074313A">
            <w:pPr>
              <w:rPr>
                <w:rFonts w:ascii="Times New Roman" w:hAnsi="Times New Roman"/>
                <w:lang w:eastAsia="lt-LT"/>
              </w:rPr>
            </w:pPr>
          </w:p>
        </w:tc>
      </w:tr>
    </w:tbl>
    <w:p w:rsidR="00D341B1" w:rsidRDefault="00D341B1" w:rsidP="00370652">
      <w:pPr>
        <w:tabs>
          <w:tab w:val="left" w:pos="720"/>
        </w:tabs>
        <w:ind w:right="397"/>
        <w:rPr>
          <w:rFonts w:ascii="Times New Roman" w:hAnsi="Times New Roman"/>
          <w:b/>
          <w:bCs/>
        </w:rPr>
      </w:pPr>
      <w:bookmarkStart w:id="7" w:name="RANGE!A1:I24"/>
      <w:bookmarkEnd w:id="7"/>
    </w:p>
    <w:p w:rsidR="00D341B1" w:rsidRDefault="00D341B1" w:rsidP="00D778BE">
      <w:pPr>
        <w:tabs>
          <w:tab w:val="left" w:pos="720"/>
        </w:tabs>
        <w:ind w:right="397"/>
        <w:jc w:val="center"/>
      </w:pPr>
      <w:r>
        <w:rPr>
          <w:rFonts w:ascii="Times New Roman" w:hAnsi="Times New Roman"/>
          <w:b/>
          <w:bCs/>
        </w:rPr>
        <w:t>Direktorė                                                                        Asta Daugirdė</w:t>
      </w:r>
    </w:p>
    <w:sectPr w:rsidR="00D341B1" w:rsidSect="00683135">
      <w:pgSz w:w="16840" w:h="11907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B1" w:rsidRDefault="00D341B1" w:rsidP="00370652">
      <w:r>
        <w:separator/>
      </w:r>
    </w:p>
  </w:endnote>
  <w:endnote w:type="continuationSeparator" w:id="0">
    <w:p w:rsidR="00D341B1" w:rsidRDefault="00D341B1" w:rsidP="0037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B1" w:rsidRPr="00571818" w:rsidRDefault="00D341B1">
    <w:pPr>
      <w:pStyle w:val="Porat"/>
      <w:jc w:val="center"/>
      <w:rPr>
        <w:rFonts w:ascii="Times New Roman" w:hAnsi="Times New Roman"/>
      </w:rPr>
    </w:pPr>
  </w:p>
  <w:p w:rsidR="00D341B1" w:rsidRDefault="00D341B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B1" w:rsidRDefault="00D341B1" w:rsidP="00370652">
      <w:r>
        <w:separator/>
      </w:r>
    </w:p>
  </w:footnote>
  <w:footnote w:type="continuationSeparator" w:id="0">
    <w:p w:rsidR="00D341B1" w:rsidRDefault="00D341B1" w:rsidP="00370652">
      <w:r>
        <w:continuationSeparator/>
      </w:r>
    </w:p>
  </w:footnote>
  <w:footnote w:id="1">
    <w:p w:rsidR="00D341B1" w:rsidRDefault="00D341B1" w:rsidP="00370652">
      <w:pPr>
        <w:pStyle w:val="Puslapioinaostekstas"/>
      </w:pPr>
      <w:r>
        <w:rPr>
          <w:rStyle w:val="Puslapioinaosnuoroda"/>
        </w:rPr>
        <w:footnoteRef/>
      </w:r>
      <w:r w:rsidRPr="004A3109">
        <w:rPr>
          <w:lang w:val="pt-BR"/>
        </w:rPr>
        <w:t xml:space="preserve"> </w:t>
      </w:r>
      <w:r w:rsidRPr="00ED7224">
        <w:rPr>
          <w:sz w:val="20"/>
          <w:lang w:val="pt-BR"/>
        </w:rPr>
        <w:t>R</w:t>
      </w:r>
      <w:r w:rsidRPr="00ED7224">
        <w:rPr>
          <w:sz w:val="20"/>
          <w:lang w:val="lt-LT"/>
        </w:rPr>
        <w:t>eikšmingos sumos turi būti detalizuojamos ir (arba) paaiškinamos papildomai.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E2A6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092687"/>
    <w:multiLevelType w:val="multilevel"/>
    <w:tmpl w:val="4A843B8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00"/>
        </w:tabs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800"/>
      </w:pPr>
      <w:rPr>
        <w:rFonts w:cs="Times New Roman" w:hint="default"/>
      </w:rPr>
    </w:lvl>
  </w:abstractNum>
  <w:abstractNum w:abstractNumId="2">
    <w:nsid w:val="36D00D9B"/>
    <w:multiLevelType w:val="multilevel"/>
    <w:tmpl w:val="3BF2F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42992E34"/>
    <w:multiLevelType w:val="hybridMultilevel"/>
    <w:tmpl w:val="FDDA5B42"/>
    <w:lvl w:ilvl="0" w:tplc="6CC2EDE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5">
    <w:nsid w:val="49D11C73"/>
    <w:multiLevelType w:val="multilevel"/>
    <w:tmpl w:val="2768256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6">
    <w:nsid w:val="4AF31816"/>
    <w:multiLevelType w:val="multilevel"/>
    <w:tmpl w:val="3BF2F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>
    <w:nsid w:val="565C3E91"/>
    <w:multiLevelType w:val="multilevel"/>
    <w:tmpl w:val="3BF2FE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5"/>
  </w:num>
  <w:num w:numId="33">
    <w:abstractNumId w:val="4"/>
  </w:num>
  <w:num w:numId="34">
    <w:abstractNumId w:val="3"/>
  </w:num>
  <w:num w:numId="35">
    <w:abstractNumId w:val="7"/>
  </w:num>
  <w:num w:numId="36">
    <w:abstractNumId w:val="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52"/>
    <w:rsid w:val="00021353"/>
    <w:rsid w:val="00022934"/>
    <w:rsid w:val="00026A15"/>
    <w:rsid w:val="00053757"/>
    <w:rsid w:val="00080AEA"/>
    <w:rsid w:val="00084C1C"/>
    <w:rsid w:val="00090FE6"/>
    <w:rsid w:val="000C72B2"/>
    <w:rsid w:val="000C7F94"/>
    <w:rsid w:val="000D0BB3"/>
    <w:rsid w:val="000E4D0F"/>
    <w:rsid w:val="000F31CA"/>
    <w:rsid w:val="001314D4"/>
    <w:rsid w:val="0014511F"/>
    <w:rsid w:val="001A54D8"/>
    <w:rsid w:val="001B413D"/>
    <w:rsid w:val="001E6BE6"/>
    <w:rsid w:val="00243102"/>
    <w:rsid w:val="00281B5E"/>
    <w:rsid w:val="002B021C"/>
    <w:rsid w:val="002C3DEC"/>
    <w:rsid w:val="002D2D47"/>
    <w:rsid w:val="00327469"/>
    <w:rsid w:val="00346D4A"/>
    <w:rsid w:val="00370652"/>
    <w:rsid w:val="00376C0E"/>
    <w:rsid w:val="003A5F61"/>
    <w:rsid w:val="003C343D"/>
    <w:rsid w:val="003C6374"/>
    <w:rsid w:val="003E2EAB"/>
    <w:rsid w:val="003F22BD"/>
    <w:rsid w:val="003F6A89"/>
    <w:rsid w:val="0043338C"/>
    <w:rsid w:val="0044190C"/>
    <w:rsid w:val="00450271"/>
    <w:rsid w:val="004509BC"/>
    <w:rsid w:val="00457020"/>
    <w:rsid w:val="0046464A"/>
    <w:rsid w:val="00475220"/>
    <w:rsid w:val="00483F0E"/>
    <w:rsid w:val="00494C27"/>
    <w:rsid w:val="004A0012"/>
    <w:rsid w:val="004A3109"/>
    <w:rsid w:val="004D213A"/>
    <w:rsid w:val="004D2492"/>
    <w:rsid w:val="004F6506"/>
    <w:rsid w:val="00504CC7"/>
    <w:rsid w:val="00526B89"/>
    <w:rsid w:val="00571818"/>
    <w:rsid w:val="005B24A2"/>
    <w:rsid w:val="005D2DC7"/>
    <w:rsid w:val="005E1379"/>
    <w:rsid w:val="00622128"/>
    <w:rsid w:val="0062386B"/>
    <w:rsid w:val="00683135"/>
    <w:rsid w:val="006E09A9"/>
    <w:rsid w:val="00700DA3"/>
    <w:rsid w:val="00704245"/>
    <w:rsid w:val="0074313A"/>
    <w:rsid w:val="00775648"/>
    <w:rsid w:val="0079654C"/>
    <w:rsid w:val="007E25F6"/>
    <w:rsid w:val="00811CD4"/>
    <w:rsid w:val="00885125"/>
    <w:rsid w:val="008C0437"/>
    <w:rsid w:val="008D640D"/>
    <w:rsid w:val="00904EC0"/>
    <w:rsid w:val="009407BD"/>
    <w:rsid w:val="0094503D"/>
    <w:rsid w:val="009B71FC"/>
    <w:rsid w:val="009C5540"/>
    <w:rsid w:val="009F1AD0"/>
    <w:rsid w:val="00A13F15"/>
    <w:rsid w:val="00A163A0"/>
    <w:rsid w:val="00A97D71"/>
    <w:rsid w:val="00AB05DA"/>
    <w:rsid w:val="00AB5802"/>
    <w:rsid w:val="00AD758D"/>
    <w:rsid w:val="00B0145E"/>
    <w:rsid w:val="00B441E2"/>
    <w:rsid w:val="00BB060F"/>
    <w:rsid w:val="00BB5355"/>
    <w:rsid w:val="00BC6F5D"/>
    <w:rsid w:val="00BD14E9"/>
    <w:rsid w:val="00BD6355"/>
    <w:rsid w:val="00BE615C"/>
    <w:rsid w:val="00BF4E2B"/>
    <w:rsid w:val="00CB5456"/>
    <w:rsid w:val="00CB72F6"/>
    <w:rsid w:val="00CF6517"/>
    <w:rsid w:val="00D25E75"/>
    <w:rsid w:val="00D341B1"/>
    <w:rsid w:val="00D35258"/>
    <w:rsid w:val="00D56082"/>
    <w:rsid w:val="00D778BE"/>
    <w:rsid w:val="00DB292A"/>
    <w:rsid w:val="00DF5551"/>
    <w:rsid w:val="00DF5B89"/>
    <w:rsid w:val="00E344DF"/>
    <w:rsid w:val="00EA2EB7"/>
    <w:rsid w:val="00ED7224"/>
    <w:rsid w:val="00EE23A5"/>
    <w:rsid w:val="00F015D7"/>
    <w:rsid w:val="00F01D47"/>
    <w:rsid w:val="00F3317E"/>
    <w:rsid w:val="00F361C2"/>
    <w:rsid w:val="00F57F01"/>
    <w:rsid w:val="00F6178D"/>
    <w:rsid w:val="00FD58D8"/>
    <w:rsid w:val="00FE1654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0652"/>
    <w:rPr>
      <w:rFonts w:ascii="Arial Narrow" w:eastAsia="Times New Roman" w:hAnsi="Arial Narrow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706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7065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finmingeneral">
    <w:name w:val="finmin general"/>
    <w:basedOn w:val="prastasis"/>
    <w:uiPriority w:val="99"/>
    <w:rsid w:val="00370652"/>
    <w:pPr>
      <w:widowControl w:val="0"/>
      <w:numPr>
        <w:numId w:val="33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rFonts w:ascii="Times New Roman" w:hAnsi="Times New Roman"/>
    </w:rPr>
  </w:style>
  <w:style w:type="paragraph" w:styleId="Sraassuenkleliais">
    <w:name w:val="List Bullet"/>
    <w:basedOn w:val="prastasis"/>
    <w:autoRedefine/>
    <w:uiPriority w:val="99"/>
    <w:rsid w:val="00370652"/>
    <w:pPr>
      <w:numPr>
        <w:ilvl w:val="1"/>
        <w:numId w:val="33"/>
      </w:numPr>
      <w:tabs>
        <w:tab w:val="clear" w:pos="2052"/>
        <w:tab w:val="num" w:pos="360"/>
      </w:tabs>
      <w:ind w:left="360" w:hanging="360"/>
    </w:pPr>
    <w:rPr>
      <w:rFonts w:ascii="Times New Roman" w:hAnsi="Times New Roman"/>
      <w:szCs w:val="20"/>
      <w:lang w:val="en-GB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370652"/>
    <w:rPr>
      <w:rFonts w:ascii="Times New Roman" w:hAnsi="Times New Roman"/>
      <w:sz w:val="16"/>
      <w:szCs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locked/>
    <w:rsid w:val="00370652"/>
    <w:rPr>
      <w:rFonts w:ascii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rsid w:val="00370652"/>
    <w:rPr>
      <w:rFonts w:cs="Times New Roman"/>
      <w:vertAlign w:val="superscript"/>
    </w:rPr>
  </w:style>
  <w:style w:type="paragraph" w:styleId="Porat">
    <w:name w:val="footer"/>
    <w:basedOn w:val="prastasis"/>
    <w:link w:val="PoratDiagrama"/>
    <w:uiPriority w:val="99"/>
    <w:rsid w:val="0037065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370652"/>
    <w:rPr>
      <w:rFonts w:ascii="Arial Narrow" w:hAnsi="Arial Narrow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05375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D8548D"/>
    <w:rPr>
      <w:rFonts w:ascii="Arial Narrow" w:eastAsia="Times New Roman" w:hAnsi="Arial Narro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0652"/>
    <w:rPr>
      <w:rFonts w:ascii="Arial Narrow" w:eastAsia="Times New Roman" w:hAnsi="Arial Narrow"/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706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70652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finmingeneral">
    <w:name w:val="finmin general"/>
    <w:basedOn w:val="prastasis"/>
    <w:uiPriority w:val="99"/>
    <w:rsid w:val="00370652"/>
    <w:pPr>
      <w:widowControl w:val="0"/>
      <w:numPr>
        <w:numId w:val="33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rFonts w:ascii="Times New Roman" w:hAnsi="Times New Roman"/>
    </w:rPr>
  </w:style>
  <w:style w:type="paragraph" w:styleId="Sraassuenkleliais">
    <w:name w:val="List Bullet"/>
    <w:basedOn w:val="prastasis"/>
    <w:autoRedefine/>
    <w:uiPriority w:val="99"/>
    <w:rsid w:val="00370652"/>
    <w:pPr>
      <w:numPr>
        <w:ilvl w:val="1"/>
        <w:numId w:val="33"/>
      </w:numPr>
      <w:tabs>
        <w:tab w:val="clear" w:pos="2052"/>
        <w:tab w:val="num" w:pos="360"/>
      </w:tabs>
      <w:ind w:left="360" w:hanging="360"/>
    </w:pPr>
    <w:rPr>
      <w:rFonts w:ascii="Times New Roman" w:hAnsi="Times New Roman"/>
      <w:szCs w:val="20"/>
      <w:lang w:val="en-GB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370652"/>
    <w:rPr>
      <w:rFonts w:ascii="Times New Roman" w:hAnsi="Times New Roman"/>
      <w:sz w:val="16"/>
      <w:szCs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locked/>
    <w:rsid w:val="00370652"/>
    <w:rPr>
      <w:rFonts w:ascii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rsid w:val="00370652"/>
    <w:rPr>
      <w:rFonts w:cs="Times New Roman"/>
      <w:vertAlign w:val="superscript"/>
    </w:rPr>
  </w:style>
  <w:style w:type="paragraph" w:styleId="Porat">
    <w:name w:val="footer"/>
    <w:basedOn w:val="prastasis"/>
    <w:link w:val="PoratDiagrama"/>
    <w:uiPriority w:val="99"/>
    <w:rsid w:val="0037065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370652"/>
    <w:rPr>
      <w:rFonts w:ascii="Arial Narrow" w:hAnsi="Arial Narrow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05375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D8548D"/>
    <w:rPr>
      <w:rFonts w:ascii="Arial Narrow" w:eastAsia="Times New Roman" w:hAnsi="Arial Narrow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69EFE068</Template>
  <TotalTime>1</TotalTime>
  <Pages>3</Pages>
  <Words>4332</Words>
  <Characters>2470</Characters>
  <Application>Microsoft Office Word</Application>
  <DocSecurity>4</DocSecurity>
  <Lines>20</Lines>
  <Paragraphs>13</Paragraphs>
  <ScaleCrop>false</ScaleCrop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Terese Vaitekunaite</cp:lastModifiedBy>
  <cp:revision>2</cp:revision>
  <cp:lastPrinted>2011-05-27T08:51:00Z</cp:lastPrinted>
  <dcterms:created xsi:type="dcterms:W3CDTF">2011-05-27T10:03:00Z</dcterms:created>
  <dcterms:modified xsi:type="dcterms:W3CDTF">2011-05-27T10:03:00Z</dcterms:modified>
</cp:coreProperties>
</file>