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0"/>
        <w:gridCol w:w="3961"/>
        <w:gridCol w:w="8"/>
      </w:tblGrid>
      <w:tr w:rsidR="008A22C3" w:rsidRPr="00D33D1F" w14:paraId="1127DDCF" w14:textId="77777777" w:rsidTr="00145959">
        <w:trPr>
          <w:gridAfter w:val="1"/>
          <w:wAfter w:w="8" w:type="dxa"/>
          <w:cantSplit/>
          <w:trHeight w:hRule="exact" w:val="577"/>
        </w:trPr>
        <w:tc>
          <w:tcPr>
            <w:tcW w:w="5670" w:type="dxa"/>
            <w:tcBorders>
              <w:top w:val="nil"/>
              <w:left w:val="nil"/>
              <w:bottom w:val="nil"/>
              <w:right w:val="nil"/>
            </w:tcBorders>
          </w:tcPr>
          <w:p w14:paraId="4DD495A5" w14:textId="77777777" w:rsidR="008A22C3" w:rsidRPr="00D33D1F" w:rsidRDefault="008A22C3" w:rsidP="00145959">
            <w:pPr>
              <w:pStyle w:val="Antrats"/>
              <w:tabs>
                <w:tab w:val="clear" w:pos="4153"/>
                <w:tab w:val="clear" w:pos="8306"/>
                <w:tab w:val="left" w:pos="5244"/>
              </w:tabs>
            </w:pPr>
          </w:p>
        </w:tc>
        <w:tc>
          <w:tcPr>
            <w:tcW w:w="3961" w:type="dxa"/>
            <w:tcBorders>
              <w:top w:val="nil"/>
              <w:left w:val="nil"/>
              <w:bottom w:val="nil"/>
              <w:right w:val="nil"/>
            </w:tcBorders>
          </w:tcPr>
          <w:p w14:paraId="6F7DA724" w14:textId="77777777" w:rsidR="008A22C3" w:rsidRPr="00145959" w:rsidRDefault="00145959" w:rsidP="002F7319">
            <w:pPr>
              <w:tabs>
                <w:tab w:val="left" w:pos="5244"/>
              </w:tabs>
              <w:jc w:val="right"/>
              <w:rPr>
                <w:bCs/>
              </w:rPr>
            </w:pPr>
            <w:r>
              <w:rPr>
                <w:bCs/>
              </w:rPr>
              <w:fldChar w:fldCharType="begin">
                <w:ffData>
                  <w:name w:val=""/>
                  <w:enabled/>
                  <w:calcOnExit w:val="0"/>
                  <w:helpText w:type="text" w:val="Apribojimo grifas"/>
                  <w:statusText w:type="text" w:val="Specialioji žyma"/>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428205DE" w14:textId="77777777" w:rsidR="008A22C3" w:rsidRPr="00D33D1F" w:rsidRDefault="008A22C3" w:rsidP="002F7319">
            <w:pPr>
              <w:pStyle w:val="Antrats"/>
              <w:tabs>
                <w:tab w:val="left" w:pos="5244"/>
              </w:tabs>
              <w:jc w:val="right"/>
            </w:pPr>
          </w:p>
        </w:tc>
      </w:tr>
      <w:tr w:rsidR="008A22C3" w:rsidRPr="00D33D1F" w14:paraId="405840D2" w14:textId="77777777" w:rsidTr="00145959">
        <w:trPr>
          <w:gridAfter w:val="1"/>
          <w:wAfter w:w="8" w:type="dxa"/>
          <w:cantSplit/>
          <w:trHeight w:hRule="exact" w:val="981"/>
        </w:trPr>
        <w:tc>
          <w:tcPr>
            <w:tcW w:w="9631" w:type="dxa"/>
            <w:gridSpan w:val="2"/>
            <w:tcBorders>
              <w:top w:val="nil"/>
              <w:left w:val="nil"/>
              <w:bottom w:val="nil"/>
              <w:right w:val="nil"/>
            </w:tcBorders>
          </w:tcPr>
          <w:p w14:paraId="4174FE9A" w14:textId="311DE6B7" w:rsidR="008A22C3" w:rsidRPr="00D33D1F" w:rsidRDefault="008D7D46" w:rsidP="00145959">
            <w:pPr>
              <w:pStyle w:val="Antrats"/>
              <w:tabs>
                <w:tab w:val="left" w:pos="5244"/>
              </w:tabs>
            </w:pPr>
            <w:bookmarkStart w:id="0" w:name="r04" w:colFirst="3" w:colLast="3"/>
            <w:bookmarkStart w:id="1" w:name="r01" w:colFirst="0" w:colLast="0"/>
            <w:r w:rsidRPr="00D33D1F">
              <w:rPr>
                <w:noProof/>
              </w:rPr>
              <w:drawing>
                <wp:anchor distT="0" distB="0" distL="114300" distR="114300" simplePos="0" relativeHeight="251657728" behindDoc="0" locked="0" layoutInCell="0" allowOverlap="1" wp14:anchorId="3D6CB9B9" wp14:editId="0F2C49F5">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A22C3" w:rsidRPr="00D33D1F" w14:paraId="58E4C9CE" w14:textId="77777777" w:rsidTr="00145959">
        <w:trPr>
          <w:cantSplit/>
          <w:trHeight w:hRule="exact" w:val="670"/>
        </w:trPr>
        <w:tc>
          <w:tcPr>
            <w:tcW w:w="9639" w:type="dxa"/>
            <w:gridSpan w:val="3"/>
            <w:tcBorders>
              <w:top w:val="nil"/>
              <w:left w:val="nil"/>
              <w:bottom w:val="nil"/>
              <w:right w:val="nil"/>
            </w:tcBorders>
          </w:tcPr>
          <w:p w14:paraId="14BBA131" w14:textId="77777777" w:rsidR="008A22C3" w:rsidRPr="00D33D1F" w:rsidRDefault="00145959">
            <w:pPr>
              <w:tabs>
                <w:tab w:val="left" w:pos="5244"/>
              </w:tabs>
              <w:jc w:val="center"/>
              <w:rPr>
                <w:b/>
                <w:caps/>
              </w:rPr>
            </w:pPr>
            <w:r>
              <w:rPr>
                <w:b/>
                <w:caps/>
              </w:rPr>
              <w:fldChar w:fldCharType="begin">
                <w:ffData>
                  <w:name w:val=""/>
                  <w:enabled w:val="0"/>
                  <w:calcOnExit w:val="0"/>
                  <w:textInput>
                    <w:default w:val="KAUNO MIESTO SAVIVALDYBĖ"/>
                    <w:format w:val="Didžiosios raidės"/>
                  </w:textInput>
                </w:ffData>
              </w:fldChar>
            </w:r>
            <w:r>
              <w:rPr>
                <w:b/>
                <w:caps/>
              </w:rPr>
              <w:instrText xml:space="preserve"> FORMTEXT </w:instrText>
            </w:r>
            <w:r>
              <w:rPr>
                <w:b/>
                <w:caps/>
              </w:rPr>
            </w:r>
            <w:r>
              <w:rPr>
                <w:b/>
                <w:caps/>
              </w:rPr>
              <w:fldChar w:fldCharType="separate"/>
            </w:r>
            <w:r>
              <w:rPr>
                <w:b/>
                <w:caps/>
                <w:noProof/>
              </w:rPr>
              <w:t>KAUNO MIESTO SAVIVALDYBĖ</w:t>
            </w:r>
            <w:r>
              <w:rPr>
                <w:b/>
                <w:caps/>
              </w:rPr>
              <w:fldChar w:fldCharType="end"/>
            </w:r>
          </w:p>
          <w:p w14:paraId="7D2393AA" w14:textId="77777777" w:rsidR="008A22C3" w:rsidRPr="00D33D1F" w:rsidRDefault="00145959">
            <w:pPr>
              <w:tabs>
                <w:tab w:val="left" w:pos="5244"/>
              </w:tabs>
              <w:spacing w:after="280"/>
              <w:jc w:val="center"/>
              <w:rPr>
                <w:b/>
                <w:caps/>
              </w:rPr>
            </w:pPr>
            <w:r>
              <w:rPr>
                <w:b/>
                <w:caps/>
              </w:rPr>
              <w:fldChar w:fldCharType="begin">
                <w:ffData>
                  <w:name w:val=""/>
                  <w:enabled w:val="0"/>
                  <w:calcOnExit w:val="0"/>
                  <w:textInput>
                    <w:format w:val="Didžiosios raidės"/>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8A22C3" w:rsidRPr="00D33D1F" w14:paraId="2630BB8D" w14:textId="77777777" w:rsidTr="00145959">
        <w:trPr>
          <w:cantSplit/>
          <w:trHeight w:hRule="exact" w:val="320"/>
        </w:trPr>
        <w:tc>
          <w:tcPr>
            <w:tcW w:w="9639" w:type="dxa"/>
            <w:gridSpan w:val="3"/>
            <w:tcBorders>
              <w:top w:val="nil"/>
              <w:left w:val="nil"/>
              <w:bottom w:val="nil"/>
              <w:right w:val="nil"/>
            </w:tcBorders>
          </w:tcPr>
          <w:p w14:paraId="5C1ED726" w14:textId="77777777" w:rsidR="008A22C3" w:rsidRPr="00D33D1F" w:rsidRDefault="008A22C3" w:rsidP="003B6CA5">
            <w:pPr>
              <w:tabs>
                <w:tab w:val="left" w:pos="5244"/>
              </w:tabs>
              <w:spacing w:after="280"/>
              <w:jc w:val="center"/>
            </w:pPr>
          </w:p>
        </w:tc>
      </w:tr>
      <w:tr w:rsidR="008A22C3" w:rsidRPr="00D33D1F" w14:paraId="79E79CEB" w14:textId="77777777" w:rsidTr="00145959">
        <w:trPr>
          <w:cantSplit/>
          <w:trHeight w:val="240"/>
        </w:trPr>
        <w:tc>
          <w:tcPr>
            <w:tcW w:w="9639" w:type="dxa"/>
            <w:gridSpan w:val="3"/>
            <w:tcBorders>
              <w:top w:val="nil"/>
              <w:left w:val="nil"/>
              <w:bottom w:val="nil"/>
              <w:right w:val="nil"/>
            </w:tcBorders>
          </w:tcPr>
          <w:p w14:paraId="3697D588" w14:textId="12BC193A" w:rsidR="008A22C3" w:rsidRPr="00D33D1F" w:rsidRDefault="00145959">
            <w:pPr>
              <w:tabs>
                <w:tab w:val="left" w:pos="5244"/>
              </w:tabs>
              <w:spacing w:after="240"/>
              <w:jc w:val="center"/>
              <w:rPr>
                <w:b/>
                <w:caps/>
              </w:rPr>
            </w:pPr>
            <w:r>
              <w:rPr>
                <w:b/>
              </w:rPr>
              <w:fldChar w:fldCharType="begin">
                <w:ffData>
                  <w:name w:val=""/>
                  <w:enabled/>
                  <w:calcOnExit w:val="0"/>
                  <w:helpText w:type="text" w:val="Teksto antraštė"/>
                  <w:statusText w:type="text" w:val="Teksto antraštė"/>
                  <w:textInput>
                    <w:default w:val="................. (ĮRAŠYTI PAVADINIMĄ) ATASKAITŲ RINKINYS"/>
                    <w:format w:val="Didžiosios raidės"/>
                  </w:textInput>
                </w:ffData>
              </w:fldChar>
            </w:r>
            <w:r>
              <w:rPr>
                <w:b/>
              </w:rPr>
              <w:instrText xml:space="preserve"> FORMTEXT </w:instrText>
            </w:r>
            <w:r>
              <w:rPr>
                <w:b/>
              </w:rPr>
            </w:r>
            <w:r>
              <w:rPr>
                <w:b/>
              </w:rPr>
              <w:fldChar w:fldCharType="separate"/>
            </w:r>
            <w:r w:rsidR="008D7D46" w:rsidRPr="008D7D46">
              <w:rPr>
                <w:b/>
                <w:noProof/>
              </w:rPr>
              <w:t>KAUNO MIESTO SAVIVALDYBĖS 202</w:t>
            </w:r>
            <w:r w:rsidR="008D7D46">
              <w:rPr>
                <w:b/>
                <w:noProof/>
              </w:rPr>
              <w:t>5</w:t>
            </w:r>
            <w:r w:rsidR="008D7D46" w:rsidRPr="008D7D46">
              <w:rPr>
                <w:b/>
                <w:noProof/>
              </w:rPr>
              <w:t xml:space="preserve"> METŲ VEIKLOS ATASKAITA</w:t>
            </w:r>
            <w:r>
              <w:rPr>
                <w:b/>
              </w:rPr>
              <w:fldChar w:fldCharType="end"/>
            </w:r>
          </w:p>
        </w:tc>
      </w:tr>
      <w:tr w:rsidR="008A22C3" w:rsidRPr="00D33D1F" w14:paraId="03633288" w14:textId="77777777" w:rsidTr="00145959">
        <w:trPr>
          <w:cantSplit/>
          <w:trHeight w:hRule="exact" w:val="320"/>
        </w:trPr>
        <w:tc>
          <w:tcPr>
            <w:tcW w:w="9639" w:type="dxa"/>
            <w:gridSpan w:val="3"/>
            <w:tcBorders>
              <w:top w:val="nil"/>
              <w:left w:val="nil"/>
              <w:bottom w:val="nil"/>
              <w:right w:val="nil"/>
            </w:tcBorders>
          </w:tcPr>
          <w:p w14:paraId="457BCD65" w14:textId="77777777" w:rsidR="008A22C3" w:rsidRPr="00D33D1F" w:rsidRDefault="00145959">
            <w:pPr>
              <w:tabs>
                <w:tab w:val="right" w:pos="2410"/>
                <w:tab w:val="right" w:pos="3544"/>
                <w:tab w:val="left" w:pos="5670"/>
              </w:tabs>
              <w:spacing w:after="280"/>
              <w:jc w:val="center"/>
            </w:pP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A22C3" w:rsidRPr="00D33D1F">
              <w:t xml:space="preserve"> </w:t>
            </w:r>
            <w:r w:rsidR="004A0872" w:rsidRPr="00D33D1F">
              <w:t xml:space="preserve"> </w:t>
            </w:r>
            <w:r w:rsidR="008A22C3" w:rsidRPr="00D33D1F">
              <w:t xml:space="preserve">Nr. </w:t>
            </w: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83766E" w14:textId="77777777" w:rsidR="008A22C3" w:rsidRPr="00D33D1F" w:rsidRDefault="008A22C3">
            <w:pPr>
              <w:tabs>
                <w:tab w:val="left" w:pos="5244"/>
              </w:tabs>
              <w:spacing w:after="120" w:line="360" w:lineRule="auto"/>
            </w:pPr>
          </w:p>
        </w:tc>
      </w:tr>
      <w:tr w:rsidR="008A22C3" w:rsidRPr="00D33D1F" w14:paraId="103C89B1" w14:textId="77777777" w:rsidTr="00145959">
        <w:trPr>
          <w:cantSplit/>
        </w:trPr>
        <w:tc>
          <w:tcPr>
            <w:tcW w:w="9639" w:type="dxa"/>
            <w:gridSpan w:val="3"/>
            <w:tcBorders>
              <w:top w:val="nil"/>
              <w:left w:val="nil"/>
              <w:bottom w:val="nil"/>
              <w:right w:val="nil"/>
            </w:tcBorders>
          </w:tcPr>
          <w:p w14:paraId="0F963359" w14:textId="77777777" w:rsidR="008A22C3" w:rsidRPr="00D33D1F" w:rsidRDefault="00145959">
            <w:pPr>
              <w:tabs>
                <w:tab w:val="left" w:pos="5245"/>
              </w:tabs>
              <w:suppressAutoHyphens/>
              <w:jc w:val="center"/>
            </w:pPr>
            <w:r>
              <w:fldChar w:fldCharType="begin">
                <w:ffData>
                  <w:name w:val=""/>
                  <w:enabled w:val="0"/>
                  <w:calcOnExit w:val="0"/>
                  <w:textInput>
                    <w:default w:val="Kaunas"/>
                  </w:textInput>
                </w:ffData>
              </w:fldChar>
            </w:r>
            <w:r>
              <w:instrText xml:space="preserve"> FORMTEXT </w:instrText>
            </w:r>
            <w:r>
              <w:fldChar w:fldCharType="separate"/>
            </w:r>
            <w:r>
              <w:rPr>
                <w:noProof/>
              </w:rPr>
              <w:t>Kaunas</w:t>
            </w:r>
            <w:r>
              <w:fldChar w:fldCharType="end"/>
            </w:r>
          </w:p>
        </w:tc>
      </w:tr>
    </w:tbl>
    <w:p w14:paraId="7D7B1327" w14:textId="77777777" w:rsidR="008A22C3" w:rsidRPr="00D33D1F" w:rsidRDefault="008A22C3">
      <w:pPr>
        <w:spacing w:after="480"/>
      </w:pPr>
    </w:p>
    <w:p w14:paraId="759AC6C9" w14:textId="77777777" w:rsidR="008A22C3" w:rsidRPr="00D33D1F" w:rsidRDefault="008A22C3">
      <w:pPr>
        <w:spacing w:after="480"/>
        <w:sectPr w:rsidR="008A22C3" w:rsidRPr="00D33D1F" w:rsidSect="008966A2">
          <w:footerReference w:type="default" r:id="rId9"/>
          <w:headerReference w:type="first" r:id="rId10"/>
          <w:footerReference w:type="first" r:id="rId11"/>
          <w:type w:val="continuous"/>
          <w:pgSz w:w="11907" w:h="16840" w:code="9"/>
          <w:pgMar w:top="397" w:right="567" w:bottom="1134" w:left="1701" w:header="340" w:footer="340" w:gutter="0"/>
          <w:pgNumType w:start="1"/>
          <w:cols w:space="720"/>
          <w:titlePg/>
          <w:docGrid w:linePitch="326"/>
        </w:sectPr>
      </w:pPr>
    </w:p>
    <w:p w14:paraId="344BD9B5" w14:textId="77777777" w:rsidR="00D26788" w:rsidRPr="00D26788" w:rsidRDefault="00D26788" w:rsidP="009C6543">
      <w:pPr>
        <w:spacing w:line="276" w:lineRule="auto"/>
        <w:jc w:val="center"/>
        <w:rPr>
          <w:b/>
          <w:szCs w:val="24"/>
          <w:lang w:eastAsia="en-US"/>
        </w:rPr>
      </w:pPr>
      <w:r w:rsidRPr="00D26788">
        <w:rPr>
          <w:b/>
          <w:szCs w:val="24"/>
          <w:lang w:eastAsia="en-US"/>
        </w:rPr>
        <w:t xml:space="preserve">I SKYRIUS </w:t>
      </w:r>
    </w:p>
    <w:p w14:paraId="5CEBCDC4" w14:textId="681AAFF3" w:rsidR="00D26788" w:rsidRPr="00D26788" w:rsidRDefault="00D26788" w:rsidP="009C6543">
      <w:pPr>
        <w:spacing w:line="276" w:lineRule="auto"/>
        <w:jc w:val="center"/>
        <w:rPr>
          <w:b/>
          <w:szCs w:val="24"/>
          <w:lang w:eastAsia="en-US"/>
        </w:rPr>
      </w:pPr>
      <w:r w:rsidRPr="00D26788">
        <w:rPr>
          <w:b/>
          <w:szCs w:val="24"/>
          <w:lang w:eastAsia="en-US"/>
        </w:rPr>
        <w:t>ĮŽANGINIS ŽODIS</w:t>
      </w:r>
      <w:r w:rsidR="00A3011D">
        <w:rPr>
          <w:b/>
          <w:szCs w:val="24"/>
          <w:lang w:eastAsia="en-US"/>
        </w:rPr>
        <w:t xml:space="preserve"> </w:t>
      </w:r>
    </w:p>
    <w:p w14:paraId="5D41D050" w14:textId="77777777" w:rsidR="00D26788" w:rsidRPr="00D26788" w:rsidRDefault="00D26788" w:rsidP="00D26788">
      <w:pPr>
        <w:spacing w:line="276" w:lineRule="auto"/>
        <w:jc w:val="center"/>
        <w:rPr>
          <w:bCs/>
          <w:szCs w:val="24"/>
          <w:lang w:eastAsia="en-US"/>
        </w:rPr>
      </w:pPr>
    </w:p>
    <w:p w14:paraId="40E16D6C" w14:textId="5371C338" w:rsidR="00D26788" w:rsidRPr="00D26788" w:rsidRDefault="00D26788" w:rsidP="00D26788">
      <w:pPr>
        <w:spacing w:line="360" w:lineRule="auto"/>
        <w:ind w:firstLine="993"/>
        <w:jc w:val="both"/>
        <w:rPr>
          <w:bCs/>
          <w:szCs w:val="24"/>
          <w:lang w:eastAsia="en-US"/>
        </w:rPr>
      </w:pPr>
      <w:r w:rsidRPr="00D26788">
        <w:rPr>
          <w:bCs/>
          <w:szCs w:val="24"/>
          <w:lang w:eastAsia="en-US"/>
        </w:rPr>
        <w:t>Mieli kauniečiai, Kauno miesto savivaldybės tarybos nariai, administracijos darbuotojai, visi, kuriems rūpi mūsų miesto dabartis ir ateitis,</w:t>
      </w:r>
      <w:r w:rsidR="00A3011D">
        <w:rPr>
          <w:bCs/>
          <w:szCs w:val="24"/>
          <w:lang w:eastAsia="en-US"/>
        </w:rPr>
        <w:t xml:space="preserve"> </w:t>
      </w:r>
    </w:p>
    <w:p w14:paraId="232F9257" w14:textId="1645781E" w:rsidR="00D26788" w:rsidRPr="00D26788" w:rsidRDefault="00D26788" w:rsidP="00D26788">
      <w:pPr>
        <w:spacing w:line="360" w:lineRule="auto"/>
        <w:ind w:firstLine="993"/>
        <w:jc w:val="both"/>
        <w:rPr>
          <w:bCs/>
          <w:szCs w:val="24"/>
          <w:lang w:eastAsia="en-US"/>
        </w:rPr>
      </w:pPr>
      <w:r w:rsidRPr="00D26788">
        <w:rPr>
          <w:bCs/>
          <w:szCs w:val="24"/>
          <w:lang w:eastAsia="en-US"/>
        </w:rPr>
        <w:t>2025-ieji Kaunui buvo reikšmingų darbų, brandžių sprendimų ir tvirtėjančios miesto laikysenos metai. Per šiuos metus Kaunas dar ryškiau atsiskleidė kaip modernus, augantis ir savo kryptimi pasitikintis miestas – miestas, kuris nuosekliai stiprina ekonominį potencialą, kryptingai įgyvendina svarbiausius projektus, gerina gyvenimo kokybę ir drąsiai kuria savo ateitį. Šiandien Kaunas vis aiškiau matomas kaip miestas, kuriame pažanga nėra atsitiktinumas, o atsakingo darbo, ilgalaikės vizijos ir ištikimybės savo įsipareigojimams rezultatas.</w:t>
      </w:r>
      <w:r w:rsidR="00A3011D">
        <w:rPr>
          <w:bCs/>
          <w:szCs w:val="24"/>
          <w:lang w:eastAsia="en-US"/>
        </w:rPr>
        <w:t xml:space="preserve"> </w:t>
      </w:r>
    </w:p>
    <w:p w14:paraId="730DDFBB" w14:textId="5D735B3D" w:rsidR="00D26788" w:rsidRPr="00D26788" w:rsidRDefault="00D26788" w:rsidP="00D26788">
      <w:pPr>
        <w:spacing w:line="360" w:lineRule="auto"/>
        <w:ind w:firstLine="993"/>
        <w:jc w:val="both"/>
        <w:rPr>
          <w:bCs/>
          <w:szCs w:val="24"/>
          <w:lang w:eastAsia="en-US"/>
        </w:rPr>
      </w:pPr>
      <w:r w:rsidRPr="00D26788">
        <w:rPr>
          <w:bCs/>
          <w:szCs w:val="24"/>
          <w:lang w:eastAsia="en-US"/>
        </w:rPr>
        <w:t xml:space="preserve">Be jokios abejonės, ši pažanga kuriama bendromis pastangomis. Ją stiprina nuoširdus ir bendras Savivaldybės tarybos ir administracijos darbas, miesto įstaigų ir </w:t>
      </w:r>
      <w:r w:rsidR="00C13206">
        <w:rPr>
          <w:bCs/>
          <w:szCs w:val="24"/>
          <w:lang w:eastAsia="en-US"/>
        </w:rPr>
        <w:t>S</w:t>
      </w:r>
      <w:r w:rsidRPr="00D26788">
        <w:rPr>
          <w:bCs/>
          <w:szCs w:val="24"/>
          <w:lang w:eastAsia="en-US"/>
        </w:rPr>
        <w:t>avivaldybės įmonių atsakomybė, bendruomenių įsitraukimas, partnerių pasitikėjimas ir iniciatyvių kauniečių pilietiškumas. Būtent šis sutelktumas leido miestui 2025 metais ne tik išlaikyti kryptingą augimo tempą, bet ir įgyvendinti sprendimus, kurie orientuoti į ilgalaikę naudą žmonėms. Kaunas ir toliau augo remdamasis aiškiu principu – realūs darbai yra stipresni už trumpalaikius pažadus, o miesto ateitis kuriama nuoseklumu, atsakomybe ir pasitikėjimu savo galimybėmis.</w:t>
      </w:r>
      <w:r w:rsidR="00A3011D">
        <w:rPr>
          <w:bCs/>
          <w:szCs w:val="24"/>
          <w:lang w:eastAsia="en-US"/>
        </w:rPr>
        <w:t xml:space="preserve"> </w:t>
      </w:r>
    </w:p>
    <w:p w14:paraId="764CF7C0" w14:textId="728A3A53" w:rsidR="00D26788" w:rsidRPr="00D26788" w:rsidRDefault="00C13206" w:rsidP="00D26788">
      <w:pPr>
        <w:spacing w:line="360" w:lineRule="auto"/>
        <w:ind w:firstLine="993"/>
        <w:jc w:val="both"/>
        <w:rPr>
          <w:bCs/>
          <w:szCs w:val="24"/>
          <w:lang w:eastAsia="en-US"/>
        </w:rPr>
      </w:pPr>
      <w:r>
        <w:rPr>
          <w:bCs/>
          <w:szCs w:val="24"/>
          <w:lang w:eastAsia="en-US"/>
        </w:rPr>
        <w:t>Praėjusiais</w:t>
      </w:r>
      <w:r w:rsidR="00D26788" w:rsidRPr="00D26788">
        <w:rPr>
          <w:bCs/>
          <w:szCs w:val="24"/>
          <w:lang w:eastAsia="en-US"/>
        </w:rPr>
        <w:t xml:space="preserve"> metais itin ryškiai pasimatė miesto infrastruktūros proveržis. Sparčiai judėjo naujų jungčių, tiltų, viadukų ir kitų strateginių infrastruktūros objektų darbai, orientuoti į patogesnį susisiekimą, geresnį miesto pasiekiamumą ir tolygesnę skirtingų teritorijų integraciją. Kartu buvo plečiama ir modernizuojama švietimo, sporto, kultūros bei sveikatos infrastruktūra, atnaujinamos viešosios erdvės, stiprinama kasdieniam gyvenimui svarbi miesto aplinka. Visa tai liudija brandžią </w:t>
      </w:r>
      <w:r w:rsidR="00D26788" w:rsidRPr="00D26788">
        <w:rPr>
          <w:bCs/>
          <w:szCs w:val="24"/>
          <w:lang w:eastAsia="en-US"/>
        </w:rPr>
        <w:lastRenderedPageBreak/>
        <w:t>miesto raidą – tokią, kurioje svarbūs ne pavieniai projektai, o visa apimanti pažanga, kurią kasdien patiria miesto žmonės.</w:t>
      </w:r>
      <w:r w:rsidR="00A3011D">
        <w:rPr>
          <w:bCs/>
          <w:szCs w:val="24"/>
          <w:lang w:eastAsia="en-US"/>
        </w:rPr>
        <w:t xml:space="preserve"> </w:t>
      </w:r>
    </w:p>
    <w:p w14:paraId="01C97378" w14:textId="52D19F24" w:rsidR="00D26788" w:rsidRPr="00D26788" w:rsidRDefault="00D26788" w:rsidP="00D26788">
      <w:pPr>
        <w:spacing w:line="360" w:lineRule="auto"/>
        <w:ind w:firstLine="993"/>
        <w:jc w:val="both"/>
        <w:rPr>
          <w:bCs/>
          <w:szCs w:val="24"/>
          <w:lang w:eastAsia="en-US"/>
        </w:rPr>
      </w:pPr>
      <w:r w:rsidRPr="00D26788">
        <w:rPr>
          <w:bCs/>
          <w:szCs w:val="24"/>
          <w:lang w:eastAsia="en-US"/>
        </w:rPr>
        <w:t xml:space="preserve">Ypatingą vietą 2025 metų miesto gyvenime užėmė kultūra ir reprezentacinė Kauno kokybė. Pradėta išskirtinio M. K. Čiurlionio koncertų centro statyba tapo vienu ryškiausių miesto ambicijos ir brandos ženklų. Greta to buvo tęsiamas istorinių pastatų atnaujinimas, stiprinama kultūros infrastruktūra, puoselėjamos miesto viešosios erdvės ir saugoma tai, kas formuoja išskirtinį Kauno veidą. </w:t>
      </w:r>
      <w:r w:rsidR="00D82677">
        <w:rPr>
          <w:bCs/>
          <w:szCs w:val="24"/>
          <w:lang w:eastAsia="en-US"/>
        </w:rPr>
        <w:t>Kaunas</w:t>
      </w:r>
      <w:r w:rsidRPr="00D26788">
        <w:rPr>
          <w:bCs/>
          <w:szCs w:val="24"/>
          <w:lang w:eastAsia="en-US"/>
        </w:rPr>
        <w:t xml:space="preserve"> kryptingai stiprin</w:t>
      </w:r>
      <w:r w:rsidR="00D82677">
        <w:rPr>
          <w:bCs/>
          <w:szCs w:val="24"/>
          <w:lang w:eastAsia="en-US"/>
        </w:rPr>
        <w:t>o</w:t>
      </w:r>
      <w:r w:rsidRPr="00D26788">
        <w:rPr>
          <w:bCs/>
          <w:szCs w:val="24"/>
          <w:lang w:eastAsia="en-US"/>
        </w:rPr>
        <w:t xml:space="preserve"> ne tik savo ekonominį ir urbanistinį gyvybingumą, bet ir kultūrinį stuburą – tą vertybinį pagrindą, kuris miestui suteikia orumo, tapatybės ir išliekamosios vertės.</w:t>
      </w:r>
      <w:r w:rsidR="00A3011D">
        <w:rPr>
          <w:bCs/>
          <w:szCs w:val="24"/>
          <w:lang w:eastAsia="en-US"/>
        </w:rPr>
        <w:t xml:space="preserve"> </w:t>
      </w:r>
    </w:p>
    <w:p w14:paraId="285F79AB" w14:textId="02079D81" w:rsidR="00D26788" w:rsidRPr="00D26788" w:rsidRDefault="00D26788" w:rsidP="00D26788">
      <w:pPr>
        <w:spacing w:line="360" w:lineRule="auto"/>
        <w:ind w:firstLine="993"/>
        <w:jc w:val="both"/>
        <w:rPr>
          <w:bCs/>
          <w:szCs w:val="24"/>
          <w:lang w:eastAsia="en-US"/>
        </w:rPr>
      </w:pPr>
      <w:r w:rsidRPr="00D26788">
        <w:rPr>
          <w:bCs/>
          <w:szCs w:val="24"/>
          <w:lang w:eastAsia="en-US"/>
        </w:rPr>
        <w:t xml:space="preserve">Vienu svarbiausių miesto prioritetų ir toliau išliko švietimas. Kaunas nuosekliai </w:t>
      </w:r>
      <w:r w:rsidR="005C4F83">
        <w:rPr>
          <w:bCs/>
          <w:szCs w:val="24"/>
          <w:lang w:eastAsia="en-US"/>
        </w:rPr>
        <w:t>gerino</w:t>
      </w:r>
      <w:r w:rsidRPr="00D26788">
        <w:rPr>
          <w:bCs/>
          <w:szCs w:val="24"/>
          <w:lang w:eastAsia="en-US"/>
        </w:rPr>
        <w:t xml:space="preserve"> ugdymo kokybę, modernizavo mokyklų ir darželių aplinką, plėtojo pažangias programas ir kūrė sąlygas vaikams bei jaunimui augti mieste, kuris tiki jų ateitimi. Taip pat buvo kryptingai vystoma sporto ir aktyvaus laisvalaikio infrastruktūra, stiprinamos sveikatos ir ilgalaikės priežiūros paslaugos, plečiamos galimybės gyventi aktyviau, saugiau ir kokybiškiau. Tokios investicijos yra ne tik sprendimai šiandienai – tai pagarba žmogui, jo orumui, sveikatai, gebėjimui augti ir kurti savo gyvenimą Kaune.</w:t>
      </w:r>
      <w:r w:rsidR="00A3011D">
        <w:rPr>
          <w:bCs/>
          <w:szCs w:val="24"/>
          <w:lang w:eastAsia="en-US"/>
        </w:rPr>
        <w:t xml:space="preserve"> </w:t>
      </w:r>
    </w:p>
    <w:p w14:paraId="71CB5C01" w14:textId="3CF4A488" w:rsidR="00D26788" w:rsidRPr="00D26788" w:rsidRDefault="00D26788" w:rsidP="00D26788">
      <w:pPr>
        <w:spacing w:line="360" w:lineRule="auto"/>
        <w:ind w:firstLine="993"/>
        <w:jc w:val="both"/>
        <w:rPr>
          <w:bCs/>
          <w:szCs w:val="24"/>
          <w:lang w:eastAsia="en-US"/>
        </w:rPr>
      </w:pPr>
      <w:r w:rsidRPr="00D26788">
        <w:rPr>
          <w:bCs/>
          <w:szCs w:val="24"/>
          <w:lang w:eastAsia="en-US"/>
        </w:rPr>
        <w:t xml:space="preserve">2025 metais </w:t>
      </w:r>
      <w:r w:rsidR="005C4F83">
        <w:rPr>
          <w:bCs/>
          <w:szCs w:val="24"/>
          <w:lang w:eastAsia="en-US"/>
        </w:rPr>
        <w:t>miestas</w:t>
      </w:r>
      <w:r w:rsidRPr="00D26788">
        <w:rPr>
          <w:bCs/>
          <w:szCs w:val="24"/>
          <w:lang w:eastAsia="en-US"/>
        </w:rPr>
        <w:t xml:space="preserve"> dar ryžtingiau </w:t>
      </w:r>
      <w:r w:rsidR="005C4F83">
        <w:rPr>
          <w:bCs/>
          <w:szCs w:val="24"/>
          <w:lang w:eastAsia="en-US"/>
        </w:rPr>
        <w:t xml:space="preserve">dirbo </w:t>
      </w:r>
      <w:r w:rsidRPr="00D26788">
        <w:rPr>
          <w:bCs/>
          <w:szCs w:val="24"/>
          <w:lang w:eastAsia="en-US"/>
        </w:rPr>
        <w:t xml:space="preserve">ir </w:t>
      </w:r>
      <w:r w:rsidR="00592B3B">
        <w:rPr>
          <w:bCs/>
          <w:szCs w:val="24"/>
          <w:lang w:eastAsia="en-US"/>
        </w:rPr>
        <w:t>žaliojo kurso įgyvendinimo</w:t>
      </w:r>
      <w:r w:rsidRPr="00D26788">
        <w:rPr>
          <w:bCs/>
          <w:szCs w:val="24"/>
          <w:lang w:eastAsia="en-US"/>
        </w:rPr>
        <w:t xml:space="preserve"> </w:t>
      </w:r>
      <w:r w:rsidR="005C4F83">
        <w:rPr>
          <w:bCs/>
          <w:szCs w:val="24"/>
          <w:lang w:eastAsia="en-US"/>
        </w:rPr>
        <w:t>srityje</w:t>
      </w:r>
      <w:r w:rsidRPr="00D26788">
        <w:rPr>
          <w:bCs/>
          <w:szCs w:val="24"/>
          <w:lang w:eastAsia="en-US"/>
        </w:rPr>
        <w:t>. Mieste buvo atnaujinamos žaliosios viešosios erdvės, diegiami tvaraus judumo sprendimai, modernizuojama gyvenamoji aplinka, plečiamos aplinkosaugos ir energinio efektyvumo iniciatyvos. Tvarumas Kaunui yra ne atskira politika, o visuminis požiūris į miesto raidą – į žmogų, aplinką, infrastruktūrą ir atsakomybę ateities kartoms. Tai miesto branda, kuri matuojama ne vien tempu, bet ir gebėjimu augti atsakingai.</w:t>
      </w:r>
      <w:r w:rsidR="00A3011D">
        <w:rPr>
          <w:bCs/>
          <w:szCs w:val="24"/>
          <w:lang w:eastAsia="en-US"/>
        </w:rPr>
        <w:t xml:space="preserve"> </w:t>
      </w:r>
    </w:p>
    <w:p w14:paraId="21957CC3" w14:textId="7CE29D4C" w:rsidR="00D26788" w:rsidRPr="00D26788" w:rsidRDefault="00D26788" w:rsidP="00D26788">
      <w:pPr>
        <w:spacing w:line="360" w:lineRule="auto"/>
        <w:ind w:firstLine="993"/>
        <w:jc w:val="both"/>
        <w:rPr>
          <w:bCs/>
          <w:szCs w:val="24"/>
          <w:lang w:eastAsia="en-US"/>
        </w:rPr>
      </w:pPr>
      <w:r w:rsidRPr="00D26788">
        <w:rPr>
          <w:bCs/>
          <w:szCs w:val="24"/>
          <w:lang w:eastAsia="en-US"/>
        </w:rPr>
        <w:t xml:space="preserve">Svarbiu </w:t>
      </w:r>
      <w:r w:rsidR="00592B3B">
        <w:rPr>
          <w:bCs/>
          <w:szCs w:val="24"/>
          <w:lang w:eastAsia="en-US"/>
        </w:rPr>
        <w:t>praėjusių</w:t>
      </w:r>
      <w:r w:rsidRPr="00D26788">
        <w:rPr>
          <w:bCs/>
          <w:szCs w:val="24"/>
          <w:lang w:eastAsia="en-US"/>
        </w:rPr>
        <w:t xml:space="preserve"> metų ženklu tapo ir stiprėjantis Kauno investicinis patrauklumas bei tarptautinis matomumas. Miestas toliau plėtojo inovacijų ekosistemą, telkė verslui ir talentams palankią aplinką, stiprino turizmo kryptis ir nuosekliai formavo modernaus, patikimo ir veržlaus Europos miesto vardą. Kaunas vis labiau atsiskleidė kaip miestas, kuriuo pasitikima, į kurį investuojama ir kurį renkasi ne tik gyventi ar dirbti, bet ir kurti ateities sprendimus. Tai yra svarbi miesto stiprybė – gebėjimas būti atviram pasauliui, išlaikant aiškų savo identitetą ir kryptį.</w:t>
      </w:r>
      <w:r w:rsidR="00A3011D">
        <w:rPr>
          <w:bCs/>
          <w:szCs w:val="24"/>
          <w:lang w:eastAsia="en-US"/>
        </w:rPr>
        <w:t xml:space="preserve"> </w:t>
      </w:r>
    </w:p>
    <w:p w14:paraId="7EE01BFA" w14:textId="0ECAED8A" w:rsidR="00D26788" w:rsidRPr="00D26788" w:rsidRDefault="00D26788" w:rsidP="00D26788">
      <w:pPr>
        <w:spacing w:line="360" w:lineRule="auto"/>
        <w:ind w:firstLine="993"/>
        <w:jc w:val="both"/>
        <w:rPr>
          <w:bCs/>
          <w:szCs w:val="24"/>
          <w:lang w:eastAsia="en-US"/>
        </w:rPr>
      </w:pPr>
      <w:r w:rsidRPr="00D26788">
        <w:rPr>
          <w:bCs/>
          <w:szCs w:val="24"/>
          <w:lang w:eastAsia="en-US"/>
        </w:rPr>
        <w:t>Svarbu pabrėžti, kad už 2025 metų rezultatus pirmiausia tenka dėkoti žmonėms, kurie kasdien nuosekliai dirbo dėl Kauno. Reikšmingą indėlį į miesto pažangą įnešė Savivaldybės administracijos darbuotojai, miesto įstaigos ir įmonės, o konstruktyvus Kauno miesto savivaldybės tarybos darbas, patarimai, kritiškas požiūris ir bendrų sprendimų paieška padėjo ne tik įgyvendinti svarbiausius tikslus, bet ir aiškiau apibrėžti tolesnes miesto augimo kryptis.</w:t>
      </w:r>
      <w:r w:rsidR="00A3011D">
        <w:rPr>
          <w:bCs/>
          <w:szCs w:val="24"/>
          <w:lang w:eastAsia="en-US"/>
        </w:rPr>
        <w:t xml:space="preserve"> </w:t>
      </w:r>
    </w:p>
    <w:p w14:paraId="769E4F89" w14:textId="39D7BB1D" w:rsidR="00D26788" w:rsidRPr="00D26788" w:rsidRDefault="00DD77AE" w:rsidP="00D26788">
      <w:pPr>
        <w:spacing w:line="360" w:lineRule="auto"/>
        <w:ind w:firstLine="993"/>
        <w:jc w:val="both"/>
        <w:rPr>
          <w:bCs/>
          <w:szCs w:val="24"/>
          <w:lang w:eastAsia="en-US"/>
        </w:rPr>
      </w:pPr>
      <w:r>
        <w:rPr>
          <w:bCs/>
          <w:szCs w:val="24"/>
          <w:lang w:eastAsia="en-US"/>
        </w:rPr>
        <w:lastRenderedPageBreak/>
        <w:t>Miestą kuriančios komandos</w:t>
      </w:r>
      <w:r w:rsidR="00D26788" w:rsidRPr="00D26788">
        <w:rPr>
          <w:bCs/>
          <w:szCs w:val="24"/>
          <w:lang w:eastAsia="en-US"/>
        </w:rPr>
        <w:t xml:space="preserve"> siekis buvo ir išlieka tas pats – nuosekliai auginti miestą, kuriame gera gyventi, dirbti, kurti ir matyti savo ateitį. Šis tikslas telkia bendram darbui ir įpareigoja išlaikyti pasiektą pagreitį. Būtent bendromis pastangomis Kaunas ir toliau gali kasdien tapti dar gražesnis, patogesnis, gyvybingesnis ir patrauklesnis kiekvienam.</w:t>
      </w:r>
      <w:r w:rsidR="00A3011D">
        <w:rPr>
          <w:bCs/>
          <w:szCs w:val="24"/>
          <w:lang w:eastAsia="en-US"/>
        </w:rPr>
        <w:t xml:space="preserve"> </w:t>
      </w:r>
    </w:p>
    <w:p w14:paraId="325E3594" w14:textId="6DBCB638" w:rsidR="00D26788" w:rsidRDefault="00D26788" w:rsidP="00D26788">
      <w:pPr>
        <w:spacing w:line="360" w:lineRule="auto"/>
        <w:ind w:firstLine="993"/>
        <w:jc w:val="both"/>
        <w:rPr>
          <w:bCs/>
          <w:szCs w:val="24"/>
          <w:lang w:eastAsia="en-US"/>
        </w:rPr>
      </w:pPr>
      <w:r w:rsidRPr="00D26788">
        <w:rPr>
          <w:bCs/>
          <w:szCs w:val="24"/>
          <w:lang w:eastAsia="en-US"/>
        </w:rPr>
        <w:t>Apibendrinant galima tvirtai pasakyti: 2025 metais Kaunas dar kartą įrodė, kad jo pažanga remiasi ne atsitiktinumu, o valia kurti, gebėjimu susitelkti ir drąsa nuosekliai eiti pirmyn. Tai miestas, kuris moka gerbti savo istoriją, atsakingai tvarkyti dabartį ir oriai kurti ateitį. Miestas, kuris stiprėja ne vien pastatais, projektais ar naujomis erdvėmis, bet ir žmonių pasitikėjimu, bendruomenės gyvybe, kultūros jėga ir aiškia kryptimi. Kaunas šiandien yra miestas, kuris ne tik keičiasi – Kaunas brandžiai auga. Ir būtent ši branda, ši stiprybė ir ši nuosekli pažanga kuria tvirtą pagrindą rytojui, kuriuo galime pagrįstai didžiuotis.</w:t>
      </w:r>
      <w:r w:rsidR="00A3011D">
        <w:rPr>
          <w:bCs/>
          <w:szCs w:val="24"/>
          <w:lang w:eastAsia="en-US"/>
        </w:rPr>
        <w:t xml:space="preserve"> </w:t>
      </w:r>
    </w:p>
    <w:p w14:paraId="1BA0A38E" w14:textId="77777777" w:rsidR="006A5734" w:rsidRPr="00D26788" w:rsidRDefault="006A5734" w:rsidP="00A3011D">
      <w:pPr>
        <w:spacing w:line="360" w:lineRule="auto"/>
        <w:jc w:val="both"/>
        <w:rPr>
          <w:bCs/>
          <w:szCs w:val="24"/>
          <w:lang w:eastAsia="en-US"/>
        </w:rPr>
      </w:pPr>
    </w:p>
    <w:p w14:paraId="633A3D83" w14:textId="39DDD0EE" w:rsidR="00D26788" w:rsidRPr="00A3011D" w:rsidRDefault="00D26788" w:rsidP="009C6543">
      <w:pPr>
        <w:spacing w:line="276" w:lineRule="auto"/>
        <w:jc w:val="center"/>
        <w:rPr>
          <w:b/>
          <w:szCs w:val="24"/>
          <w:lang w:eastAsia="en-US" w:bidi="he-IL"/>
        </w:rPr>
      </w:pPr>
      <w:r w:rsidRPr="00D26788">
        <w:rPr>
          <w:rFonts w:eastAsia="Calibri"/>
          <w:b/>
          <w:szCs w:val="24"/>
          <w:lang w:eastAsia="en-US" w:bidi="he-IL"/>
        </w:rPr>
        <w:t>II SKYRIUS</w:t>
      </w:r>
      <w:r w:rsidR="00A3011D">
        <w:rPr>
          <w:rFonts w:eastAsia="Calibri"/>
          <w:b/>
          <w:szCs w:val="24"/>
          <w:lang w:eastAsia="en-US" w:bidi="he-IL"/>
        </w:rPr>
        <w:t xml:space="preserve"> </w:t>
      </w:r>
    </w:p>
    <w:p w14:paraId="4C56C71F" w14:textId="4EAEF928" w:rsidR="00D26788" w:rsidRPr="00D26788" w:rsidRDefault="00D26788" w:rsidP="009C6543">
      <w:pPr>
        <w:spacing w:line="276" w:lineRule="auto"/>
        <w:jc w:val="center"/>
        <w:rPr>
          <w:b/>
          <w:szCs w:val="24"/>
          <w:lang w:eastAsia="en-US" w:bidi="he-IL"/>
        </w:rPr>
      </w:pPr>
      <w:r w:rsidRPr="00D26788">
        <w:rPr>
          <w:rFonts w:eastAsia="Calibri"/>
          <w:b/>
          <w:szCs w:val="24"/>
          <w:lang w:eastAsia="en-US" w:bidi="he-IL"/>
        </w:rPr>
        <w:t>SAVIVALDYBĖS TARYBOS VEIKLA</w:t>
      </w:r>
      <w:r w:rsidR="00A3011D">
        <w:rPr>
          <w:rFonts w:eastAsia="Calibri"/>
          <w:b/>
          <w:szCs w:val="24"/>
          <w:lang w:eastAsia="en-US" w:bidi="he-IL"/>
        </w:rPr>
        <w:t xml:space="preserve"> </w:t>
      </w:r>
    </w:p>
    <w:p w14:paraId="3821C5C1" w14:textId="77777777" w:rsidR="00D26788" w:rsidRPr="00D26788" w:rsidRDefault="00D26788" w:rsidP="00D26788">
      <w:pPr>
        <w:spacing w:line="360" w:lineRule="auto"/>
        <w:jc w:val="both"/>
        <w:rPr>
          <w:szCs w:val="24"/>
          <w:lang w:eastAsia="en-US" w:bidi="he-IL"/>
        </w:rPr>
      </w:pPr>
    </w:p>
    <w:p w14:paraId="02AC609F" w14:textId="68AC7F02"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Kauno miesto savivaldybės </w:t>
      </w:r>
      <w:r w:rsidRPr="007E69A3">
        <w:rPr>
          <w:rFonts w:eastAsia="Calibri"/>
          <w:szCs w:val="24"/>
          <w:lang w:eastAsia="en-US" w:bidi="he-IL"/>
        </w:rPr>
        <w:t xml:space="preserve">(toliau – Savivaldybė) </w:t>
      </w:r>
      <w:r w:rsidRPr="00D26788">
        <w:rPr>
          <w:rFonts w:eastAsia="Calibri"/>
          <w:szCs w:val="24"/>
          <w:lang w:eastAsia="en-US" w:bidi="he-IL"/>
        </w:rPr>
        <w:t xml:space="preserve">taryba – </w:t>
      </w:r>
      <w:r w:rsidR="00A3011D">
        <w:rPr>
          <w:rFonts w:eastAsia="Calibri"/>
          <w:szCs w:val="24"/>
          <w:lang w:eastAsia="en-US" w:bidi="he-IL"/>
        </w:rPr>
        <w:t>S</w:t>
      </w:r>
      <w:r w:rsidRPr="00D26788">
        <w:rPr>
          <w:rFonts w:eastAsia="Calibri"/>
          <w:szCs w:val="24"/>
          <w:lang w:eastAsia="en-US" w:bidi="he-IL"/>
        </w:rPr>
        <w:t xml:space="preserve">avivaldybės atstovaujamoji institucija, kuri turi savivaldybės valdžios ir viešojo administravimo įgaliojimus ir kurią sudaro tarybos nariai – savivaldybės bendruomenės atstovai. </w:t>
      </w:r>
      <w:r w:rsidR="00A3011D">
        <w:rPr>
          <w:rFonts w:eastAsia="Calibri"/>
          <w:szCs w:val="24"/>
          <w:lang w:eastAsia="en-US" w:bidi="he-IL"/>
        </w:rPr>
        <w:t>S</w:t>
      </w:r>
      <w:r w:rsidRPr="00D26788">
        <w:rPr>
          <w:rFonts w:eastAsia="Calibri"/>
          <w:szCs w:val="24"/>
          <w:lang w:eastAsia="en-US" w:bidi="he-IL"/>
        </w:rPr>
        <w:t>avivaldybės tarybą sudaro 41 narys.</w:t>
      </w:r>
      <w:r w:rsidR="00A3011D">
        <w:rPr>
          <w:rFonts w:eastAsia="Calibri"/>
          <w:szCs w:val="24"/>
          <w:lang w:eastAsia="en-US" w:bidi="he-IL"/>
        </w:rPr>
        <w:t xml:space="preserve"> </w:t>
      </w:r>
    </w:p>
    <w:p w14:paraId="2A036FA2" w14:textId="639C707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dirbo 2023 metais savivaldos rinkimuose išrinkta </w:t>
      </w:r>
      <w:r w:rsidR="00A3011D">
        <w:rPr>
          <w:rFonts w:eastAsia="Calibri"/>
          <w:szCs w:val="24"/>
          <w:lang w:eastAsia="en-US" w:bidi="he-IL"/>
        </w:rPr>
        <w:t>S</w:t>
      </w:r>
      <w:r w:rsidRPr="00D26788">
        <w:rPr>
          <w:rFonts w:eastAsia="Calibri"/>
          <w:szCs w:val="24"/>
          <w:lang w:eastAsia="en-US" w:bidi="he-IL"/>
        </w:rPr>
        <w:t>avivaldybės taryba.</w:t>
      </w:r>
      <w:r w:rsidR="00A3011D">
        <w:rPr>
          <w:rFonts w:eastAsia="Calibri"/>
          <w:szCs w:val="24"/>
          <w:lang w:eastAsia="en-US" w:bidi="he-IL"/>
        </w:rPr>
        <w:t xml:space="preserve"> </w:t>
      </w:r>
    </w:p>
    <w:p w14:paraId="60DE5259" w14:textId="2C0BD4C1"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Vadovaudamasi Lietuvos Respublikos vietos savivaldos įstatymu, Savivaldybės taryba savo įgaliojimus įgyvendina kolegialiai Savivaldybės tarybos posėdžiuose. Savivaldybės taryba svarstomais klausimais priima sprendimus.</w:t>
      </w:r>
      <w:r w:rsidR="00A3011D">
        <w:rPr>
          <w:rFonts w:eastAsia="Calibri"/>
          <w:szCs w:val="24"/>
          <w:lang w:eastAsia="en-US" w:bidi="he-IL"/>
        </w:rPr>
        <w:t xml:space="preserve"> </w:t>
      </w:r>
    </w:p>
    <w:p w14:paraId="4C0A0F86" w14:textId="4A8720C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Savivaldybės taryba rinkosi į 10 posėdžių ir juose priėmė 1</w:t>
      </w:r>
      <w:r w:rsidR="00A3011D">
        <w:rPr>
          <w:rFonts w:eastAsia="Calibri"/>
          <w:szCs w:val="24"/>
          <w:lang w:eastAsia="en-US" w:bidi="he-IL"/>
        </w:rPr>
        <w:t> </w:t>
      </w:r>
      <w:r w:rsidRPr="00D26788">
        <w:rPr>
          <w:rFonts w:eastAsia="Calibri"/>
          <w:szCs w:val="24"/>
          <w:lang w:eastAsia="en-US" w:bidi="he-IL"/>
        </w:rPr>
        <w:t>118 sprendimų. Apie Savivaldybės tarybos posėdžių sušaukimą, posėdžio darbotvarkę ir priimtus sprendimus gyventojai buvo informuojami teisės aktų nustatyta tvarka ir terminais Savivaldybės interneto svetainėje www.kaunas.lt. Visi Savivaldybės tarybos posėdžiai buvo tiesiogiai transliuojami visuomenei, o garso ir vaizdo įrašai skelbiami Savivaldybės interneto svetainėje.</w:t>
      </w:r>
      <w:r w:rsidR="00A3011D">
        <w:rPr>
          <w:rFonts w:eastAsia="Calibri"/>
          <w:szCs w:val="24"/>
          <w:lang w:eastAsia="en-US" w:bidi="he-IL"/>
        </w:rPr>
        <w:t xml:space="preserve"> </w:t>
      </w:r>
    </w:p>
    <w:p w14:paraId="390276CD" w14:textId="6E75E101"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Savivaldybės tarybos veikla tarp Savivaldybės tarybos posėdžių tęsiama Savivaldybės tarybos komitetuose, komisijose, Savivaldybės kolegijoje, Savivaldybės tarybos narių frakcijose, taip pat Savivaldybės tarybos nariams priimant nuolatinius savivaldybės gyventojus.</w:t>
      </w:r>
      <w:r w:rsidR="00A3011D">
        <w:rPr>
          <w:rFonts w:eastAsia="Calibri"/>
          <w:szCs w:val="24"/>
          <w:lang w:eastAsia="en-US" w:bidi="he-IL"/>
        </w:rPr>
        <w:t xml:space="preserve"> </w:t>
      </w:r>
    </w:p>
    <w:p w14:paraId="2E945843" w14:textId="0EED0D8E"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veikė 20 Savivaldybės tarybos komitetų ir komisijų (tarybų):</w:t>
      </w:r>
      <w:r w:rsidR="00A3011D">
        <w:rPr>
          <w:rFonts w:eastAsia="Calibri"/>
          <w:szCs w:val="24"/>
          <w:lang w:eastAsia="en-US" w:bidi="he-IL"/>
        </w:rPr>
        <w:t xml:space="preserve"> </w:t>
      </w:r>
    </w:p>
    <w:p w14:paraId="0C0AC840" w14:textId="7541612B"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Darnios plėtros ir investicijų komitetas;</w:t>
      </w:r>
      <w:r w:rsidR="00A3011D">
        <w:rPr>
          <w:rFonts w:eastAsia="Calibri"/>
          <w:szCs w:val="24"/>
          <w:lang w:eastAsia="en-US" w:bidi="he-IL"/>
        </w:rPr>
        <w:t xml:space="preserve"> </w:t>
      </w:r>
    </w:p>
    <w:p w14:paraId="14B104C9" w14:textId="4B2FAE3B"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Ekonomikos ir finansų komitetas;</w:t>
      </w:r>
      <w:r w:rsidR="00A3011D">
        <w:rPr>
          <w:rFonts w:eastAsia="Calibri"/>
          <w:szCs w:val="24"/>
          <w:lang w:eastAsia="en-US" w:bidi="he-IL"/>
        </w:rPr>
        <w:t xml:space="preserve"> </w:t>
      </w:r>
    </w:p>
    <w:p w14:paraId="66115C13" w14:textId="24D9B27D"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lastRenderedPageBreak/>
        <w:t>Miesto ūkio ir paslaugų komitetas;</w:t>
      </w:r>
      <w:r w:rsidR="00A3011D">
        <w:rPr>
          <w:rFonts w:eastAsia="Calibri"/>
          <w:szCs w:val="24"/>
          <w:lang w:eastAsia="en-US" w:bidi="he-IL"/>
        </w:rPr>
        <w:t xml:space="preserve"> </w:t>
      </w:r>
    </w:p>
    <w:p w14:paraId="43062290" w14:textId="78075C69"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Savivaldos plėtojimo komitetas;</w:t>
      </w:r>
      <w:r w:rsidR="00A3011D">
        <w:rPr>
          <w:rFonts w:eastAsia="Calibri"/>
          <w:szCs w:val="24"/>
          <w:lang w:eastAsia="en-US" w:bidi="he-IL"/>
        </w:rPr>
        <w:t xml:space="preserve"> </w:t>
      </w:r>
    </w:p>
    <w:p w14:paraId="5D68CA19" w14:textId="48239A9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Sveikatos ir socialinių reikalų komitetas;</w:t>
      </w:r>
      <w:r w:rsidR="00A3011D">
        <w:rPr>
          <w:rFonts w:eastAsia="Calibri"/>
          <w:szCs w:val="24"/>
          <w:lang w:eastAsia="en-US" w:bidi="he-IL"/>
        </w:rPr>
        <w:t xml:space="preserve"> </w:t>
      </w:r>
    </w:p>
    <w:p w14:paraId="181E0E7B" w14:textId="246B2FC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Švietimo, kultūros ir sporto komitetas;</w:t>
      </w:r>
      <w:r w:rsidR="00A3011D">
        <w:rPr>
          <w:rFonts w:eastAsia="Calibri"/>
          <w:szCs w:val="24"/>
          <w:lang w:eastAsia="en-US" w:bidi="he-IL"/>
        </w:rPr>
        <w:t xml:space="preserve"> </w:t>
      </w:r>
    </w:p>
    <w:p w14:paraId="541E3FA7" w14:textId="6BE3F1F7"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Kontrolės komitetas;</w:t>
      </w:r>
      <w:r w:rsidR="00A3011D">
        <w:rPr>
          <w:rFonts w:eastAsia="Calibri"/>
          <w:szCs w:val="24"/>
          <w:lang w:eastAsia="en-US" w:bidi="he-IL"/>
        </w:rPr>
        <w:t xml:space="preserve"> </w:t>
      </w:r>
    </w:p>
    <w:p w14:paraId="277CC1A3" w14:textId="75D4DC7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Antikorupcijos komisija;</w:t>
      </w:r>
      <w:r w:rsidR="00A3011D">
        <w:rPr>
          <w:rFonts w:eastAsia="Calibri"/>
          <w:szCs w:val="24"/>
          <w:lang w:eastAsia="en-US" w:bidi="he-IL"/>
        </w:rPr>
        <w:t xml:space="preserve"> </w:t>
      </w:r>
    </w:p>
    <w:p w14:paraId="781D4721" w14:textId="73981902"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Apdovanojimų komisija;</w:t>
      </w:r>
      <w:r w:rsidR="00A3011D">
        <w:rPr>
          <w:rFonts w:eastAsia="Calibri"/>
          <w:szCs w:val="24"/>
          <w:lang w:eastAsia="en-US" w:bidi="he-IL"/>
        </w:rPr>
        <w:t xml:space="preserve"> </w:t>
      </w:r>
    </w:p>
    <w:p w14:paraId="163EB0AE" w14:textId="0B04E4E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Balsų skaičiavimo komisija;</w:t>
      </w:r>
      <w:r w:rsidR="00A3011D">
        <w:rPr>
          <w:rFonts w:eastAsia="Calibri"/>
          <w:szCs w:val="24"/>
          <w:lang w:eastAsia="en-US" w:bidi="he-IL"/>
        </w:rPr>
        <w:t xml:space="preserve"> </w:t>
      </w:r>
    </w:p>
    <w:p w14:paraId="7E0CC811" w14:textId="611F2FCE"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Bendruomenės sveikatos taryba;</w:t>
      </w:r>
      <w:r w:rsidR="00A3011D">
        <w:rPr>
          <w:rFonts w:eastAsia="Calibri"/>
          <w:szCs w:val="24"/>
          <w:lang w:eastAsia="en-US" w:bidi="he-IL"/>
        </w:rPr>
        <w:t xml:space="preserve"> </w:t>
      </w:r>
    </w:p>
    <w:p w14:paraId="4B64319B" w14:textId="1882D4B2"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Bendruomeninių organizacijų taryba;</w:t>
      </w:r>
      <w:r w:rsidR="00A3011D">
        <w:rPr>
          <w:rFonts w:eastAsia="Calibri"/>
          <w:szCs w:val="24"/>
          <w:lang w:eastAsia="en-US" w:bidi="he-IL"/>
        </w:rPr>
        <w:t xml:space="preserve"> </w:t>
      </w:r>
    </w:p>
    <w:p w14:paraId="5DCFE3D8" w14:textId="22048F7C"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Etikos komisija;</w:t>
      </w:r>
      <w:r w:rsidR="00A3011D">
        <w:rPr>
          <w:rFonts w:eastAsia="Calibri"/>
          <w:szCs w:val="24"/>
          <w:lang w:eastAsia="en-US" w:bidi="he-IL"/>
        </w:rPr>
        <w:t xml:space="preserve"> </w:t>
      </w:r>
    </w:p>
    <w:p w14:paraId="0B64BBD3" w14:textId="6C228633"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miesto savivaldybės jaunimo reikalų taryba;</w:t>
      </w:r>
      <w:r w:rsidR="00A3011D">
        <w:rPr>
          <w:rFonts w:eastAsia="Calibri"/>
          <w:szCs w:val="24"/>
          <w:lang w:eastAsia="en-US" w:bidi="he-IL"/>
        </w:rPr>
        <w:t xml:space="preserve"> </w:t>
      </w:r>
    </w:p>
    <w:p w14:paraId="328645C6" w14:textId="6F8EE80E"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Asmens su negalia gerovės taryba;</w:t>
      </w:r>
      <w:r w:rsidR="00A3011D">
        <w:rPr>
          <w:rFonts w:eastAsia="Calibri"/>
          <w:szCs w:val="24"/>
          <w:lang w:eastAsia="en-US" w:bidi="he-IL"/>
        </w:rPr>
        <w:t xml:space="preserve"> </w:t>
      </w:r>
    </w:p>
    <w:p w14:paraId="642F98A4" w14:textId="1AE7B308"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Nevyriausybinių organizacijų taryba;</w:t>
      </w:r>
      <w:r w:rsidR="00A3011D">
        <w:rPr>
          <w:rFonts w:eastAsia="Calibri"/>
          <w:szCs w:val="24"/>
          <w:lang w:eastAsia="en-US" w:bidi="he-IL"/>
        </w:rPr>
        <w:t xml:space="preserve"> </w:t>
      </w:r>
    </w:p>
    <w:p w14:paraId="10FFB202" w14:textId="489BD6C6"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miesto savivaldybės peticijų komisija;</w:t>
      </w:r>
      <w:r w:rsidR="00A3011D">
        <w:rPr>
          <w:rFonts w:eastAsia="Calibri"/>
          <w:szCs w:val="24"/>
          <w:lang w:eastAsia="en-US" w:bidi="he-IL"/>
        </w:rPr>
        <w:t xml:space="preserve"> </w:t>
      </w:r>
    </w:p>
    <w:p w14:paraId="3C5CB5D1" w14:textId="1826762B"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miesto savivaldybės senjorų reikalų komisija;</w:t>
      </w:r>
      <w:r w:rsidR="00A3011D">
        <w:rPr>
          <w:rFonts w:eastAsia="Calibri"/>
          <w:szCs w:val="24"/>
          <w:lang w:eastAsia="en-US" w:bidi="he-IL"/>
        </w:rPr>
        <w:t xml:space="preserve"> </w:t>
      </w:r>
    </w:p>
    <w:p w14:paraId="4BB7EA84" w14:textId="49FBBB58"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miesto savivaldybės šeimos reikalų komisija;</w:t>
      </w:r>
      <w:r w:rsidR="00A3011D">
        <w:rPr>
          <w:rFonts w:eastAsia="Calibri"/>
          <w:szCs w:val="24"/>
          <w:lang w:eastAsia="en-US" w:bidi="he-IL"/>
        </w:rPr>
        <w:t xml:space="preserve"> </w:t>
      </w:r>
    </w:p>
    <w:p w14:paraId="69ACB0C1" w14:textId="232BBCD7"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miesto savivaldybės tarybos veiklos reglamento ir procedūrų komisija.</w:t>
      </w:r>
      <w:r w:rsidR="00A3011D">
        <w:rPr>
          <w:rFonts w:eastAsia="Calibri"/>
          <w:szCs w:val="24"/>
          <w:lang w:eastAsia="en-US" w:bidi="he-IL"/>
        </w:rPr>
        <w:t xml:space="preserve"> </w:t>
      </w:r>
    </w:p>
    <w:p w14:paraId="2105BE0C" w14:textId="3352FC84"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Darnios plėtros ir investicijų komitetas</w:t>
      </w:r>
      <w:r w:rsidRPr="00D26788">
        <w:rPr>
          <w:rFonts w:eastAsia="Calibri"/>
          <w:szCs w:val="24"/>
          <w:lang w:eastAsia="en-US" w:bidi="he-IL"/>
        </w:rPr>
        <w:t xml:space="preserve"> pagal Savivaldybės tarybos suteiktus įgaliojimus savo posėdžiuose svarstė, rengė ir teikė išvadas dėl Savivaldybės strateginio planavimo dokumentų ir juos įgyvendinančių planavimo dokumentų rengimo ir įgyvendinimo; dalyvavimo rengiant ir įgyvendinant regionų plėtros planus; dalyvavimo sprendžiant gyventojų užimtumo, kvalifikacijos įgijimo ir perkvalifikavimo klausimus, viešųjų ir sezoninių darbų organizavimo; sąlygų verslo ir turizmo plėtrai sudarymo ir šios veiklos skatinimo; leidimų (licencijų) išdavimo įstatymų nustatytais atvejais ir tvarka; teritorijų planavimo, Savivaldybės bendrojo plano ar Savivaldybės dalių bendrųjų planų ir detaliųjų planų sprendinių įgyvendinimo; Savivaldybės saugomų teritorijų steigimo, apsaugos ir tvarkymo; specialiųjų architektūros reikalavimų nustatymo ir statybą leidžiančių dokumentų išdavimo įstatymų nustatyta tvarka.</w:t>
      </w:r>
      <w:r w:rsidR="00A3011D">
        <w:rPr>
          <w:rFonts w:eastAsia="Calibri"/>
          <w:szCs w:val="24"/>
          <w:lang w:eastAsia="en-US" w:bidi="he-IL"/>
        </w:rPr>
        <w:t xml:space="preserve"> </w:t>
      </w:r>
    </w:p>
    <w:p w14:paraId="74589558" w14:textId="2E24FD15"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10 Darnios plėtros ir investicijų komiteto posėdžių. Komiteto posėdžiuose apsvarstyti 762 klausimai.</w:t>
      </w:r>
      <w:r w:rsidR="00A3011D">
        <w:rPr>
          <w:rFonts w:eastAsia="Calibri"/>
          <w:szCs w:val="24"/>
          <w:lang w:eastAsia="en-US" w:bidi="he-IL"/>
        </w:rPr>
        <w:t xml:space="preserve"> </w:t>
      </w:r>
    </w:p>
    <w:p w14:paraId="056639A6" w14:textId="40BE4DBB"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Ekonomikos ir finansų komitetas</w:t>
      </w:r>
      <w:r w:rsidRPr="00D26788">
        <w:rPr>
          <w:rFonts w:eastAsia="Calibri"/>
          <w:szCs w:val="24"/>
          <w:lang w:eastAsia="en-US" w:bidi="he-IL"/>
        </w:rPr>
        <w:t xml:space="preserve"> pagal Savivaldybės tarybos suteiktus įgaliojimus savo posėdžiuose svarstė, rengė ir teikė išvadas dėl Savivaldybės biudžeto ir Savivaldybės metinių ataskaitų rinkinio tvirtinimo; Savivaldybės biudžeto tikslinimo; paskolų ėmimo ir garantijų teikimo </w:t>
      </w:r>
      <w:r w:rsidRPr="00D26788">
        <w:rPr>
          <w:rFonts w:eastAsia="Calibri"/>
          <w:szCs w:val="24"/>
          <w:lang w:eastAsia="en-US" w:bidi="he-IL"/>
        </w:rPr>
        <w:lastRenderedPageBreak/>
        <w:t>už ilgalaikes paskolas; vietinių rinkliavų ir mokesčių tarifų nustatymo; Savivaldybei nuosavybės teise priklausančios žemės ir kito turto valdymo, naudojimo ir disponavimo juo; Savivaldybei priskirtos valstybinės žemės ir kito valstybės turto valdymo, naudojimo ir disponavimo juo patikėjimo teise; koncesijų suteikimo tikslingumo.</w:t>
      </w:r>
      <w:r w:rsidR="00A3011D">
        <w:rPr>
          <w:rFonts w:eastAsia="Calibri"/>
          <w:szCs w:val="24"/>
          <w:lang w:eastAsia="en-US" w:bidi="he-IL"/>
        </w:rPr>
        <w:t xml:space="preserve"> </w:t>
      </w:r>
    </w:p>
    <w:p w14:paraId="3DBE3F57" w14:textId="196A150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11 Ekonomikos ir finansų komiteto posėdžių. Komiteto posėdžiuose apsvarstyti 1</w:t>
      </w:r>
      <w:r w:rsidR="00A3011D">
        <w:rPr>
          <w:rFonts w:eastAsia="Calibri"/>
          <w:szCs w:val="24"/>
          <w:lang w:eastAsia="en-US" w:bidi="he-IL"/>
        </w:rPr>
        <w:t> </w:t>
      </w:r>
      <w:r w:rsidRPr="00D26788">
        <w:rPr>
          <w:rFonts w:eastAsia="Calibri"/>
          <w:szCs w:val="24"/>
          <w:lang w:eastAsia="en-US" w:bidi="he-IL"/>
        </w:rPr>
        <w:t>034 klausimai.</w:t>
      </w:r>
      <w:r w:rsidR="00A3011D">
        <w:rPr>
          <w:rFonts w:eastAsia="Calibri"/>
          <w:szCs w:val="24"/>
          <w:lang w:eastAsia="en-US" w:bidi="he-IL"/>
        </w:rPr>
        <w:t xml:space="preserve"> </w:t>
      </w:r>
    </w:p>
    <w:p w14:paraId="4690C2A0" w14:textId="289D3044"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Miesto ūkio ir paslaugų komitetas</w:t>
      </w:r>
      <w:r w:rsidRPr="00D26788">
        <w:rPr>
          <w:rFonts w:eastAsia="Calibri"/>
          <w:szCs w:val="24"/>
          <w:lang w:eastAsia="en-US" w:bidi="he-IL"/>
        </w:rPr>
        <w:t xml:space="preserve"> savo posėdžiuose pagal Savivaldybės tarybos suteiktus įgaliojimus svarstė klausimus, susijusius su miesto ūkiu, prekybos ir kitų paslaugų teikimo tvarkos nustatymu; komunikacijomis, energetika, pastatų renovavimu; keleivių vežimo vietiniais maršrutais organizavimu; viešosios tvarkos ir prevencijos užtikrinimu; Savivaldybės socialinio būsto remontu; šilumos ir geriamojo vandens tiekimo ir nuotekų tvarkymo organizavimu; Savivaldybės vietinės reikšmės kelių ir gatvių priežiūra, taisymu, tiesimu ir saugaus eismo organizavimu; sanitarijos ir higienos taisyklių tvirtinimu ir jų laikymosi kontrolės organizavimu, švaros ir tvarkos viešosiose vietose užtikrinimu, teikė išvadas ir pasiūlymus Savivaldybės tarybai ir administracijai.</w:t>
      </w:r>
      <w:r w:rsidR="00A3011D">
        <w:rPr>
          <w:rFonts w:eastAsia="Calibri"/>
          <w:szCs w:val="24"/>
          <w:lang w:eastAsia="en-US" w:bidi="he-IL"/>
        </w:rPr>
        <w:t xml:space="preserve"> </w:t>
      </w:r>
    </w:p>
    <w:p w14:paraId="3A873BAF" w14:textId="08FFFB48"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12 Miesto ūkio ir paslaugų komiteto posėdžių. Komiteto posėdžiuose apsvarstyta 830 klausimų.</w:t>
      </w:r>
      <w:r w:rsidR="00A3011D">
        <w:rPr>
          <w:rFonts w:eastAsia="Calibri"/>
          <w:szCs w:val="24"/>
          <w:lang w:eastAsia="en-US" w:bidi="he-IL"/>
        </w:rPr>
        <w:t xml:space="preserve"> </w:t>
      </w:r>
    </w:p>
    <w:p w14:paraId="71096DF5" w14:textId="1E32C56F"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Savivaldos plėtojimo komitetas</w:t>
      </w:r>
      <w:r w:rsidRPr="00D26788">
        <w:rPr>
          <w:rFonts w:eastAsia="Calibri"/>
          <w:szCs w:val="24"/>
          <w:lang w:eastAsia="en-US" w:bidi="he-IL"/>
        </w:rPr>
        <w:t xml:space="preserve"> savo posėdžiuose pagal Savivaldybės tarybos suteiktus įgaliojimus svarstė klausimus, susijusius su seniūnijomis, bendruomenėmis, nevyriausybinėmis organizacijomis, Savivaldybės valdymo modernizavimu, Savivaldybės administracijos struktūros formavimu, bendradarbiavimu su užsienio šalių savivaldybėmis ir kitais Savivaldybės veiklos organizavimo klausimais, teikė išvadas ir pasiūlymus Savivaldybės tarybai ir administracijai.</w:t>
      </w:r>
      <w:r w:rsidR="00A3011D">
        <w:rPr>
          <w:rFonts w:eastAsia="Calibri"/>
          <w:szCs w:val="24"/>
          <w:lang w:eastAsia="en-US" w:bidi="he-IL"/>
        </w:rPr>
        <w:t xml:space="preserve"> </w:t>
      </w:r>
    </w:p>
    <w:p w14:paraId="11CC317D" w14:textId="66325314"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10 Savivaldos plėtojimo komiteto posėdžių. Komiteto posėdžiuose apsvarstyti 279 klausimai.</w:t>
      </w:r>
      <w:r w:rsidR="00A3011D">
        <w:rPr>
          <w:rFonts w:eastAsia="Calibri"/>
          <w:szCs w:val="24"/>
          <w:lang w:eastAsia="en-US" w:bidi="he-IL"/>
        </w:rPr>
        <w:t xml:space="preserve"> </w:t>
      </w:r>
    </w:p>
    <w:p w14:paraId="61934806" w14:textId="709B2E4A" w:rsidR="00D26788" w:rsidRPr="00D26788" w:rsidRDefault="00D26788" w:rsidP="00D26788">
      <w:pPr>
        <w:spacing w:line="360" w:lineRule="auto"/>
        <w:ind w:firstLine="1298"/>
        <w:jc w:val="both"/>
        <w:rPr>
          <w:szCs w:val="24"/>
          <w:lang w:eastAsia="en-US" w:bidi="he-IL"/>
        </w:rPr>
      </w:pPr>
      <w:r w:rsidRPr="00D26788">
        <w:rPr>
          <w:rFonts w:eastAsia="Calibri"/>
          <w:b/>
          <w:szCs w:val="24"/>
          <w:lang w:eastAsia="en-US" w:bidi="he-IL"/>
        </w:rPr>
        <w:t xml:space="preserve">Sveikatos ir socialinių reikalų komitetas </w:t>
      </w:r>
      <w:r w:rsidRPr="00D26788">
        <w:rPr>
          <w:rFonts w:eastAsia="Calibri"/>
          <w:bCs/>
          <w:szCs w:val="24"/>
          <w:lang w:eastAsia="en-US" w:bidi="he-IL"/>
        </w:rPr>
        <w:t>s</w:t>
      </w:r>
      <w:r w:rsidRPr="00D26788">
        <w:rPr>
          <w:rFonts w:eastAsia="Calibri"/>
          <w:szCs w:val="24"/>
          <w:lang w:eastAsia="en-US" w:bidi="he-IL"/>
        </w:rPr>
        <w:t>avo posėdžiuose pagal Savivaldybės tarybos suteiktus įgaliojimus svarstė klausimus, susijusius su sveikatos priežiūra, socialiniu būstu, socialinėmis pašalpomis ir kompensacijomis, socialinėmis paslaugomis, triukšmo prevencija ir kitais socialinės bei sveikatos politikos įgyvendinimo klausimais, teikė išvadas ir pasiūlymus Savivaldybės tarybai ir administracijai.</w:t>
      </w:r>
      <w:r w:rsidR="00A3011D">
        <w:rPr>
          <w:rFonts w:eastAsia="Calibri"/>
          <w:szCs w:val="24"/>
          <w:lang w:eastAsia="en-US" w:bidi="he-IL"/>
        </w:rPr>
        <w:t xml:space="preserve"> </w:t>
      </w:r>
    </w:p>
    <w:p w14:paraId="6A3EF02F" w14:textId="63B6F77D"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10 Sveikatos ir socialinių reikalų komiteto posėdžių. Komiteto posėdžiuose apsvarstyti 139 klausimai.</w:t>
      </w:r>
      <w:r w:rsidR="00A3011D">
        <w:rPr>
          <w:rFonts w:eastAsia="Calibri"/>
          <w:szCs w:val="24"/>
          <w:lang w:eastAsia="en-US" w:bidi="he-IL"/>
        </w:rPr>
        <w:t xml:space="preserve"> </w:t>
      </w:r>
    </w:p>
    <w:p w14:paraId="0B912B65" w14:textId="484A0FA5"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Švietimo, kultūros ir sporto komitetas</w:t>
      </w:r>
      <w:r w:rsidRPr="00D26788">
        <w:rPr>
          <w:rFonts w:eastAsia="Calibri"/>
          <w:szCs w:val="24"/>
          <w:lang w:eastAsia="en-US" w:bidi="he-IL"/>
        </w:rPr>
        <w:t xml:space="preserve"> pagal Savivaldybės tarybos suteiktus įgaliojimus savo posėdžiuose svarstė, rengė ir teikė išvadas dėl Savivaldybės teritorijoje gyvenančių </w:t>
      </w:r>
      <w:r w:rsidRPr="00D26788">
        <w:rPr>
          <w:rFonts w:eastAsia="Calibri"/>
          <w:szCs w:val="24"/>
          <w:lang w:eastAsia="en-US" w:bidi="he-IL"/>
        </w:rPr>
        <w:lastRenderedPageBreak/>
        <w:t>vaikų iki 16 metų mokymosi pagal privalomojo švietimo programas užtikrinimo; švietimo pagalbos teikimo mokiniui, mokytojui, šeimai, mokyklai, vaiko minimaliosios priežiūros priemonių vykdymo organizavimo ir koordinavimo; bendrojo ugdymo mokyklų mokinių neatlygintino pavėžėjimo į mokyklas ir į namus organizavimo; ikimokyklinio ugdymo, vaikų ir suaugusiųjų neformaliojo švietimo organizavimo, vaikų ir jaunimo užimtumo organizavimo; maitinimo paslaugų organizavimo teisės aktų nustatyta tvarka švietimo įstaigose, įgyvendinančiose mokymą pagal ikimokyklinio, priešmokyklinio ir bendrojo ugdymo programas; gyventojų bendrosios kultūros ugdymo ir etnokultūros puoselėjimo; kūno kultūros ir sporto plėtojimo, gyventojų poilsio organizavimo; sporto ir turizmo infrastruktūros priežiūros ir plėtros.</w:t>
      </w:r>
      <w:r w:rsidR="00A3011D">
        <w:rPr>
          <w:rFonts w:eastAsia="Calibri"/>
          <w:szCs w:val="24"/>
          <w:lang w:eastAsia="en-US" w:bidi="he-IL"/>
        </w:rPr>
        <w:t xml:space="preserve"> </w:t>
      </w:r>
    </w:p>
    <w:p w14:paraId="5B3A7FE1" w14:textId="1E47F7E1"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11 Švietimo, kultūros ir sporto komiteto posėdžių. Komiteto posėdžiuose apsvarstyta 315 klausimų.</w:t>
      </w:r>
      <w:r w:rsidR="00A3011D">
        <w:rPr>
          <w:rFonts w:eastAsia="Calibri"/>
          <w:szCs w:val="24"/>
          <w:lang w:eastAsia="en-US" w:bidi="he-IL"/>
        </w:rPr>
        <w:t xml:space="preserve"> </w:t>
      </w:r>
    </w:p>
    <w:p w14:paraId="6E48D1CC" w14:textId="302BA1B1"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Kontrolės komitetas</w:t>
      </w:r>
      <w:r w:rsidRPr="00D26788">
        <w:rPr>
          <w:rFonts w:eastAsia="Calibri"/>
          <w:szCs w:val="24"/>
          <w:lang w:eastAsia="en-US" w:bidi="he-IL"/>
        </w:rPr>
        <w:t xml:space="preserve"> pagal Savivaldybės tarybos suteiktus įgaliojimus savo posėdžiuose teikė išvadas ir (ar) siūlymus dėl Savivaldybės kontrolės ir audito tarnybos veiklos rezultatų; dėl Savivaldybės kontrolės ir audito tarnybos veiklos plano projekto; dėl Savivaldybės kontrolės ir audito tarnybos ataskaitos dėl veiklos plano įvykdymo; dėl Savivaldybės kontrolės ir audito tarnybos atliktų Savivaldybės, jos įstaigų ir įmonių finansinio ir veiklos auditų metu nustatytų trūkumų ar teisės aktų pažeidimų pašalinimo ir kitais kontrolės bei priežiūros klausimais.</w:t>
      </w:r>
      <w:r w:rsidR="00A3011D">
        <w:rPr>
          <w:rFonts w:eastAsia="Calibri"/>
          <w:szCs w:val="24"/>
          <w:lang w:eastAsia="en-US" w:bidi="he-IL"/>
        </w:rPr>
        <w:t xml:space="preserve"> </w:t>
      </w:r>
    </w:p>
    <w:p w14:paraId="7AA570FF" w14:textId="0DB23D9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7 Kontrolės komiteto posėdžiai. Komiteto posėdžiuose apsvarstyti 23</w:t>
      </w:r>
      <w:r w:rsidR="00A3011D">
        <w:rPr>
          <w:rFonts w:eastAsia="Calibri"/>
          <w:szCs w:val="24"/>
          <w:lang w:eastAsia="en-US" w:bidi="he-IL"/>
        </w:rPr>
        <w:t> </w:t>
      </w:r>
      <w:r w:rsidRPr="00D26788">
        <w:rPr>
          <w:rFonts w:eastAsia="Calibri"/>
          <w:szCs w:val="24"/>
          <w:lang w:eastAsia="en-US" w:bidi="he-IL"/>
        </w:rPr>
        <w:t>klausimai, iš jų 6 klausimai dalyvaujant Savivaldybės administracijos atstovams. Posėdžiuose kartu su Savivaldyb4s administracijos atstovais nagrinėti automobilių aikštelių tvarkymo ir plėtros, Nekilnojamojo turto skyriaus teikiamų klausimų Savivaldybės tarybai teisinio reguliavimo, idėjų konkurso „Kauno akcentai“ ir naujų skulptūrų ar paminklų statymo, „Žalgirio“ arenos baseino eksploatavimo ir įkainių, eismo saugumo užtikrinimo Kauno mieste ir kiti klausimai. Komiteto nariai taip pat susitiko su Savivaldybės administracijos Aplinkos apsaugos skyriaus vedėja ir Dainavos bendruomenės atstovais dėl Draugystės parko tvenkinio būklės ir jo išsaugojimo. Svarstytais klausimais teiktos išvados, pastabos ir pasiūlymai Savivaldybės tarybai ir administracijai.</w:t>
      </w:r>
      <w:r w:rsidR="00A3011D">
        <w:rPr>
          <w:rFonts w:eastAsia="Calibri"/>
          <w:szCs w:val="24"/>
          <w:lang w:eastAsia="en-US" w:bidi="he-IL"/>
        </w:rPr>
        <w:t xml:space="preserve"> </w:t>
      </w:r>
    </w:p>
    <w:p w14:paraId="37ECEA70" w14:textId="33FD22E9"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2 bendri Savivaldos plėtojimo, Darnios plėtros ir investicijų, Ekonomikos ir finansų, Miesto ūkio ir paslaugų, Sveikatos ir socialinių reikalų ir Švietimo, kultūros ir sporto komitetų posėdžiai, kurių metu apsvarstyti 4 klausimai:  Kauno miesto savivaldybės 2025–2027 metų strateginio veiklos plano, Kauno miesto savivaldybės 2025 metų biudžeto ir planuojamų 2026–2027 metų pajamų ir asignavimų, Savivaldybės skolinimosi projektai, taip pat sprendimo projektas dėl Kauno miesto savivaldybės 2024 metų metinių ataskaitų rinkinio patvirtinimo.</w:t>
      </w:r>
      <w:r w:rsidR="00A3011D">
        <w:rPr>
          <w:rFonts w:eastAsia="Calibri"/>
          <w:szCs w:val="24"/>
          <w:lang w:eastAsia="en-US" w:bidi="he-IL"/>
        </w:rPr>
        <w:t xml:space="preserve"> </w:t>
      </w:r>
    </w:p>
    <w:p w14:paraId="16EA91A6" w14:textId="2393E53A"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lastRenderedPageBreak/>
        <w:t>Antikorupcijos komisijos</w:t>
      </w:r>
      <w:r w:rsidRPr="00D26788">
        <w:rPr>
          <w:rFonts w:eastAsia="Calibri"/>
          <w:szCs w:val="24"/>
          <w:lang w:eastAsia="en-US" w:bidi="he-IL"/>
        </w:rPr>
        <w:t xml:space="preserve"> tikslas – skatinti visuomenės nepakantumą korupcijai ir jos apraiškoms, bendradarbiauti su Savivaldybės bendruomene ir viešosios informacijos platintojais. Komisijos uždavinys – nagrinėti korupcijos ir su ja susijusius reiškinius bei atvejus, priimti sprendimus nagrinėjamais klausimais ir kontroliuoti jų vykdymą. Komisija taip pat vykdo funkcijas, susijusias su teisės aktų projektų antikorupciniu vertinimu, korupcijos prevencijos veiksmų planų rengimu ir įgyvendinimu, visuomenės informavimu bei viešųjų pirkimų analize korupcijos prevencijos tikslais.</w:t>
      </w:r>
      <w:r w:rsidR="00A3011D">
        <w:rPr>
          <w:rFonts w:eastAsia="Calibri"/>
          <w:szCs w:val="24"/>
          <w:lang w:eastAsia="en-US" w:bidi="he-IL"/>
        </w:rPr>
        <w:t xml:space="preserve"> </w:t>
      </w:r>
    </w:p>
    <w:p w14:paraId="3FE2414E" w14:textId="2797F4FD" w:rsidR="00D26788" w:rsidRPr="00D26788" w:rsidRDefault="00D26788" w:rsidP="00CE57E1">
      <w:pPr>
        <w:spacing w:line="360" w:lineRule="auto"/>
        <w:ind w:firstLine="1298"/>
        <w:jc w:val="both"/>
        <w:rPr>
          <w:szCs w:val="24"/>
          <w:lang w:eastAsia="en-US" w:bidi="he-IL"/>
        </w:rPr>
      </w:pPr>
      <w:r w:rsidRPr="00D26788">
        <w:rPr>
          <w:rFonts w:eastAsia="Calibri"/>
          <w:szCs w:val="24"/>
          <w:lang w:eastAsia="en-US" w:bidi="he-IL"/>
        </w:rPr>
        <w:t xml:space="preserve">2025 metais įvyko 5 Antikorupcijos komisijos posėdžiai. Juose buvo svarstyta viešojoje erdvėje pasirodžiusi informacija, susijusi su </w:t>
      </w:r>
      <w:r w:rsidRPr="00D26788">
        <w:rPr>
          <w:rFonts w:eastAsia="Calibri"/>
          <w:bCs/>
          <w:szCs w:val="24"/>
          <w:lang w:eastAsia="en-US" w:bidi="he-IL"/>
        </w:rPr>
        <w:t>UAB „Kauno autobusai“ veikla</w:t>
      </w:r>
      <w:r w:rsidRPr="00D26788">
        <w:rPr>
          <w:rFonts w:eastAsia="Calibri"/>
          <w:szCs w:val="24"/>
          <w:lang w:eastAsia="en-US" w:bidi="he-IL"/>
        </w:rPr>
        <w:t>, tvoros griovimu Vičiūnuose, Savivaldybės tarybos nario Š. Matijošaičio sandoriais, įsigyjant ir parduodant žemės sklypus Baltijos g. 48A ir 48C. Komisija išklausė Savivaldybės administracijos darbuotojų pateiktą informaciją dėl nuosavybės teisių atkūrimo į minėtus ir kitus žemės sklypus, apie Specialiųjų tyrimų tarnybos korupcijos rizikos analizės Kauno miesto savivaldybės infrastruktūros objektų viešųjų pirkimų procesuose išvadoje pateiktų pasiūlymų įgyvendinimą bei argumentus dėl dalies pasiūlymų neįgyvendinimo ar dalinio įgyvendinimo. Taip pat buvo apsvarstyta anoniminė informacija dėl galimai privalomų tėvų įnašų ir dovanų tradicijų. Komisijos nariai glaudžiai bendradarbiavo su Savivaldybės administracija ir jos už korupcijai atsparios aplinkos kūrimą atsakingu darbuotoju, teikė išvadas ir pasiūlymus dėl veiklos tobulinimo, stiprinant skaidrumo kultūrą Savivaldybėje.</w:t>
      </w:r>
      <w:r w:rsidR="00A3011D">
        <w:rPr>
          <w:rFonts w:eastAsia="Calibri"/>
          <w:szCs w:val="24"/>
          <w:lang w:eastAsia="en-US" w:bidi="he-IL"/>
        </w:rPr>
        <w:t xml:space="preserve"> </w:t>
      </w:r>
    </w:p>
    <w:p w14:paraId="65F0296C" w14:textId="0BA369CF"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Apdovanojimų komisijos</w:t>
      </w:r>
      <w:r w:rsidRPr="00D26788">
        <w:rPr>
          <w:rFonts w:eastAsia="Calibri"/>
          <w:szCs w:val="24"/>
          <w:lang w:eastAsia="en-US" w:bidi="he-IL"/>
        </w:rPr>
        <w:t xml:space="preserve"> tikslas – pagerbti fizinius asmenis už aktyvų Kauno miesto vardo garsinimą Lietuvoje ir užsienyje savo darbais ir veikla meno, mokslo, kultūros, sporto, visuomeninėje ar kitose srityse, taip pat už svarų indėlį kuriant Kauno miesto gyventojų kultūrinę, ekonominę, socialinę ir dvasinę gerovę.</w:t>
      </w:r>
      <w:r w:rsidR="00A3011D">
        <w:rPr>
          <w:rFonts w:eastAsia="Calibri"/>
          <w:szCs w:val="24"/>
          <w:lang w:eastAsia="en-US" w:bidi="he-IL"/>
        </w:rPr>
        <w:t xml:space="preserve"> </w:t>
      </w:r>
    </w:p>
    <w:p w14:paraId="4971F724" w14:textId="5653196B"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įvyko 11 Apdovanojimų komisijos posėdžių. Buvo apsvarstyti 32 prašymai, apdovanota 119 Kaunui nusipelniusių asmenų. Apdovanojimų komisija teikė Savivaldybės merui išvadas dėl apdovanojimų skyrimo.</w:t>
      </w:r>
      <w:r w:rsidR="00A3011D">
        <w:rPr>
          <w:rFonts w:eastAsia="Calibri"/>
          <w:szCs w:val="24"/>
          <w:lang w:eastAsia="en-US" w:bidi="he-IL"/>
        </w:rPr>
        <w:t xml:space="preserve"> </w:t>
      </w:r>
    </w:p>
    <w:p w14:paraId="3422F0ED" w14:textId="41191B7C"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Bendruomenės sveikatos tarybos</w:t>
      </w:r>
      <w:r w:rsidRPr="00D26788">
        <w:rPr>
          <w:rFonts w:eastAsia="Calibri"/>
          <w:szCs w:val="24"/>
          <w:lang w:eastAsia="en-US" w:bidi="he-IL"/>
        </w:rPr>
        <w:t xml:space="preserve"> veiklos uždaviniai yra formuoti Savivaldybės teritorijoje visuomenės sveikatos politiką; užtikrinti bendruomenės dalyvavimą sprendžiant sveikatos problemas; koordinuoti visuomeninių organizacijų ir Savivaldybės institucijų bendradarbiavimą gerinant gyventojų sveikatą.</w:t>
      </w:r>
      <w:r w:rsidR="00A3011D">
        <w:rPr>
          <w:rFonts w:eastAsia="Calibri"/>
          <w:szCs w:val="24"/>
          <w:lang w:eastAsia="en-US" w:bidi="he-IL"/>
        </w:rPr>
        <w:t xml:space="preserve"> </w:t>
      </w:r>
    </w:p>
    <w:p w14:paraId="3B818D90" w14:textId="2E7209D4"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įvyko 1 Bendruomenės sveikatos tarybos posėdis. Jo metu buvo pateikta ir išklausyta informacija apie 2025 m. I–III ketv. sveikatos rėmimo specialiosios programos lėšomis vykdomus projektus – Kauno miesto savižudybių prevencijos modelio įgyvendinimą, projektą „Judėk sveikai“ ir projektą „Sveiki, senjorai“. Taip pat išklausyta informacija apie vykdomą priklausomybių prevenciją Kauno miesto ugdymo įstaigose. Posėdžio metu pristatytas psichoaktyviųjų medžiagų </w:t>
      </w:r>
      <w:r w:rsidRPr="00D26788">
        <w:rPr>
          <w:rFonts w:eastAsia="Calibri"/>
          <w:szCs w:val="24"/>
          <w:lang w:eastAsia="en-US" w:bidi="he-IL"/>
        </w:rPr>
        <w:lastRenderedPageBreak/>
        <w:t>vartojimo prevencijai skirtas projektas „Saugus ir sąmoningas Kauno miesto moksleivis“, jo veiksmų planas 2026 metams ir biudžetas. Bendruomenės sveikatos taryba patvirtino Kauno miesto savivaldybės visuomenės sveikatos rėmimo specialiosios programos 2026 metų lėšų naudojimo prioritetus: psichikos sveikatos stiprinimą, fizinio aktyvumo skatinimą, nelaimingų atsitikimų ir traumų prevenciją bei sveikatai žalingos elgsenos prevenciją. Taip pat aptartos kitos priemonės gyventojų sveikatos būklei gerinti ir bendruomenės dalyvavimui sprendžiant sveikatos problemas užtikrinti.</w:t>
      </w:r>
      <w:r w:rsidR="00A3011D">
        <w:rPr>
          <w:rFonts w:eastAsia="Calibri"/>
          <w:szCs w:val="24"/>
          <w:lang w:eastAsia="en-US" w:bidi="he-IL"/>
        </w:rPr>
        <w:t xml:space="preserve"> </w:t>
      </w:r>
    </w:p>
    <w:p w14:paraId="7420A281" w14:textId="55056129"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Bendruomeninių organizacijų tarybos</w:t>
      </w:r>
      <w:r w:rsidR="00A3011D">
        <w:rPr>
          <w:rFonts w:eastAsia="Calibri"/>
          <w:b/>
          <w:bCs/>
          <w:szCs w:val="24"/>
          <w:lang w:eastAsia="en-US" w:bidi="he-IL"/>
        </w:rPr>
        <w:t xml:space="preserve"> (</w:t>
      </w:r>
      <w:r w:rsidR="00A3011D" w:rsidRPr="00A3011D">
        <w:rPr>
          <w:rFonts w:eastAsia="Calibri"/>
          <w:b/>
          <w:szCs w:val="24"/>
          <w:lang w:eastAsia="en-US" w:bidi="he-IL"/>
        </w:rPr>
        <w:t>BOT)</w:t>
      </w:r>
      <w:r w:rsidRPr="00D26788">
        <w:rPr>
          <w:rFonts w:eastAsia="Calibri"/>
          <w:szCs w:val="24"/>
          <w:lang w:eastAsia="en-US" w:bidi="he-IL"/>
        </w:rPr>
        <w:t xml:space="preserve"> veiklos tikslas – užtikrinti ir skatinti bendruomeninių organizacijų dalyvavimą nustatant, formuojant ir įgyvendinant bendruomeninių organizacijų plėtros politiką Savivaldybėje, stiprinti bendradarbiavimą tarp Savivaldybės institucijų, įstaigų ir bendruomeninių organizacijų.</w:t>
      </w:r>
      <w:r w:rsidR="00A3011D">
        <w:rPr>
          <w:rFonts w:eastAsia="Calibri"/>
          <w:szCs w:val="24"/>
          <w:lang w:eastAsia="en-US" w:bidi="he-IL"/>
        </w:rPr>
        <w:t xml:space="preserve"> </w:t>
      </w:r>
    </w:p>
    <w:p w14:paraId="23071CDC" w14:textId="24BE3D03"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įvyko 6 </w:t>
      </w:r>
      <w:bookmarkStart w:id="2" w:name="_Hlk226973271"/>
      <w:r w:rsidR="00CE57E1" w:rsidRPr="00CE57E1">
        <w:rPr>
          <w:rFonts w:eastAsia="Calibri"/>
          <w:szCs w:val="24"/>
          <w:lang w:eastAsia="en-US" w:bidi="he-IL"/>
        </w:rPr>
        <w:t>Bendruomeninių organizacijų tarybos</w:t>
      </w:r>
      <w:r w:rsidRPr="00D26788">
        <w:rPr>
          <w:rFonts w:eastAsia="Calibri"/>
          <w:szCs w:val="24"/>
          <w:lang w:eastAsia="en-US" w:bidi="he-IL"/>
        </w:rPr>
        <w:t xml:space="preserve"> </w:t>
      </w:r>
      <w:bookmarkEnd w:id="2"/>
      <w:r w:rsidRPr="00D26788">
        <w:rPr>
          <w:rFonts w:eastAsia="Calibri"/>
          <w:szCs w:val="24"/>
          <w:lang w:eastAsia="en-US" w:bidi="he-IL"/>
        </w:rPr>
        <w:t>posėdžiai. Posėdžių metu pristatyti projektų vykdytojų, kuriems 2023 metais buvo skirtas finansavimas pagal Socialinės apsaugos ir darbo ministerijos priemonę „Stiprinti bendruomeninę veiklą savivaldybėse“, projektų veiklų įgyvendinimo rezultatai ir jiems pritarta. BOT taip pat pritarė minėtos priemonės bandomojo modelio išorės ekspertų pateiktai suvestinei, patvirtino vertinimo rezultatus apibendrinantį sąrašą projektų, kuriems ekspertų sprendimu finansavimas buvo sumažintas, bei bendruomenių pateiktoms patikslintoms sąmatoms.</w:t>
      </w:r>
      <w:r w:rsidR="00A3011D">
        <w:rPr>
          <w:rFonts w:eastAsia="Calibri"/>
          <w:szCs w:val="24"/>
          <w:lang w:eastAsia="en-US" w:bidi="he-IL"/>
        </w:rPr>
        <w:t xml:space="preserve"> </w:t>
      </w:r>
    </w:p>
    <w:p w14:paraId="62EAF046" w14:textId="11A46EE2"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Pasibaigus 2022–2025 metų </w:t>
      </w:r>
      <w:r w:rsidR="00CE57E1" w:rsidRPr="00CE57E1">
        <w:rPr>
          <w:rFonts w:eastAsia="Calibri"/>
          <w:szCs w:val="24"/>
          <w:lang w:eastAsia="en-US" w:bidi="he-IL"/>
        </w:rPr>
        <w:t>Bendruomeninių organizacijų tarybos</w:t>
      </w:r>
      <w:r w:rsidRPr="00D26788">
        <w:rPr>
          <w:rFonts w:eastAsia="Calibri"/>
          <w:szCs w:val="24"/>
          <w:lang w:eastAsia="en-US" w:bidi="he-IL"/>
        </w:rPr>
        <w:t xml:space="preserve"> kadencijai, 2025</w:t>
      </w:r>
      <w:r w:rsidR="00A3011D">
        <w:rPr>
          <w:rFonts w:eastAsia="Calibri"/>
          <w:szCs w:val="24"/>
          <w:lang w:eastAsia="en-US" w:bidi="he-IL"/>
        </w:rPr>
        <w:t> </w:t>
      </w:r>
      <w:r w:rsidRPr="00D26788">
        <w:rPr>
          <w:rFonts w:eastAsia="Calibri"/>
          <w:szCs w:val="24"/>
          <w:lang w:eastAsia="en-US" w:bidi="he-IL"/>
        </w:rPr>
        <w:t>m. rugsėjo 11</w:t>
      </w:r>
      <w:r w:rsidR="00A3011D">
        <w:rPr>
          <w:rFonts w:eastAsia="Calibri"/>
          <w:szCs w:val="24"/>
          <w:lang w:eastAsia="en-US" w:bidi="he-IL"/>
        </w:rPr>
        <w:t> </w:t>
      </w:r>
      <w:r w:rsidRPr="00D26788">
        <w:rPr>
          <w:rFonts w:eastAsia="Calibri"/>
          <w:szCs w:val="24"/>
          <w:lang w:eastAsia="en-US" w:bidi="he-IL"/>
        </w:rPr>
        <w:t xml:space="preserve">d. posėdyje išrinkta nauja </w:t>
      </w:r>
      <w:r w:rsidR="00CE57E1" w:rsidRPr="00CE57E1">
        <w:rPr>
          <w:rFonts w:eastAsia="Calibri"/>
          <w:szCs w:val="24"/>
          <w:lang w:eastAsia="en-US" w:bidi="he-IL"/>
        </w:rPr>
        <w:t>šios tarybos</w:t>
      </w:r>
      <w:r w:rsidRPr="00D26788">
        <w:rPr>
          <w:rFonts w:eastAsia="Calibri"/>
          <w:szCs w:val="24"/>
          <w:lang w:eastAsia="en-US" w:bidi="he-IL"/>
        </w:rPr>
        <w:t xml:space="preserve"> vadovybė – pirmininku išrinktas Savivaldybės tarybos narys R. Lekavičius, pavaduotoja – asociacijos „Santarvės bendruomenė“ pirmininkė E.</w:t>
      </w:r>
      <w:r w:rsidR="00A3011D">
        <w:rPr>
          <w:rFonts w:eastAsia="Calibri"/>
          <w:szCs w:val="24"/>
          <w:lang w:eastAsia="en-US" w:bidi="he-IL"/>
        </w:rPr>
        <w:t> </w:t>
      </w:r>
      <w:r w:rsidRPr="00D26788">
        <w:rPr>
          <w:rFonts w:eastAsia="Calibri"/>
          <w:szCs w:val="24"/>
          <w:lang w:eastAsia="en-US" w:bidi="he-IL"/>
        </w:rPr>
        <w:t xml:space="preserve">Ranusienė. Naujos kadencijos </w:t>
      </w:r>
      <w:r w:rsidR="00CE57E1">
        <w:rPr>
          <w:rFonts w:eastAsia="Calibri"/>
          <w:szCs w:val="24"/>
          <w:lang w:eastAsia="en-US" w:bidi="he-IL"/>
        </w:rPr>
        <w:t>Bendruomeninių organizacijų taryba</w:t>
      </w:r>
      <w:r w:rsidRPr="00D26788">
        <w:rPr>
          <w:rFonts w:eastAsia="Calibri"/>
          <w:szCs w:val="24"/>
          <w:lang w:eastAsia="en-US" w:bidi="he-IL"/>
        </w:rPr>
        <w:t xml:space="preserve"> 2025 metais posėdžiavo 2</w:t>
      </w:r>
      <w:r w:rsidR="00A3011D">
        <w:rPr>
          <w:rFonts w:eastAsia="Calibri"/>
          <w:szCs w:val="24"/>
          <w:lang w:eastAsia="en-US" w:bidi="he-IL"/>
        </w:rPr>
        <w:t> </w:t>
      </w:r>
      <w:r w:rsidRPr="00D26788">
        <w:rPr>
          <w:rFonts w:eastAsia="Calibri"/>
          <w:szCs w:val="24"/>
          <w:lang w:eastAsia="en-US" w:bidi="he-IL"/>
        </w:rPr>
        <w:t xml:space="preserve">kartus. Šių posėdžių metu </w:t>
      </w:r>
      <w:r w:rsidR="00CE57E1">
        <w:rPr>
          <w:rFonts w:eastAsia="Calibri"/>
          <w:szCs w:val="24"/>
          <w:lang w:eastAsia="en-US" w:bidi="he-IL"/>
        </w:rPr>
        <w:t>taryba</w:t>
      </w:r>
      <w:r w:rsidRPr="00D26788">
        <w:rPr>
          <w:rFonts w:eastAsia="Calibri"/>
          <w:szCs w:val="24"/>
          <w:lang w:eastAsia="en-US" w:bidi="he-IL"/>
        </w:rPr>
        <w:t xml:space="preserve"> delegavo atstovą į Kauno miesto savivaldybės nevyriausybinių organizacijų tarybą, taip pat teikė siūlymus Socialinės apsaugos ir darbo ministerijai dėl priemonės „Stiprinti bendruomeninę veiklą savivaldybėse“ 2026–2028 metų finansavimo aprašo. </w:t>
      </w:r>
      <w:r w:rsidR="00CE57E1">
        <w:rPr>
          <w:rFonts w:eastAsia="Calibri"/>
          <w:szCs w:val="24"/>
          <w:lang w:eastAsia="en-US" w:bidi="he-IL"/>
        </w:rPr>
        <w:t>Bendruomeninių organizacijų taryba</w:t>
      </w:r>
      <w:r w:rsidRPr="00D26788">
        <w:rPr>
          <w:rFonts w:eastAsia="Calibri"/>
          <w:szCs w:val="24"/>
          <w:lang w:eastAsia="en-US" w:bidi="he-IL"/>
        </w:rPr>
        <w:t xml:space="preserve"> nuosekliai bendradarbiavo su Kauno mieste veikiančiomis bendruomeninėmis ir nevyriausybinėmis organizacijomis, dalijosi gerąja patirtimi.</w:t>
      </w:r>
      <w:r w:rsidR="00A3011D">
        <w:rPr>
          <w:rFonts w:eastAsia="Calibri"/>
          <w:szCs w:val="24"/>
          <w:lang w:eastAsia="en-US" w:bidi="he-IL"/>
        </w:rPr>
        <w:t xml:space="preserve"> </w:t>
      </w:r>
    </w:p>
    <w:p w14:paraId="6A108ACA" w14:textId="4899D518"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Kauno miesto savivaldybės jaunimo reikalų tarybos</w:t>
      </w:r>
      <w:r w:rsidRPr="00D26788">
        <w:rPr>
          <w:rFonts w:eastAsia="Calibri"/>
          <w:szCs w:val="24"/>
          <w:lang w:eastAsia="en-US" w:bidi="he-IL"/>
        </w:rPr>
        <w:t xml:space="preserve"> tikslai – nagrinėti su jaunimo politika Savivaldybėje susijusius klausimus; teikti Savivaldybės institucijoms ir įstaigoms pasiūlymus dėl jaunimo politikos, jos įgyvendinimo ir su tuo susijusių teisės aktų projektų; stiprinti Savivaldybės institucijų, įstaigų ir jaunimo bei su jaunimu dirbančių organizacijų bendradarbiavimą.</w:t>
      </w:r>
      <w:r w:rsidR="00A3011D">
        <w:rPr>
          <w:rFonts w:eastAsia="Calibri"/>
          <w:szCs w:val="24"/>
          <w:lang w:eastAsia="en-US" w:bidi="he-IL"/>
        </w:rPr>
        <w:t xml:space="preserve"> </w:t>
      </w:r>
    </w:p>
    <w:p w14:paraId="17A94DAA" w14:textId="601DAE5B"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įvyko </w:t>
      </w:r>
      <w:r w:rsidRPr="00D26788">
        <w:rPr>
          <w:rFonts w:eastAsia="Calibri"/>
          <w:bCs/>
          <w:szCs w:val="24"/>
          <w:lang w:eastAsia="en-US" w:bidi="he-IL"/>
        </w:rPr>
        <w:t xml:space="preserve">3 </w:t>
      </w:r>
      <w:r w:rsidR="00CE57E1" w:rsidRPr="00CE57E1">
        <w:rPr>
          <w:rFonts w:eastAsia="Calibri"/>
          <w:bCs/>
          <w:szCs w:val="24"/>
          <w:lang w:eastAsia="en-US" w:bidi="he-IL"/>
        </w:rPr>
        <w:t>Savivaldybės jaunimo reikalų tarybos posėdžiai</w:t>
      </w:r>
      <w:r w:rsidRPr="00D26788">
        <w:rPr>
          <w:rFonts w:eastAsia="Calibri"/>
          <w:bCs/>
          <w:szCs w:val="24"/>
          <w:lang w:eastAsia="en-US" w:bidi="he-IL"/>
        </w:rPr>
        <w:t>.</w:t>
      </w:r>
      <w:r w:rsidRPr="00D26788">
        <w:rPr>
          <w:rFonts w:eastAsia="Calibri"/>
          <w:szCs w:val="24"/>
          <w:lang w:eastAsia="en-US" w:bidi="he-IL"/>
        </w:rPr>
        <w:t xml:space="preserve"> Jų metu svarstyti Kauno miesto savivaldybės projektų atrankos ir finansavimo programos „Iniciatyvos Kaunui“ </w:t>
      </w:r>
      <w:r w:rsidRPr="00D26788">
        <w:rPr>
          <w:rFonts w:eastAsia="Calibri"/>
          <w:szCs w:val="24"/>
          <w:lang w:eastAsia="en-US" w:bidi="he-IL"/>
        </w:rPr>
        <w:lastRenderedPageBreak/>
        <w:t xml:space="preserve">jaunimo srities 2026 metų prioritetai ir veiklos, Atvirųjų jaunimo centrų ir erdvių veiklos kokybės užtikrinimo tvarkos aprašo pakeitimai, jaunimo politikos įgyvendinimo priemonių įtraukimas į Savivaldybės strateginio planavimo dokumentus, </w:t>
      </w:r>
      <w:r w:rsidR="00CE57E1">
        <w:rPr>
          <w:rFonts w:eastAsia="Calibri"/>
          <w:szCs w:val="24"/>
          <w:lang w:eastAsia="en-US" w:bidi="he-IL"/>
        </w:rPr>
        <w:t>Savivaldybės jaunimo reikalų tarybos</w:t>
      </w:r>
      <w:r w:rsidRPr="00D26788">
        <w:rPr>
          <w:rFonts w:eastAsia="Calibri"/>
          <w:szCs w:val="24"/>
          <w:lang w:eastAsia="en-US" w:bidi="he-IL"/>
        </w:rPr>
        <w:t xml:space="preserve"> 2025 metų veiklos plano įgyvendinimas, kiekybinių ir kokybinių veiklos kriterijų vertinimas bei jaunimo politikos tyrimas. </w:t>
      </w:r>
      <w:r w:rsidR="00CE57E1">
        <w:rPr>
          <w:rFonts w:eastAsia="Calibri"/>
          <w:szCs w:val="24"/>
          <w:lang w:eastAsia="en-US" w:bidi="he-IL"/>
        </w:rPr>
        <w:t>Tarybos</w:t>
      </w:r>
      <w:r w:rsidRPr="00D26788">
        <w:rPr>
          <w:rFonts w:eastAsia="Calibri"/>
          <w:szCs w:val="24"/>
          <w:lang w:eastAsia="en-US" w:bidi="he-IL"/>
        </w:rPr>
        <w:t xml:space="preserve"> nariai dalyvavo Savivaldybės jaunimo situacijos identifikavimo, jaunimo politikos kokybės vertinimo ir problematikos tyrimo </w:t>
      </w:r>
      <w:r w:rsidR="00CE57E1">
        <w:rPr>
          <w:rFonts w:eastAsia="Calibri"/>
          <w:szCs w:val="24"/>
          <w:lang w:eastAsia="en-US" w:bidi="he-IL"/>
        </w:rPr>
        <w:t>tikslinės</w:t>
      </w:r>
      <w:r w:rsidRPr="00D26788">
        <w:rPr>
          <w:rFonts w:eastAsia="Calibri"/>
          <w:szCs w:val="24"/>
          <w:lang w:eastAsia="en-US" w:bidi="he-IL"/>
        </w:rPr>
        <w:t xml:space="preserve"> grupės posėdyje ir delegavo jaunimo atstovą į Kauno miesto savivaldybės nevyriausybinių organizacijų tarybą. 2025 metais </w:t>
      </w:r>
      <w:r w:rsidR="00CE57E1">
        <w:rPr>
          <w:rFonts w:eastAsia="Calibri"/>
          <w:szCs w:val="24"/>
          <w:lang w:eastAsia="en-US" w:bidi="he-IL"/>
        </w:rPr>
        <w:t>Savivaldybės jaunimo reikalų tarybos</w:t>
      </w:r>
      <w:r w:rsidRPr="00D26788">
        <w:rPr>
          <w:rFonts w:eastAsia="Calibri"/>
          <w:szCs w:val="24"/>
          <w:lang w:eastAsia="en-US" w:bidi="he-IL"/>
        </w:rPr>
        <w:t xml:space="preserve"> nariai taip pat susitiko su Lietuvos jaunimo organizacijų tarybos prezidentu, kuris pristatė iniciatyvą suteikti rinkimų teisę nuo 16 metų savivaldybių tarybų ir merų rinkimuose, ir nusprendė šiai iniciatyvai pritarti. Be to, įvyko susitikimas su Lietuvos moksleivių sąjungos Kauno padalinio pirmininke, kuri pristatė tyrimo dėl higienos normų užtikrinimo mokyklų tualetuose rezultatus. </w:t>
      </w:r>
      <w:r w:rsidR="00CE57E1">
        <w:rPr>
          <w:rFonts w:eastAsia="Calibri"/>
          <w:szCs w:val="24"/>
          <w:lang w:eastAsia="en-US" w:bidi="he-IL"/>
        </w:rPr>
        <w:t>Tarybos</w:t>
      </w:r>
      <w:r w:rsidRPr="00D26788">
        <w:rPr>
          <w:rFonts w:eastAsia="Calibri"/>
          <w:szCs w:val="24"/>
          <w:lang w:eastAsia="en-US" w:bidi="he-IL"/>
        </w:rPr>
        <w:t xml:space="preserve"> nariai taip pat dalyvavo išvažiuojamajame posėdyje Jonavoje, kur susitiko su Jonavos ir Kauno rajono savivaldybių jaunimo reikalų tarybų nariais bei administracijos atstovais ir aptarė jaunimo politikos įgyvendinimo praktikas įvairiose savivaldybėse.</w:t>
      </w:r>
      <w:r w:rsidR="00A3011D">
        <w:rPr>
          <w:rFonts w:eastAsia="Calibri"/>
          <w:szCs w:val="24"/>
          <w:lang w:eastAsia="en-US" w:bidi="he-IL"/>
        </w:rPr>
        <w:t xml:space="preserve"> </w:t>
      </w:r>
    </w:p>
    <w:p w14:paraId="551523E9" w14:textId="2665A779"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Asmens su negalia gerovės tarybos</w:t>
      </w:r>
      <w:r w:rsidRPr="00D26788">
        <w:rPr>
          <w:rFonts w:eastAsia="Calibri"/>
          <w:szCs w:val="24"/>
          <w:lang w:eastAsia="en-US" w:bidi="he-IL"/>
        </w:rPr>
        <w:t xml:space="preserve"> tikslai – užtikrinti veiksmingą Kauno miesto savivaldybės institucijų, įstaigų ir Kauno miesto asmenų su negalia interesams atstovaujančių nevyriausybinių organizacijų bei bendruomenių bendradarbiavimą, sudarant galimybę asmenims su negalia dalyvauti sprendžiant su jais susijusius klausimus įvairiose Savivaldybės institucijose ir įstaigose, skatinti jų aktyvų dalyvavimą Savivaldybės gyvenime ir siekti, kad Savivaldybės priimami sprendimai atitiktų asmenų su negalia poreikius, teises ir interesus.</w:t>
      </w:r>
      <w:r w:rsidR="00A3011D">
        <w:rPr>
          <w:rFonts w:eastAsia="Calibri"/>
          <w:szCs w:val="24"/>
          <w:lang w:eastAsia="en-US" w:bidi="he-IL"/>
        </w:rPr>
        <w:t xml:space="preserve"> </w:t>
      </w:r>
    </w:p>
    <w:p w14:paraId="270F817B" w14:textId="536A0549"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Asmens su negalia gerovės taryba posėdžiavo 1 kartą. Posėdyje aptartas viešųjų ir privačių įstaigų prieinamumas asmenims su negalia, keltuvų ir pandusų situacija požeminėse perėjose ir kitose vietose bei naudojimosi jais tvarka. Taryba išklausė informaciją apie 2025 metais Socialinių paslaugų skyriaus organizuojamas socialines paslaugas, jų prieinamumą, teikimo statistiką, iššūkių įveikimą, naujas 2025 metais teiktas paslaugas ir 2026 metais planuojamas teikti paslaugas. </w:t>
      </w:r>
      <w:r w:rsidR="00CE57E1">
        <w:rPr>
          <w:rFonts w:eastAsia="Calibri"/>
          <w:szCs w:val="24"/>
          <w:lang w:eastAsia="en-US" w:bidi="he-IL"/>
        </w:rPr>
        <w:t>Asmens su negalia gerovės t</w:t>
      </w:r>
      <w:r w:rsidRPr="00D26788">
        <w:rPr>
          <w:rFonts w:eastAsia="Calibri"/>
          <w:szCs w:val="24"/>
          <w:lang w:eastAsia="en-US" w:bidi="he-IL"/>
        </w:rPr>
        <w:t>arybos nariai domėjosi ir kitais asmenims su negalia aktualiais klausimais, kilus problemoms siūlė sprendimo būdus.</w:t>
      </w:r>
      <w:r w:rsidR="00A3011D">
        <w:rPr>
          <w:rFonts w:eastAsia="Calibri"/>
          <w:szCs w:val="24"/>
          <w:lang w:eastAsia="en-US" w:bidi="he-IL"/>
        </w:rPr>
        <w:t xml:space="preserve"> </w:t>
      </w:r>
    </w:p>
    <w:p w14:paraId="18E70B60" w14:textId="7DF5EA00"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Kauno miesto savivaldybės senjorų reikalų komisijos</w:t>
      </w:r>
      <w:r w:rsidRPr="00D26788">
        <w:rPr>
          <w:rFonts w:eastAsia="Calibri"/>
          <w:szCs w:val="24"/>
          <w:lang w:eastAsia="en-US" w:bidi="he-IL"/>
        </w:rPr>
        <w:t xml:space="preserve"> tikslas – užtikrinti veiksmingą Savivaldybės institucijų ir įstaigų bei Kauno miesto senyvo amžiaus asmenų interesams atstovaujančių nevyriausybinių organizacijų ir bendruomenių bendradarbiavimą, sudarant galimybę senjorams dalyvauti sprendžiant su jais susijusius klausimus įvairiose institucijose ir įstaigose, skatinti senjorų mokymąsi ir aktyvų dalyvavimą visuomeniniame ir politiniame gyvenime.</w:t>
      </w:r>
      <w:r w:rsidR="00A3011D">
        <w:rPr>
          <w:rFonts w:eastAsia="Calibri"/>
          <w:szCs w:val="24"/>
          <w:lang w:eastAsia="en-US" w:bidi="he-IL"/>
        </w:rPr>
        <w:t xml:space="preserve"> </w:t>
      </w:r>
    </w:p>
    <w:p w14:paraId="72AC247C" w14:textId="112EEC35"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lastRenderedPageBreak/>
        <w:t xml:space="preserve">2025 metais įvyko 1 </w:t>
      </w:r>
      <w:r w:rsidR="00CE57E1" w:rsidRPr="00CE57E1">
        <w:rPr>
          <w:rFonts w:eastAsia="Calibri"/>
          <w:szCs w:val="24"/>
          <w:lang w:eastAsia="en-US" w:bidi="he-IL"/>
        </w:rPr>
        <w:t>Savivaldybės s</w:t>
      </w:r>
      <w:r w:rsidRPr="00D26788">
        <w:rPr>
          <w:rFonts w:eastAsia="Calibri"/>
          <w:szCs w:val="24"/>
          <w:lang w:eastAsia="en-US" w:bidi="he-IL"/>
        </w:rPr>
        <w:t xml:space="preserve">enjorų reikalų komisijos posėdis. Posėdžio metu nagrinėtas klausimas dėl pagyvenusių žmonių mėnesio renginių. Atsižvelgdama į posėdžio metu priimtus nutarimus, Savivaldybės administracija organizavo renginių ciklą „Spalis – pagyvenusių žmonių mėnuo“, skirtą </w:t>
      </w:r>
      <w:r w:rsidR="00A3011D">
        <w:rPr>
          <w:rFonts w:eastAsia="Calibri"/>
          <w:szCs w:val="24"/>
          <w:lang w:eastAsia="en-US" w:bidi="he-IL"/>
        </w:rPr>
        <w:t>vyresnio amžiaus asmenims</w:t>
      </w:r>
      <w:r w:rsidRPr="00D26788">
        <w:rPr>
          <w:rFonts w:eastAsia="Calibri"/>
          <w:szCs w:val="24"/>
          <w:lang w:eastAsia="en-US" w:bidi="he-IL"/>
        </w:rPr>
        <w:t>.</w:t>
      </w:r>
      <w:r w:rsidR="00A3011D">
        <w:rPr>
          <w:rFonts w:eastAsia="Calibri"/>
          <w:szCs w:val="24"/>
          <w:lang w:eastAsia="en-US" w:bidi="he-IL"/>
        </w:rPr>
        <w:t xml:space="preserve"> </w:t>
      </w:r>
    </w:p>
    <w:p w14:paraId="5100953E" w14:textId="3DD02BEB"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Kauno miesto savivaldybės šeimos reikalų komisijos</w:t>
      </w:r>
      <w:r w:rsidRPr="00D26788">
        <w:rPr>
          <w:rFonts w:eastAsia="Calibri"/>
          <w:szCs w:val="24"/>
          <w:lang w:eastAsia="en-US" w:bidi="he-IL"/>
        </w:rPr>
        <w:t xml:space="preserve"> tikslai – padėti įgyvendinti Kauno miesto savivaldybės formuojamą šeimos stiprinimo politiką, stiprinti ir plėtoti bendradarbiavimą tarp Savivaldybės, Savivaldybės institucijų ar įstaigų ir nevyriausybinių organizacijų, dirbančių su šeimomis ar joms atstovaujančių, siekti, kad Savivaldybės priimami sprendimai atitiktų Savivaldybės teritorijoje gyvenančių šeimų poreikius, teises ir interesus.</w:t>
      </w:r>
      <w:r w:rsidR="008D41D1">
        <w:rPr>
          <w:rFonts w:eastAsia="Calibri"/>
          <w:szCs w:val="24"/>
          <w:lang w:eastAsia="en-US" w:bidi="he-IL"/>
        </w:rPr>
        <w:t xml:space="preserve"> </w:t>
      </w:r>
    </w:p>
    <w:p w14:paraId="1E6A5074" w14:textId="7A5E3DB7"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įvyko 1 </w:t>
      </w:r>
      <w:r w:rsidR="00E67847" w:rsidRPr="00E67847">
        <w:rPr>
          <w:rFonts w:eastAsia="Calibri"/>
          <w:szCs w:val="24"/>
          <w:lang w:eastAsia="en-US" w:bidi="he-IL"/>
        </w:rPr>
        <w:t>Savivaldybės š</w:t>
      </w:r>
      <w:r w:rsidRPr="00D26788">
        <w:rPr>
          <w:rFonts w:eastAsia="Calibri"/>
          <w:szCs w:val="24"/>
          <w:lang w:eastAsia="en-US" w:bidi="he-IL"/>
        </w:rPr>
        <w:t>eimos reikalų komisijos posėdis. Posėdžio metu aptarta, su kokiais iššūkiais susiduria specialistai, siekdami įtraukti abu tėvus į pagalbos procesą vaikui ir šeimai, ypač po skyrybų, kokie veiksmingi sprendimai ar bendradarbiavimo modeliai taikomi praktikoje, taip pat veiksmingo tarpinstitucinio bendravimo užtikrinimas šiais klausimais.</w:t>
      </w:r>
      <w:r w:rsidR="008D41D1">
        <w:rPr>
          <w:rFonts w:eastAsia="Calibri"/>
          <w:szCs w:val="24"/>
          <w:lang w:eastAsia="en-US" w:bidi="he-IL"/>
        </w:rPr>
        <w:t xml:space="preserve"> </w:t>
      </w:r>
    </w:p>
    <w:p w14:paraId="6F9D3F50" w14:textId="226C9E0C"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Kauno miesto savivaldybės kolegija</w:t>
      </w:r>
      <w:r w:rsidR="00E67847">
        <w:rPr>
          <w:rFonts w:eastAsia="Calibri"/>
          <w:b/>
          <w:bCs/>
          <w:szCs w:val="24"/>
          <w:lang w:eastAsia="en-US" w:bidi="he-IL"/>
        </w:rPr>
        <w:t xml:space="preserve"> </w:t>
      </w:r>
      <w:r w:rsidRPr="00D26788">
        <w:rPr>
          <w:rFonts w:eastAsia="Calibri"/>
          <w:szCs w:val="24"/>
          <w:lang w:eastAsia="en-US" w:bidi="he-IL"/>
        </w:rPr>
        <w:t xml:space="preserve">– Savivaldybės tarybos patariamasis organas, kurio posėdžiams pirmininkauja meras. </w:t>
      </w:r>
      <w:r w:rsidR="00E67847">
        <w:rPr>
          <w:rFonts w:eastAsia="Calibri"/>
          <w:szCs w:val="24"/>
          <w:lang w:eastAsia="en-US" w:bidi="he-IL"/>
        </w:rPr>
        <w:t>Savivaldybės k</w:t>
      </w:r>
      <w:r w:rsidRPr="00D26788">
        <w:rPr>
          <w:rFonts w:eastAsia="Calibri"/>
          <w:szCs w:val="24"/>
          <w:lang w:eastAsia="en-US" w:bidi="he-IL"/>
        </w:rPr>
        <w:t>olegija analizuoja Savivaldybės teritorijoje esančių valstybės institucijų struktūrinių padalinių veiklą, teikia siūlymus Savivaldybės tarybai dėl šių struktūrinių padalinių veiklos gerinimo ir jų vadovų išklausymo; svarsto ir teikia siūlymus dėl Savivaldybės strateginio planavimo dokumentų rengimo; numato mero ir Savivaldybės tarybos narių kvalifikacijos tobulinimo prioritetus; svarsto kitus teisės aktuose nustatytus klausimus.</w:t>
      </w:r>
      <w:r w:rsidR="008D41D1">
        <w:rPr>
          <w:rFonts w:eastAsia="Calibri"/>
          <w:szCs w:val="24"/>
          <w:lang w:eastAsia="en-US" w:bidi="he-IL"/>
        </w:rPr>
        <w:t xml:space="preserve"> </w:t>
      </w:r>
    </w:p>
    <w:p w14:paraId="7E92E3B5" w14:textId="779DFF11"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įvyko 1 </w:t>
      </w:r>
      <w:r w:rsidR="00E67847" w:rsidRPr="00E67847">
        <w:rPr>
          <w:rFonts w:eastAsia="Calibri"/>
          <w:szCs w:val="24"/>
          <w:lang w:eastAsia="en-US" w:bidi="he-IL"/>
        </w:rPr>
        <w:t>Savivaldybės k</w:t>
      </w:r>
      <w:r w:rsidRPr="00D26788">
        <w:rPr>
          <w:rFonts w:eastAsia="Calibri"/>
          <w:szCs w:val="24"/>
          <w:lang w:eastAsia="en-US" w:bidi="he-IL"/>
        </w:rPr>
        <w:t>olegijos posėdis. Jo metu aptartas Kauno miesto savivaldybės 2025–2027 metų strateginio veiklos plano projektas ir visuomenės pateikti siūlymai.</w:t>
      </w:r>
      <w:r w:rsidR="008D41D1">
        <w:rPr>
          <w:rFonts w:eastAsia="Calibri"/>
          <w:szCs w:val="24"/>
          <w:lang w:eastAsia="en-US" w:bidi="he-IL"/>
        </w:rPr>
        <w:t xml:space="preserve"> </w:t>
      </w:r>
    </w:p>
    <w:p w14:paraId="64369C80" w14:textId="505CA54E" w:rsidR="00D26788" w:rsidRPr="00D26788" w:rsidRDefault="00D26788" w:rsidP="00D26788">
      <w:pPr>
        <w:spacing w:line="360" w:lineRule="auto"/>
        <w:ind w:firstLine="1298"/>
        <w:jc w:val="both"/>
        <w:rPr>
          <w:szCs w:val="24"/>
          <w:lang w:eastAsia="en-US" w:bidi="he-IL"/>
        </w:rPr>
      </w:pPr>
      <w:r w:rsidRPr="00D26788">
        <w:rPr>
          <w:rFonts w:eastAsia="Calibri"/>
          <w:b/>
          <w:bCs/>
          <w:szCs w:val="24"/>
          <w:lang w:eastAsia="en-US" w:bidi="he-IL"/>
        </w:rPr>
        <w:t xml:space="preserve">Etikos komisijos </w:t>
      </w:r>
      <w:r w:rsidRPr="00D26788">
        <w:rPr>
          <w:rFonts w:eastAsia="Calibri"/>
          <w:szCs w:val="24"/>
          <w:lang w:eastAsia="en-US" w:bidi="he-IL"/>
        </w:rPr>
        <w:t>tikslas – plėtoti demokratinį valdymą, didinti visuomenės pasitikėjimą Kauno miesto savivaldybės institucijomis, skatinti mero ir Savivaldybės tarybos narių atsakomybę už savo elgesį, veiklą ir atskaitomybę visuomenei.</w:t>
      </w:r>
      <w:r w:rsidR="008D41D1">
        <w:rPr>
          <w:rFonts w:eastAsia="Calibri"/>
          <w:szCs w:val="24"/>
          <w:lang w:eastAsia="en-US" w:bidi="he-IL"/>
        </w:rPr>
        <w:t xml:space="preserve"> </w:t>
      </w:r>
    </w:p>
    <w:p w14:paraId="1E1EBD2F" w14:textId="663CC9C4"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įvyko 2 Etikos komisijos posėdžiai. Pirmajame posėdyje komisija svarstė Lietuvos Respublikos vyriausiosios tarnybinės etikos komisijos rašte </w:t>
      </w:r>
      <w:r w:rsidRPr="00D26788">
        <w:rPr>
          <w:rFonts w:eastAsia="Calibri"/>
          <w:bCs/>
          <w:szCs w:val="24"/>
          <w:lang w:eastAsia="en-US" w:bidi="he-IL"/>
        </w:rPr>
        <w:t>„Dėl Kauno miesto mero elgesio vertinimo“</w:t>
      </w:r>
      <w:r w:rsidRPr="00D26788">
        <w:rPr>
          <w:rFonts w:eastAsia="Calibri"/>
          <w:szCs w:val="24"/>
          <w:lang w:eastAsia="en-US" w:bidi="he-IL"/>
        </w:rPr>
        <w:t xml:space="preserve"> nurodytas aplinkybes ir nutarė tyrimo nepradėti. Antrajame posėdyje buvo svarstomi Lietuvos Respublikos vyriausiosios tarnybinės etikos komisijos persiųsti pranešimai dėl Kauno miesto savivaldybės tarybos narių </w:t>
      </w:r>
      <w:r w:rsidRPr="00D26788">
        <w:rPr>
          <w:rFonts w:eastAsia="Calibri"/>
          <w:bCs/>
          <w:szCs w:val="24"/>
          <w:lang w:eastAsia="en-US" w:bidi="he-IL"/>
        </w:rPr>
        <w:t>R</w:t>
      </w:r>
      <w:r w:rsidR="00E76232">
        <w:rPr>
          <w:rFonts w:eastAsia="Calibri"/>
          <w:bCs/>
          <w:szCs w:val="24"/>
          <w:lang w:eastAsia="en-US" w:bidi="he-IL"/>
        </w:rPr>
        <w:t>.</w:t>
      </w:r>
      <w:r w:rsidRPr="00D26788">
        <w:rPr>
          <w:rFonts w:eastAsia="Calibri"/>
          <w:bCs/>
          <w:szCs w:val="24"/>
          <w:lang w:eastAsia="en-US" w:bidi="he-IL"/>
        </w:rPr>
        <w:t xml:space="preserve"> Bičkauskienės ir Š</w:t>
      </w:r>
      <w:r w:rsidR="00E76232">
        <w:rPr>
          <w:rFonts w:eastAsia="Calibri"/>
          <w:bCs/>
          <w:szCs w:val="24"/>
          <w:lang w:eastAsia="en-US" w:bidi="he-IL"/>
        </w:rPr>
        <w:t>.</w:t>
      </w:r>
      <w:r w:rsidRPr="00D26788">
        <w:rPr>
          <w:rFonts w:eastAsia="Calibri"/>
          <w:bCs/>
          <w:szCs w:val="24"/>
          <w:lang w:eastAsia="en-US" w:bidi="he-IL"/>
        </w:rPr>
        <w:t xml:space="preserve"> Matijošaičio</w:t>
      </w:r>
      <w:r w:rsidRPr="00D26788">
        <w:rPr>
          <w:rFonts w:eastAsia="Calibri"/>
          <w:szCs w:val="24"/>
          <w:lang w:eastAsia="en-US" w:bidi="he-IL"/>
        </w:rPr>
        <w:t xml:space="preserve"> elgesio, galimai pažeidžiančio teisės aktų, reglamentuojančių Savivaldybės tarybos narių veiklą ir elgesį, nuostatas. Komisija, išnagrinėjusi pranešime nurodytas aplinkybes, nutarė tyrimo dėl minėtų Savivaldybės tarybos narių elgesio nepradėti.</w:t>
      </w:r>
      <w:r w:rsidR="008D41D1">
        <w:rPr>
          <w:rFonts w:eastAsia="Calibri"/>
          <w:szCs w:val="24"/>
          <w:lang w:eastAsia="en-US" w:bidi="he-IL"/>
        </w:rPr>
        <w:t xml:space="preserve"> </w:t>
      </w:r>
    </w:p>
    <w:p w14:paraId="1C4C7005" w14:textId="3295CE5E" w:rsidR="00D26788" w:rsidRPr="00D26788" w:rsidRDefault="00D26788" w:rsidP="00D26788">
      <w:pPr>
        <w:tabs>
          <w:tab w:val="left" w:pos="993"/>
        </w:tabs>
        <w:spacing w:line="360" w:lineRule="auto"/>
        <w:jc w:val="both"/>
        <w:rPr>
          <w:szCs w:val="24"/>
          <w:lang w:eastAsia="en-US" w:bidi="he-IL"/>
        </w:rPr>
      </w:pPr>
      <w:r w:rsidRPr="00D26788">
        <w:rPr>
          <w:rFonts w:eastAsia="Calibri"/>
          <w:b/>
          <w:bCs/>
          <w:szCs w:val="24"/>
          <w:lang w:eastAsia="en-US" w:bidi="he-IL"/>
        </w:rPr>
        <w:lastRenderedPageBreak/>
        <w:tab/>
      </w:r>
      <w:r w:rsidRPr="00D26788">
        <w:rPr>
          <w:rFonts w:eastAsia="Calibri"/>
          <w:b/>
          <w:bCs/>
          <w:szCs w:val="24"/>
          <w:lang w:eastAsia="en-US" w:bidi="he-IL"/>
        </w:rPr>
        <w:tab/>
        <w:t xml:space="preserve">Kauno miesto savivaldybės peticijų komisijos </w:t>
      </w:r>
      <w:r w:rsidRPr="00D26788">
        <w:rPr>
          <w:rFonts w:eastAsia="Calibri"/>
          <w:szCs w:val="24"/>
          <w:lang w:eastAsia="en-US" w:bidi="he-IL"/>
        </w:rPr>
        <w:t>tikslas – padėti Savivaldybėje įgyvendinti Lietuvos Respublikos Konstitucijos 33 straipsnio trečiojoje dalyje laiduojamą peticijos teisę.</w:t>
      </w:r>
      <w:r w:rsidR="008D41D1">
        <w:rPr>
          <w:rFonts w:eastAsia="Calibri"/>
          <w:szCs w:val="24"/>
          <w:lang w:eastAsia="en-US" w:bidi="he-IL"/>
        </w:rPr>
        <w:t xml:space="preserve"> </w:t>
      </w:r>
    </w:p>
    <w:p w14:paraId="3B722F48" w14:textId="6459C9DD"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w:t>
      </w:r>
      <w:r w:rsidR="00630565">
        <w:rPr>
          <w:rFonts w:eastAsia="Calibri"/>
          <w:szCs w:val="24"/>
          <w:lang w:eastAsia="en-US" w:bidi="he-IL"/>
        </w:rPr>
        <w:t>Savivaldybės p</w:t>
      </w:r>
      <w:r w:rsidRPr="00D26788">
        <w:rPr>
          <w:rFonts w:eastAsia="Calibri"/>
          <w:szCs w:val="24"/>
          <w:lang w:eastAsia="en-US" w:bidi="he-IL"/>
        </w:rPr>
        <w:t>eticijų komisijos posėdžiai nebuvo organizuo</w:t>
      </w:r>
      <w:r w:rsidR="008D41D1">
        <w:rPr>
          <w:rFonts w:eastAsia="Calibri"/>
          <w:szCs w:val="24"/>
          <w:lang w:eastAsia="en-US" w:bidi="he-IL"/>
        </w:rPr>
        <w:t>ta</w:t>
      </w:r>
      <w:r w:rsidRPr="00D26788">
        <w:rPr>
          <w:rFonts w:eastAsia="Calibri"/>
          <w:szCs w:val="24"/>
          <w:lang w:eastAsia="en-US" w:bidi="he-IL"/>
        </w:rPr>
        <w:t>.</w:t>
      </w:r>
      <w:r w:rsidR="008D41D1">
        <w:rPr>
          <w:rFonts w:eastAsia="Calibri"/>
          <w:szCs w:val="24"/>
          <w:lang w:eastAsia="en-US" w:bidi="he-IL"/>
        </w:rPr>
        <w:t xml:space="preserve"> </w:t>
      </w:r>
    </w:p>
    <w:p w14:paraId="268CB13A" w14:textId="77777777" w:rsidR="00D26788" w:rsidRPr="00D26788" w:rsidRDefault="00D26788" w:rsidP="00D26788">
      <w:pPr>
        <w:spacing w:line="360" w:lineRule="auto"/>
        <w:ind w:firstLine="1298"/>
        <w:jc w:val="both"/>
        <w:textAlignment w:val="baseline"/>
        <w:rPr>
          <w:szCs w:val="24"/>
        </w:rPr>
      </w:pPr>
      <w:r w:rsidRPr="00D26788">
        <w:rPr>
          <w:rFonts w:eastAsia="Calibri"/>
          <w:b/>
          <w:bCs/>
          <w:szCs w:val="24"/>
        </w:rPr>
        <w:t xml:space="preserve">Kauno miesto savivaldybės tarybos veiklos reglamento ir procedūrų komisijos </w:t>
      </w:r>
      <w:r w:rsidRPr="00D26788">
        <w:rPr>
          <w:rFonts w:eastAsia="Calibri"/>
          <w:szCs w:val="24"/>
        </w:rPr>
        <w:t xml:space="preserve">tikslas – užtikrinti Lietuvos Respublikos vietos savivaldos įstatymo (toliau – VSĮ) nuostatų įgyvendinimą Savivaldybės tarybos veikloje ir siekti Savivaldybės tarybos veiklos reglamento (toliau – Reglamentas) nustatytų procedūrų laikymosi užtikrinimo. </w:t>
      </w:r>
    </w:p>
    <w:p w14:paraId="7E77D043" w14:textId="1DC1B95D"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w:t>
      </w:r>
      <w:r w:rsidR="00630565" w:rsidRPr="00630565">
        <w:rPr>
          <w:rFonts w:eastAsia="Calibri"/>
          <w:szCs w:val="24"/>
          <w:lang w:eastAsia="en-US" w:bidi="he-IL"/>
        </w:rPr>
        <w:t>Savivaldybės t</w:t>
      </w:r>
      <w:r w:rsidRPr="00D26788">
        <w:rPr>
          <w:rFonts w:eastAsia="Calibri"/>
          <w:szCs w:val="24"/>
          <w:lang w:eastAsia="en-US" w:bidi="he-IL"/>
        </w:rPr>
        <w:t>arybos veiklos reglamento ir procedūrų komisijos posėdžiai nebuvo organizuo</w:t>
      </w:r>
      <w:r w:rsidR="008D41D1">
        <w:rPr>
          <w:rFonts w:eastAsia="Calibri"/>
          <w:szCs w:val="24"/>
          <w:lang w:eastAsia="en-US" w:bidi="he-IL"/>
        </w:rPr>
        <w:t>ti</w:t>
      </w:r>
      <w:r w:rsidRPr="00D26788">
        <w:rPr>
          <w:rFonts w:eastAsia="Calibri"/>
          <w:szCs w:val="24"/>
          <w:lang w:eastAsia="en-US" w:bidi="he-IL"/>
        </w:rPr>
        <w:t>.</w:t>
      </w:r>
      <w:r w:rsidR="008D41D1">
        <w:rPr>
          <w:rFonts w:eastAsia="Calibri"/>
          <w:szCs w:val="24"/>
          <w:lang w:eastAsia="en-US" w:bidi="he-IL"/>
        </w:rPr>
        <w:t xml:space="preserve"> </w:t>
      </w:r>
    </w:p>
    <w:p w14:paraId="557DA482" w14:textId="123BBDD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Vadovaujantis Lietuvos Respublikos vietos savivaldos įstatymo ir Kauno miesto savivaldybės tarybos veiklos reglamento nuostatomis, Kauno miesto savivaldybės tarybos narys privalo:  dalyvauti Savivaldybės tarybos posėdžiuose,  būti vieno (išskyrus Kontrolės komitetą) Savivaldybės tarybos komiteto nariu,  dalyvauti Savivaldybės tarybos komiteto, Kauno miesto savivaldybės kolegijos, Savivaldybės tarybos sudarytų nuolatinių ir laikinųjų komisijų, tarybų, darbo grupių, kurių narys jis yra, posėdžiuose;  žodžiu arba raštu informuoti merą</w:t>
      </w:r>
      <w:r w:rsidRPr="00D26788">
        <w:rPr>
          <w:rFonts w:eastAsia="Calibri"/>
          <w:i/>
          <w:szCs w:val="24"/>
          <w:lang w:eastAsia="en-US" w:bidi="he-IL"/>
        </w:rPr>
        <w:t xml:space="preserve"> </w:t>
      </w:r>
      <w:r w:rsidRPr="00D26788">
        <w:rPr>
          <w:rFonts w:eastAsia="Calibri"/>
          <w:szCs w:val="24"/>
          <w:lang w:eastAsia="en-US" w:bidi="he-IL"/>
        </w:rPr>
        <w:t xml:space="preserve">ir (ar) Savivaldybės tarybos narius arba kitus asmenis, kurie kartu dalyvauja rengiant, svarstant ar priimant sprendimą dėl esamo interesų konflikto, pareikšti apie nusišalinimą nurodydamas nusišalinimo motyvus ir, jeigu pareikštas nusišalinimas buvo priimtas, jokia forma nedalyvauti toliau rengiant, svarstant ar priimant sprendimą. Kauno miesto savivaldybės tarybos narių priklausymo komitetams, dalyvavimo posėdžiuose ir klausimų, dėl kurių svarstymo nusišalino, suvestinė pateikiama </w:t>
      </w:r>
      <w:r w:rsidR="003B0E77" w:rsidRPr="005E16DD">
        <w:rPr>
          <w:rFonts w:eastAsia="Calibri"/>
          <w:szCs w:val="24"/>
          <w:lang w:eastAsia="en-US" w:bidi="he-IL"/>
        </w:rPr>
        <w:t>6</w:t>
      </w:r>
      <w:r w:rsidRPr="00D26788">
        <w:rPr>
          <w:rFonts w:eastAsia="Calibri"/>
          <w:szCs w:val="24"/>
          <w:lang w:eastAsia="en-US" w:bidi="he-IL"/>
        </w:rPr>
        <w:t xml:space="preserve"> priede.</w:t>
      </w:r>
      <w:r w:rsidR="008D41D1">
        <w:rPr>
          <w:rFonts w:eastAsia="Calibri"/>
          <w:szCs w:val="24"/>
          <w:lang w:eastAsia="en-US" w:bidi="he-IL"/>
        </w:rPr>
        <w:t xml:space="preserve"> </w:t>
      </w:r>
    </w:p>
    <w:p w14:paraId="64200229" w14:textId="77777777" w:rsidR="002D2F07" w:rsidRDefault="002D2F07" w:rsidP="00EB1F22">
      <w:pPr>
        <w:spacing w:line="276" w:lineRule="auto"/>
        <w:jc w:val="center"/>
        <w:rPr>
          <w:rFonts w:eastAsia="Calibri"/>
          <w:b/>
          <w:szCs w:val="24"/>
          <w:lang w:eastAsia="en-US" w:bidi="he-IL"/>
        </w:rPr>
      </w:pPr>
    </w:p>
    <w:p w14:paraId="057D4B55" w14:textId="491CF89E" w:rsidR="00D26788" w:rsidRPr="008D41D1" w:rsidRDefault="00D26788" w:rsidP="009C6543">
      <w:pPr>
        <w:spacing w:line="276" w:lineRule="auto"/>
        <w:jc w:val="center"/>
        <w:rPr>
          <w:b/>
          <w:szCs w:val="24"/>
          <w:lang w:eastAsia="en-US" w:bidi="he-IL"/>
        </w:rPr>
      </w:pPr>
      <w:r w:rsidRPr="00D26788">
        <w:rPr>
          <w:rFonts w:eastAsia="Calibri"/>
          <w:b/>
          <w:szCs w:val="24"/>
          <w:lang w:eastAsia="en-US" w:bidi="he-IL"/>
        </w:rPr>
        <w:t>III SKYRIUS</w:t>
      </w:r>
      <w:r w:rsidR="008D41D1">
        <w:rPr>
          <w:rFonts w:eastAsia="Calibri"/>
          <w:b/>
          <w:szCs w:val="24"/>
          <w:lang w:eastAsia="en-US" w:bidi="he-IL"/>
        </w:rPr>
        <w:t xml:space="preserve"> </w:t>
      </w:r>
    </w:p>
    <w:p w14:paraId="32BFBE1E" w14:textId="1E486C4E" w:rsidR="00D26788" w:rsidRDefault="00D26788" w:rsidP="009C6543">
      <w:pPr>
        <w:spacing w:line="276" w:lineRule="auto"/>
        <w:jc w:val="center"/>
        <w:rPr>
          <w:rFonts w:eastAsia="Calibri"/>
          <w:b/>
          <w:szCs w:val="24"/>
          <w:lang w:eastAsia="en-US" w:bidi="he-IL"/>
        </w:rPr>
      </w:pPr>
      <w:r w:rsidRPr="00D26788">
        <w:rPr>
          <w:rFonts w:eastAsia="Calibri"/>
          <w:b/>
          <w:szCs w:val="24"/>
          <w:lang w:eastAsia="en-US" w:bidi="he-IL"/>
        </w:rPr>
        <w:t>DOKUMENTŲ VALDYMO SRITIS</w:t>
      </w:r>
      <w:r w:rsidR="008D41D1">
        <w:rPr>
          <w:rFonts w:eastAsia="Calibri"/>
          <w:b/>
          <w:szCs w:val="24"/>
          <w:lang w:eastAsia="en-US" w:bidi="he-IL"/>
        </w:rPr>
        <w:t xml:space="preserve"> </w:t>
      </w:r>
    </w:p>
    <w:p w14:paraId="3B4B1C47" w14:textId="77777777" w:rsidR="00EB1F22" w:rsidRPr="00D26788" w:rsidRDefault="00EB1F22" w:rsidP="00EB1F22">
      <w:pPr>
        <w:spacing w:line="276" w:lineRule="auto"/>
        <w:jc w:val="center"/>
        <w:rPr>
          <w:szCs w:val="24"/>
          <w:lang w:eastAsia="en-US" w:bidi="he-IL"/>
        </w:rPr>
      </w:pPr>
    </w:p>
    <w:p w14:paraId="00ED4E42" w14:textId="3455EEFA" w:rsidR="00D26788" w:rsidRPr="0053705B" w:rsidRDefault="00D26788" w:rsidP="00D26788">
      <w:pPr>
        <w:spacing w:line="360" w:lineRule="auto"/>
        <w:ind w:firstLine="1298"/>
        <w:jc w:val="both"/>
        <w:rPr>
          <w:rFonts w:eastAsia="Calibri"/>
          <w:szCs w:val="24"/>
          <w:lang w:eastAsia="en-US" w:bidi="he-IL"/>
        </w:rPr>
      </w:pPr>
      <w:r w:rsidRPr="00D26788">
        <w:rPr>
          <w:rFonts w:eastAsia="Calibri"/>
          <w:szCs w:val="24"/>
          <w:lang w:eastAsia="en-US" w:bidi="he-IL"/>
        </w:rPr>
        <w:t>Įstaigos veikla yra grindžiama dokumentais, kurie sudaro esminę Savivaldybės funkcijų įgyvendinimo dalį. Dokumentų valdymas apima visą dokumentų gyvavimo ciklą – nuo jų rengimo, tvarkymo ir apskaitos iki saugojimo ir nustatyta tvarka atliekamo naikinimo. Kauno miesto savivaldybėje dokumentų valdymo procesai vykdomi naudojant dokumentų valdymo sistemą „Kontora“ (toliau – DVS „Kontora“).</w:t>
      </w:r>
      <w:r w:rsidR="008D41D1">
        <w:rPr>
          <w:rFonts w:eastAsia="Calibri"/>
          <w:szCs w:val="24"/>
          <w:lang w:eastAsia="en-US" w:bidi="he-IL"/>
        </w:rPr>
        <w:t xml:space="preserve"> </w:t>
      </w:r>
    </w:p>
    <w:p w14:paraId="020C3B83" w14:textId="04D42803" w:rsidR="0053705B" w:rsidRPr="0053705B" w:rsidRDefault="0053705B" w:rsidP="0053705B">
      <w:pPr>
        <w:spacing w:line="360" w:lineRule="auto"/>
        <w:ind w:firstLine="1298"/>
        <w:jc w:val="both"/>
        <w:rPr>
          <w:szCs w:val="24"/>
          <w:lang w:eastAsia="en-US" w:bidi="he-IL"/>
        </w:rPr>
      </w:pPr>
      <w:r w:rsidRPr="0053705B">
        <w:rPr>
          <w:szCs w:val="24"/>
          <w:lang w:eastAsia="en-US" w:bidi="he-IL"/>
        </w:rPr>
        <w:t>Kauno miesto savivaldybėje 2025 metais priimta daug svarbių sprendimų, užtikrinusių sklandų ir efektyvų vietos valdžios funkcijų įgyvendinimą. Savivaldybės mero sprendimai yra įforminami potvarkiais, o Administracijos direktoriaus, jo pavaduotojų bei seniūnų priimami sprendimai – įsakymais.</w:t>
      </w:r>
      <w:r w:rsidR="008D41D1">
        <w:rPr>
          <w:szCs w:val="24"/>
          <w:lang w:eastAsia="en-US" w:bidi="he-IL"/>
        </w:rPr>
        <w:t xml:space="preserve"> </w:t>
      </w:r>
    </w:p>
    <w:p w14:paraId="70C6128E" w14:textId="2C46AD34" w:rsidR="0053705B" w:rsidRPr="00D26788" w:rsidRDefault="0053705B" w:rsidP="0053705B">
      <w:pPr>
        <w:spacing w:line="360" w:lineRule="auto"/>
        <w:ind w:firstLine="1298"/>
        <w:jc w:val="both"/>
        <w:rPr>
          <w:szCs w:val="24"/>
          <w:lang w:eastAsia="en-US" w:bidi="he-IL"/>
        </w:rPr>
      </w:pPr>
      <w:r w:rsidRPr="0053705B">
        <w:rPr>
          <w:szCs w:val="24"/>
          <w:lang w:eastAsia="en-US" w:bidi="he-IL"/>
        </w:rPr>
        <w:lastRenderedPageBreak/>
        <w:t>Šiuos dokumentus rengia, derina ir teikia pasirašyti savivaldybės administracijos darbuotojai. Tai užtikrina, kad sprendimai būtų teisiškai pagrįsti, operatyviai įgyvendinami ir atitiktų gyventojų lūkesčius bei savivaldybės strateginius tikslus.</w:t>
      </w:r>
      <w:r w:rsidR="008D41D1">
        <w:rPr>
          <w:szCs w:val="24"/>
          <w:lang w:eastAsia="en-US" w:bidi="he-IL"/>
        </w:rPr>
        <w:t xml:space="preserve"> </w:t>
      </w:r>
    </w:p>
    <w:p w14:paraId="2ADFE6C9" w14:textId="59FB081B" w:rsidR="00D26788" w:rsidRPr="00D26788" w:rsidRDefault="00D26788" w:rsidP="00D26788">
      <w:pPr>
        <w:spacing w:line="360" w:lineRule="auto"/>
        <w:ind w:firstLine="1298"/>
        <w:jc w:val="both"/>
        <w:rPr>
          <w:rFonts w:eastAsia="Calibri"/>
          <w:szCs w:val="24"/>
          <w:lang w:eastAsia="en-US" w:bidi="he-IL"/>
        </w:rPr>
      </w:pPr>
      <w:r w:rsidRPr="00D26788">
        <w:rPr>
          <w:rFonts w:eastAsia="Calibri"/>
          <w:szCs w:val="24"/>
          <w:lang w:eastAsia="en-US" w:bidi="he-IL"/>
        </w:rPr>
        <w:t>2025 metais Kauno miesto savivaldybėje buvo užregistruoti 6 462 teisės aktai – Administracijos direktoriaus, jo pavaduotojų ir seniūnų įsakymai bei Savivaldybės mero potvarkiai. Palyginti su 2023 metais, bendras šių teisės aktų skaičius padidėjo 8,4 proc., o, palyginti su 2024</w:t>
      </w:r>
      <w:r w:rsidR="008D41D1">
        <w:rPr>
          <w:rFonts w:eastAsia="Calibri"/>
          <w:szCs w:val="24"/>
          <w:lang w:eastAsia="en-US" w:bidi="he-IL"/>
        </w:rPr>
        <w:t> </w:t>
      </w:r>
      <w:r w:rsidRPr="00D26788">
        <w:rPr>
          <w:rFonts w:eastAsia="Calibri"/>
          <w:szCs w:val="24"/>
          <w:lang w:eastAsia="en-US" w:bidi="he-IL"/>
        </w:rPr>
        <w:t>metais, – 2 proc. Tai rodo nuosekliai išaugusį dokumentų valdymo procesų intensyvumą ir didesnes dokumentų rengimo, derinimo bei administravimo apimtis DVS „Kontora“ aplinkoje.</w:t>
      </w:r>
      <w:r w:rsidR="008D41D1">
        <w:rPr>
          <w:rFonts w:eastAsia="Calibri"/>
          <w:szCs w:val="24"/>
          <w:lang w:eastAsia="en-US" w:bidi="he-IL"/>
        </w:rPr>
        <w:t xml:space="preserve"> </w:t>
      </w:r>
    </w:p>
    <w:p w14:paraId="6AA57852" w14:textId="3DD1832E" w:rsidR="00D26788" w:rsidRDefault="00D26788" w:rsidP="008D41D1">
      <w:pPr>
        <w:spacing w:line="380" w:lineRule="exact"/>
        <w:ind w:firstLine="1276"/>
        <w:jc w:val="both"/>
        <w:rPr>
          <w:rFonts w:eastAsia="Calibri"/>
          <w:szCs w:val="24"/>
        </w:rPr>
      </w:pPr>
      <w:r w:rsidRPr="00D26788">
        <w:rPr>
          <w:rFonts w:eastAsia="Calibri"/>
          <w:szCs w:val="24"/>
        </w:rPr>
        <w:t>1 paveiksle pateikiamas Savivaldybėje užregistruotų teisės aktų pasiskirstymas.</w:t>
      </w:r>
      <w:r w:rsidR="008D41D1">
        <w:rPr>
          <w:rFonts w:eastAsia="Calibri"/>
          <w:szCs w:val="24"/>
        </w:rPr>
        <w:t xml:space="preserve"> </w:t>
      </w:r>
    </w:p>
    <w:p w14:paraId="1589E7C4" w14:textId="0E9CFCB6" w:rsidR="008D41D1" w:rsidRPr="00D26788" w:rsidRDefault="008D41D1" w:rsidP="008D41D1">
      <w:pPr>
        <w:spacing w:line="360" w:lineRule="auto"/>
        <w:jc w:val="center"/>
        <w:rPr>
          <w:b/>
          <w:bCs/>
          <w:iCs/>
          <w:szCs w:val="24"/>
          <w:lang w:eastAsia="en-US" w:bidi="he-IL"/>
        </w:rPr>
      </w:pPr>
      <w:r w:rsidRPr="00D26788">
        <w:rPr>
          <w:rFonts w:eastAsia="Calibri"/>
          <w:b/>
          <w:bCs/>
          <w:iCs/>
          <w:szCs w:val="24"/>
          <w:lang w:eastAsia="en-US" w:bidi="he-IL"/>
        </w:rPr>
        <w:t>1 paveikslas. Kauno miesto savivaldybėje užregistruotų teisės aktų pasiskirstymas</w:t>
      </w:r>
      <w:r>
        <w:rPr>
          <w:rFonts w:eastAsia="Calibri"/>
          <w:b/>
          <w:bCs/>
          <w:iCs/>
          <w:szCs w:val="24"/>
          <w:lang w:eastAsia="en-US" w:bidi="he-IL"/>
        </w:rPr>
        <w:t xml:space="preserve"> </w:t>
      </w:r>
    </w:p>
    <w:p w14:paraId="20DCD8EF" w14:textId="77777777" w:rsidR="00D26788" w:rsidRPr="00D26788" w:rsidRDefault="00D26788" w:rsidP="00D26788">
      <w:pPr>
        <w:spacing w:line="360" w:lineRule="auto"/>
        <w:rPr>
          <w:szCs w:val="24"/>
          <w:lang w:eastAsia="en-US" w:bidi="he-IL"/>
        </w:rPr>
      </w:pPr>
      <w:r w:rsidRPr="00D26788">
        <w:rPr>
          <w:rFonts w:ascii="Times New Roman" w:hAnsi="Times New Roman" w:cs="Times New Roman"/>
          <w:noProof/>
        </w:rPr>
        <w:drawing>
          <wp:inline distT="0" distB="0" distL="0" distR="0" wp14:anchorId="6E8792C7" wp14:editId="6216D719">
            <wp:extent cx="6120765" cy="3404870"/>
            <wp:effectExtent l="0" t="0" r="13335" b="5080"/>
            <wp:docPr id="257137490" name="Diagrama 1">
              <a:extLst xmlns:a="http://schemas.openxmlformats.org/drawingml/2006/main">
                <a:ext uri="{FF2B5EF4-FFF2-40B4-BE49-F238E27FC236}">
                  <a16:creationId xmlns:a16="http://schemas.microsoft.com/office/drawing/2014/main" id="{8DFAE4B1-74B7-973D-DF27-7EFEC210E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7598E7" w14:textId="214716A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Didžiausias pokytis fiksuotas Savivaldybės mero potvarkių veiklos klausimais srityje: 2025</w:t>
      </w:r>
      <w:r w:rsidR="008D41D1">
        <w:rPr>
          <w:rFonts w:eastAsia="Calibri"/>
          <w:szCs w:val="24"/>
          <w:lang w:eastAsia="en-US" w:bidi="he-IL"/>
        </w:rPr>
        <w:t> </w:t>
      </w:r>
      <w:r w:rsidRPr="00D26788">
        <w:rPr>
          <w:rFonts w:eastAsia="Calibri"/>
          <w:szCs w:val="24"/>
          <w:lang w:eastAsia="en-US" w:bidi="he-IL"/>
        </w:rPr>
        <w:t>metais jų užregistruota 2 759 – tai yra 76 proc. daugiau nei 2023 metais ir 4,7 proc. daugiau nei 2024 metais. Tuo tarpu Administracijos direktoriaus, jo pavaduotojų ir seniūnų įsakymų skaičius, palyginti su 2024 metais, išliko nepakitęs – užregistruoti 3 703 tokio pobūdžio teisės aktai. Tokia struktūrinė dinamika leidžia daryti išvadą, kad 2025 metais didžiausias sprendimų priėmimo aktyvumo augimas buvo fiksuojamas mero lygmeniu.</w:t>
      </w:r>
      <w:r w:rsidR="008D41D1">
        <w:rPr>
          <w:rFonts w:eastAsia="Calibri"/>
          <w:szCs w:val="24"/>
          <w:lang w:eastAsia="en-US" w:bidi="he-IL"/>
        </w:rPr>
        <w:t xml:space="preserve"> </w:t>
      </w:r>
    </w:p>
    <w:p w14:paraId="0777A5DF" w14:textId="10B89C03"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Elektroniniai dokumentai išlieka svarbia dokumentų valdymo sistemos dalimi: 100</w:t>
      </w:r>
      <w:r w:rsidR="006770A8">
        <w:rPr>
          <w:rFonts w:eastAsia="Calibri"/>
          <w:szCs w:val="24"/>
          <w:lang w:eastAsia="en-US" w:bidi="he-IL"/>
        </w:rPr>
        <w:t>,0 </w:t>
      </w:r>
      <w:r w:rsidRPr="00D26788">
        <w:rPr>
          <w:rFonts w:eastAsia="Calibri"/>
          <w:szCs w:val="24"/>
          <w:lang w:eastAsia="en-US" w:bidi="he-IL"/>
        </w:rPr>
        <w:t>proc. Savivaldybės administracijos direktoriaus, jo pavaduotojų ir seniūnų įsakymų bei 99</w:t>
      </w:r>
      <w:r w:rsidR="006770A8">
        <w:rPr>
          <w:rFonts w:eastAsia="Calibri"/>
          <w:szCs w:val="24"/>
          <w:lang w:eastAsia="en-US" w:bidi="he-IL"/>
        </w:rPr>
        <w:t>,0 </w:t>
      </w:r>
      <w:r w:rsidRPr="00D26788">
        <w:rPr>
          <w:rFonts w:eastAsia="Calibri"/>
          <w:szCs w:val="24"/>
          <w:lang w:eastAsia="en-US" w:bidi="he-IL"/>
        </w:rPr>
        <w:t xml:space="preserve">proc. Savivaldybės mero potvarkių veiklos klausimais 2025 metais buvo derinami, vizuojami (pasirašomi) elektroniniu parašu ir registruojami DVS „Kontora“ priemonėmis. Dokumentų rengimas elektronine forma prisideda prie darbo procesų supaprastinimo, administracinės naštos mažinimo </w:t>
      </w:r>
      <w:r w:rsidRPr="00D26788">
        <w:rPr>
          <w:rFonts w:eastAsia="Calibri"/>
          <w:szCs w:val="24"/>
          <w:lang w:eastAsia="en-US" w:bidi="he-IL"/>
        </w:rPr>
        <w:lastRenderedPageBreak/>
        <w:t>ir veiklos efektyvumo didinimo, o dokumentų valdymas elektroninėje erdvėje sudaro galimybę juos pasiekti nepriklausomai nuo vietos ir laiko bei užtikrina operatyvesnę informacijos paiešką ir patogesnį jos naudojimą tiek Savivaldybės administracijos darbuotojams, tiek gyventojams.</w:t>
      </w:r>
      <w:r w:rsidR="008D41D1">
        <w:rPr>
          <w:rFonts w:eastAsia="Calibri"/>
          <w:szCs w:val="24"/>
          <w:lang w:eastAsia="en-US" w:bidi="he-IL"/>
        </w:rPr>
        <w:t xml:space="preserve"> </w:t>
      </w:r>
    </w:p>
    <w:p w14:paraId="14230839" w14:textId="7066206D"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DVS „Kontora“ dokumentai nukreipiami vykdyti rezoliucijomis, kuriomis nustatomi konkretūs vykdytojai, užtikrinamas tikslingas užduočių delegavimas ir procesų skaidrumas. 2025</w:t>
      </w:r>
      <w:r w:rsidR="008D41D1">
        <w:rPr>
          <w:rFonts w:eastAsia="Calibri"/>
          <w:szCs w:val="24"/>
          <w:lang w:eastAsia="en-US" w:bidi="he-IL"/>
        </w:rPr>
        <w:t> </w:t>
      </w:r>
      <w:r w:rsidRPr="00D26788">
        <w:rPr>
          <w:rFonts w:eastAsia="Calibri"/>
          <w:szCs w:val="24"/>
          <w:lang w:eastAsia="en-US" w:bidi="he-IL"/>
        </w:rPr>
        <w:t xml:space="preserve">metais </w:t>
      </w:r>
      <w:r w:rsidR="006770A8">
        <w:rPr>
          <w:rFonts w:eastAsia="Calibri"/>
          <w:szCs w:val="24"/>
          <w:lang w:eastAsia="en-US" w:bidi="he-IL"/>
        </w:rPr>
        <w:t>a</w:t>
      </w:r>
      <w:r w:rsidRPr="00D26788">
        <w:rPr>
          <w:rFonts w:eastAsia="Calibri"/>
          <w:szCs w:val="24"/>
          <w:lang w:eastAsia="en-US" w:bidi="he-IL"/>
        </w:rPr>
        <w:t xml:space="preserve">dministracijos direktorius ir jo pavaduotojai vykdytojams dokumentus nukreipė </w:t>
      </w:r>
      <w:r w:rsidRPr="00D26788">
        <w:rPr>
          <w:rFonts w:eastAsia="Calibri"/>
          <w:bCs/>
          <w:szCs w:val="24"/>
          <w:lang w:eastAsia="en-US" w:bidi="he-IL"/>
        </w:rPr>
        <w:t>8</w:t>
      </w:r>
      <w:r w:rsidR="008D41D1">
        <w:rPr>
          <w:rFonts w:eastAsia="Calibri"/>
          <w:bCs/>
          <w:szCs w:val="24"/>
          <w:lang w:eastAsia="en-US" w:bidi="he-IL"/>
        </w:rPr>
        <w:t> </w:t>
      </w:r>
      <w:r w:rsidRPr="00D26788">
        <w:rPr>
          <w:rFonts w:eastAsia="Calibri"/>
          <w:bCs/>
          <w:szCs w:val="24"/>
          <w:lang w:eastAsia="en-US" w:bidi="he-IL"/>
        </w:rPr>
        <w:t>445</w:t>
      </w:r>
      <w:r w:rsidR="008D41D1">
        <w:rPr>
          <w:rFonts w:eastAsia="Calibri"/>
          <w:bCs/>
          <w:szCs w:val="24"/>
          <w:lang w:eastAsia="en-US" w:bidi="he-IL"/>
        </w:rPr>
        <w:t> </w:t>
      </w:r>
      <w:r w:rsidRPr="00D26788">
        <w:rPr>
          <w:rFonts w:eastAsia="Calibri"/>
          <w:bCs/>
          <w:szCs w:val="24"/>
          <w:lang w:eastAsia="en-US" w:bidi="he-IL"/>
        </w:rPr>
        <w:t>rezoliucijomis. Palyginti su 2024 metais, kai tokių rezoliucijų buvo 8 486, jų skaičius sumažėjo 0,5</w:t>
      </w:r>
      <w:r w:rsidR="006770A8">
        <w:rPr>
          <w:rFonts w:eastAsia="Calibri"/>
          <w:bCs/>
          <w:szCs w:val="24"/>
          <w:lang w:eastAsia="en-US" w:bidi="he-IL"/>
        </w:rPr>
        <w:t> </w:t>
      </w:r>
      <w:r w:rsidRPr="00D26788">
        <w:rPr>
          <w:rFonts w:eastAsia="Calibri"/>
          <w:bCs/>
          <w:szCs w:val="24"/>
          <w:lang w:eastAsia="en-US" w:bidi="he-IL"/>
        </w:rPr>
        <w:t xml:space="preserve">proc., tačiau išliko labai aukštas, </w:t>
      </w:r>
      <w:r w:rsidRPr="00D26788">
        <w:rPr>
          <w:rFonts w:eastAsia="Calibri"/>
          <w:szCs w:val="24"/>
          <w:lang w:eastAsia="en-US" w:bidi="he-IL"/>
        </w:rPr>
        <w:t>rodantis aktyvų vadovų įsitraukimą į dokumentuose keliamų klausimų ir situacijų nagrinėjimo organizavimą bei jų įgyvendinimo kontrolę.</w:t>
      </w:r>
      <w:r w:rsidR="008D41D1">
        <w:rPr>
          <w:rFonts w:eastAsia="Calibri"/>
          <w:szCs w:val="24"/>
          <w:lang w:eastAsia="en-US" w:bidi="he-IL"/>
        </w:rPr>
        <w:t xml:space="preserve"> </w:t>
      </w:r>
    </w:p>
    <w:p w14:paraId="1EFF2CA1" w14:textId="0EE9659C"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Dokumentų skyriaus Archyvų poskyryje vykdoma valstybės perduota savivaldybėms funkcija – tvarkyti likviduotų nevalstybinių organizacijų bei privačių juridinių asmenų, kurių buveinė yra Kauno miesto savivaldybės teritorijoje, archyvinius dokumentus. Šiai funkcijai vykdyti Archyvų poskyrio darbuotojai teikia konsultacijas juridiniams ir fiziniams asmenims, kuriuos teisės aktai įpareigoja perduoti savo veiklos dokumentus tolesniam saugojimui.</w:t>
      </w:r>
      <w:r w:rsidR="008D41D1">
        <w:rPr>
          <w:rFonts w:eastAsia="Calibri"/>
          <w:szCs w:val="24"/>
          <w:lang w:eastAsia="en-US" w:bidi="he-IL"/>
        </w:rPr>
        <w:t xml:space="preserve"> </w:t>
      </w:r>
    </w:p>
    <w:p w14:paraId="3E5FDFA0" w14:textId="4174A7D7"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Archyvų poskyris priėmė 453 tiesinius metrus likviduotų įmonių dokumentų, sudarančių 15</w:t>
      </w:r>
      <w:r w:rsidR="006770A8" w:rsidRPr="0057599E">
        <w:rPr>
          <w:rFonts w:eastAsia="Calibri"/>
          <w:szCs w:val="24"/>
          <w:lang w:eastAsia="en-US" w:bidi="he-IL"/>
        </w:rPr>
        <w:t> </w:t>
      </w:r>
      <w:r w:rsidRPr="00D26788">
        <w:rPr>
          <w:rFonts w:eastAsia="Calibri"/>
          <w:szCs w:val="24"/>
          <w:lang w:eastAsia="en-US" w:bidi="he-IL"/>
        </w:rPr>
        <w:t>648 apskaitos vienetus. Bendras 2025 metais saugomų dokumentų kiekis siekė 6 226 tiesinius metrus, iš jų 4 072 tiesiniai metrai buvo ilgai saugomų dokumentų ir 2</w:t>
      </w:r>
      <w:r w:rsidR="008D41D1">
        <w:rPr>
          <w:rFonts w:eastAsia="Calibri"/>
          <w:szCs w:val="24"/>
          <w:lang w:eastAsia="en-US" w:bidi="he-IL"/>
        </w:rPr>
        <w:t> </w:t>
      </w:r>
      <w:r w:rsidRPr="00D26788">
        <w:rPr>
          <w:rFonts w:eastAsia="Calibri"/>
          <w:szCs w:val="24"/>
          <w:lang w:eastAsia="en-US" w:bidi="he-IL"/>
        </w:rPr>
        <w:t>154</w:t>
      </w:r>
      <w:r w:rsidR="008D41D1">
        <w:rPr>
          <w:rFonts w:eastAsia="Calibri"/>
          <w:szCs w:val="24"/>
          <w:lang w:eastAsia="en-US" w:bidi="he-IL"/>
        </w:rPr>
        <w:t> </w:t>
      </w:r>
      <w:r w:rsidRPr="00D26788">
        <w:rPr>
          <w:rFonts w:eastAsia="Calibri"/>
          <w:szCs w:val="24"/>
          <w:lang w:eastAsia="en-US" w:bidi="he-IL"/>
        </w:rPr>
        <w:t>tiesiniai metrai – trumpai saugomų dokumentų.</w:t>
      </w:r>
      <w:r w:rsidR="008D41D1">
        <w:rPr>
          <w:rFonts w:eastAsia="Calibri"/>
          <w:szCs w:val="24"/>
          <w:lang w:eastAsia="en-US" w:bidi="he-IL"/>
        </w:rPr>
        <w:t xml:space="preserve"> </w:t>
      </w:r>
    </w:p>
    <w:p w14:paraId="7F12CD5F" w14:textId="66AF8E8E"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Nuolat vykdyta saugomų dokumentų paieška, teiktos jų kopijos ir rengiamos pažymos. 2025 metais Archyvų poskyrio darbuotojai išnagrinėjo 5 476 asmenų prašymus dėl juridinius faktus patvirtinančių dokumentų išdavimo, parengė 5 338 siunčiamųjų dokumentų ir pateikė 19</w:t>
      </w:r>
      <w:r w:rsidR="008D41D1">
        <w:rPr>
          <w:rFonts w:eastAsia="Calibri"/>
          <w:szCs w:val="24"/>
          <w:lang w:eastAsia="en-US" w:bidi="he-IL"/>
        </w:rPr>
        <w:t> </w:t>
      </w:r>
      <w:r w:rsidRPr="00D26788">
        <w:rPr>
          <w:rFonts w:eastAsia="Calibri"/>
          <w:szCs w:val="24"/>
          <w:lang w:eastAsia="en-US" w:bidi="he-IL"/>
        </w:rPr>
        <w:t>849</w:t>
      </w:r>
      <w:r w:rsidR="008D41D1">
        <w:rPr>
          <w:rFonts w:eastAsia="Calibri"/>
          <w:szCs w:val="24"/>
          <w:lang w:eastAsia="en-US" w:bidi="he-IL"/>
        </w:rPr>
        <w:t> </w:t>
      </w:r>
      <w:r w:rsidRPr="00D26788">
        <w:rPr>
          <w:rFonts w:eastAsia="Calibri"/>
          <w:szCs w:val="24"/>
          <w:lang w:eastAsia="en-US" w:bidi="he-IL"/>
        </w:rPr>
        <w:t>dokumentų kopijas.</w:t>
      </w:r>
      <w:r w:rsidR="008D41D1">
        <w:rPr>
          <w:rFonts w:eastAsia="Calibri"/>
          <w:szCs w:val="24"/>
          <w:lang w:eastAsia="en-US" w:bidi="he-IL"/>
        </w:rPr>
        <w:t xml:space="preserve"> </w:t>
      </w:r>
    </w:p>
    <w:p w14:paraId="0F5DA3F6" w14:textId="64C52538"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Pažymėtina, kad 92,8 proc. šių dokumentų 2025 metais buvo parengti naudojantis DVS</w:t>
      </w:r>
      <w:r w:rsidR="008D41D1">
        <w:rPr>
          <w:rFonts w:eastAsia="Calibri"/>
          <w:szCs w:val="24"/>
          <w:lang w:eastAsia="en-US" w:bidi="he-IL"/>
        </w:rPr>
        <w:t> </w:t>
      </w:r>
      <w:r w:rsidRPr="00D26788">
        <w:rPr>
          <w:rFonts w:eastAsia="Calibri"/>
          <w:szCs w:val="24"/>
          <w:lang w:eastAsia="en-US" w:bidi="he-IL"/>
        </w:rPr>
        <w:t>„Kontora“ priemonėmis ir pasirašyti kvalifikuotu elektroniniu parašu. Palyginti su 2024</w:t>
      </w:r>
      <w:r w:rsidR="008D41D1">
        <w:rPr>
          <w:rFonts w:eastAsia="Calibri"/>
          <w:szCs w:val="24"/>
          <w:lang w:eastAsia="en-US" w:bidi="he-IL"/>
        </w:rPr>
        <w:t> </w:t>
      </w:r>
      <w:r w:rsidRPr="00D26788">
        <w:rPr>
          <w:rFonts w:eastAsia="Calibri"/>
          <w:szCs w:val="24"/>
          <w:lang w:eastAsia="en-US" w:bidi="he-IL"/>
        </w:rPr>
        <w:t>metais, tokių dokumentų dalis padidėjo 1,7 proc. punkto. Tai rodo nuoseklų elektroninių dokumentų rengimo brandos didėjimą ir tolesnį skaitmeninių sprendimų įsitvirtinimą dokumentų valdymo srityje.</w:t>
      </w:r>
      <w:r w:rsidR="008D41D1">
        <w:rPr>
          <w:rFonts w:eastAsia="Calibri"/>
          <w:szCs w:val="24"/>
          <w:lang w:eastAsia="en-US" w:bidi="he-IL"/>
        </w:rPr>
        <w:t xml:space="preserve"> </w:t>
      </w:r>
    </w:p>
    <w:p w14:paraId="1667BDF5" w14:textId="7B206A72" w:rsidR="00D26788" w:rsidRDefault="00D26788" w:rsidP="00D26788">
      <w:pPr>
        <w:spacing w:line="360" w:lineRule="auto"/>
        <w:ind w:firstLine="1298"/>
        <w:jc w:val="both"/>
        <w:rPr>
          <w:rFonts w:eastAsia="Calibri"/>
          <w:szCs w:val="24"/>
          <w:lang w:eastAsia="en-US" w:bidi="he-IL"/>
        </w:rPr>
      </w:pPr>
      <w:r w:rsidRPr="00D26788">
        <w:rPr>
          <w:rFonts w:eastAsia="Calibri"/>
          <w:szCs w:val="24"/>
          <w:lang w:eastAsia="en-US" w:bidi="he-IL"/>
        </w:rPr>
        <w:t>Teisės aktų nustatyta tvarka 2025 metais taip pat atrinkta 390 tiesinių metrų likviduotų įmonių saugomų dokumentų, sudarančių 13 106 apskaitos vienetų, naikinimui. Tai rodo nuoseklų archyvinių dokumentų fondo priežiūros ir jo tvarkymo procesų tęstinumą.</w:t>
      </w:r>
      <w:r w:rsidR="008D41D1">
        <w:rPr>
          <w:rFonts w:eastAsia="Calibri"/>
          <w:szCs w:val="24"/>
          <w:lang w:eastAsia="en-US" w:bidi="he-IL"/>
        </w:rPr>
        <w:t xml:space="preserve"> </w:t>
      </w:r>
    </w:p>
    <w:p w14:paraId="24EF0C37" w14:textId="0B5F86A8" w:rsidR="00D26788" w:rsidRDefault="00D26788" w:rsidP="00D26788">
      <w:pPr>
        <w:spacing w:line="360" w:lineRule="auto"/>
        <w:ind w:firstLine="1298"/>
        <w:jc w:val="both"/>
        <w:rPr>
          <w:rFonts w:eastAsia="Calibri"/>
          <w:szCs w:val="24"/>
          <w:lang w:eastAsia="en-US" w:bidi="he-IL"/>
        </w:rPr>
      </w:pPr>
      <w:r w:rsidRPr="00D26788">
        <w:rPr>
          <w:rFonts w:eastAsia="Calibri"/>
          <w:szCs w:val="24"/>
          <w:lang w:eastAsia="en-US" w:bidi="he-IL"/>
        </w:rPr>
        <w:t>Apibendrinant</w:t>
      </w:r>
      <w:r w:rsidR="0057599E">
        <w:rPr>
          <w:rFonts w:eastAsia="Calibri"/>
          <w:szCs w:val="24"/>
          <w:lang w:eastAsia="en-US" w:bidi="he-IL"/>
        </w:rPr>
        <w:t xml:space="preserve">, </w:t>
      </w:r>
      <w:r w:rsidRPr="00D26788">
        <w:rPr>
          <w:rFonts w:eastAsia="Calibri"/>
          <w:szCs w:val="24"/>
          <w:lang w:eastAsia="en-US" w:bidi="he-IL"/>
        </w:rPr>
        <w:t>2025 metais Savivaldybėje buvo užtikrintas sklandus dokumentų valdymo procesų organizavimas, aukštas elektroninių dokumentų naudojimo lygis</w:t>
      </w:r>
      <w:r w:rsidR="0057599E">
        <w:rPr>
          <w:rFonts w:eastAsia="Calibri"/>
          <w:szCs w:val="24"/>
          <w:lang w:eastAsia="en-US" w:bidi="he-IL"/>
        </w:rPr>
        <w:t>, šiuo būdu Savivaldos procesuose toliau mažinant a</w:t>
      </w:r>
      <w:r w:rsidR="00E9250B">
        <w:rPr>
          <w:rFonts w:eastAsia="Calibri"/>
          <w:szCs w:val="24"/>
          <w:lang w:eastAsia="en-US" w:bidi="he-IL"/>
        </w:rPr>
        <w:t>d</w:t>
      </w:r>
      <w:r w:rsidR="0057599E">
        <w:rPr>
          <w:rFonts w:eastAsia="Calibri"/>
          <w:szCs w:val="24"/>
          <w:lang w:eastAsia="en-US" w:bidi="he-IL"/>
        </w:rPr>
        <w:t xml:space="preserve">ministracinę naštą bei didinant veiklos efektyvumą, </w:t>
      </w:r>
      <w:r w:rsidRPr="00D26788">
        <w:rPr>
          <w:rFonts w:eastAsia="Calibri"/>
          <w:szCs w:val="24"/>
          <w:lang w:eastAsia="en-US" w:bidi="he-IL"/>
        </w:rPr>
        <w:t xml:space="preserve">ir </w:t>
      </w:r>
      <w:r w:rsidRPr="00D26788">
        <w:rPr>
          <w:rFonts w:eastAsia="Calibri"/>
          <w:szCs w:val="24"/>
          <w:lang w:eastAsia="en-US" w:bidi="he-IL"/>
        </w:rPr>
        <w:lastRenderedPageBreak/>
        <w:t>savalaikis valstybės perduotos archyvinių dokumentų tvarkymo funkcijos vykdymas. Visos dokumentų valdymo paslaugos buvo teikiamos greitai, kokybiškai ir operatyviai, atliepiant tiek Savivaldybės administracijos veiklos poreikius, tiek gyventojų ir juridinių asmenų interesus.</w:t>
      </w:r>
      <w:r w:rsidR="008D41D1">
        <w:rPr>
          <w:rFonts w:eastAsia="Calibri"/>
          <w:szCs w:val="24"/>
          <w:lang w:eastAsia="en-US" w:bidi="he-IL"/>
        </w:rPr>
        <w:t xml:space="preserve"> </w:t>
      </w:r>
    </w:p>
    <w:p w14:paraId="762879F5" w14:textId="6109E8CF" w:rsidR="00C43468" w:rsidRPr="00C43468" w:rsidRDefault="00C43468" w:rsidP="00C43468">
      <w:pPr>
        <w:spacing w:line="360" w:lineRule="auto"/>
        <w:ind w:firstLine="1298"/>
        <w:jc w:val="both"/>
        <w:rPr>
          <w:szCs w:val="24"/>
          <w:lang w:eastAsia="en-US" w:bidi="he-IL"/>
        </w:rPr>
      </w:pPr>
      <w:r w:rsidRPr="00C43468">
        <w:rPr>
          <w:szCs w:val="24"/>
          <w:lang w:eastAsia="en-US" w:bidi="he-IL"/>
        </w:rPr>
        <w:t>Asmenų prašymai, pasiūlymai ir skundai Savivaldybei siunčiami paštu adresu Laisvės</w:t>
      </w:r>
      <w:r w:rsidR="008D41D1">
        <w:rPr>
          <w:szCs w:val="24"/>
          <w:lang w:eastAsia="en-US" w:bidi="he-IL"/>
        </w:rPr>
        <w:t> </w:t>
      </w:r>
      <w:r w:rsidRPr="00C43468">
        <w:rPr>
          <w:szCs w:val="24"/>
          <w:lang w:eastAsia="en-US" w:bidi="he-IL"/>
        </w:rPr>
        <w:t>al.</w:t>
      </w:r>
      <w:r w:rsidR="008D41D1">
        <w:rPr>
          <w:szCs w:val="24"/>
          <w:lang w:eastAsia="en-US" w:bidi="he-IL"/>
        </w:rPr>
        <w:t> </w:t>
      </w:r>
      <w:r w:rsidRPr="00C43468">
        <w:rPr>
          <w:szCs w:val="24"/>
          <w:lang w:eastAsia="en-US" w:bidi="he-IL"/>
        </w:rPr>
        <w:t xml:space="preserve">96, Kaunas, elektroniniu paštu info@kaunas.lt, per elektroninių pranešimų ir dokumentų pristatymo fiziniams ir juridiniams asmenims informacinę sistemą „E. pristatymas“, per e. paslaugų portalą www.epaslaugos.lt arba pateikiami tiesiogiai atvykus į Savivaldybės administracijos interesantų priimamąjį (Laisvės al. 94, Kaunas). </w:t>
      </w:r>
    </w:p>
    <w:p w14:paraId="09DB9BE0" w14:textId="77777777" w:rsidR="00C43468" w:rsidRPr="00C43468" w:rsidRDefault="00C43468" w:rsidP="00C43468">
      <w:pPr>
        <w:spacing w:line="360" w:lineRule="auto"/>
        <w:ind w:firstLine="1298"/>
        <w:jc w:val="both"/>
        <w:rPr>
          <w:szCs w:val="24"/>
          <w:lang w:eastAsia="en-US" w:bidi="he-IL"/>
        </w:rPr>
      </w:pPr>
      <w:r w:rsidRPr="00C43468">
        <w:rPr>
          <w:szCs w:val="24"/>
          <w:lang w:eastAsia="en-US" w:bidi="he-IL"/>
        </w:rPr>
        <w:t xml:space="preserve">Gyventojai visada turi galimybę kreiptis į merą elektroniniu paštu meras@kaunas.lt, išdėstydami savo problemas, pateikdami pasiūlymus, išsakydami nuomonę, pastebėjimus ir lūkesčius. </w:t>
      </w:r>
    </w:p>
    <w:p w14:paraId="48F79B32" w14:textId="188A1B13" w:rsidR="00C43468" w:rsidRPr="00D26788" w:rsidRDefault="00C43468" w:rsidP="00C43468">
      <w:pPr>
        <w:spacing w:line="360" w:lineRule="auto"/>
        <w:ind w:firstLine="1298"/>
        <w:jc w:val="both"/>
        <w:rPr>
          <w:szCs w:val="24"/>
          <w:lang w:eastAsia="en-US" w:bidi="he-IL"/>
        </w:rPr>
      </w:pPr>
      <w:r w:rsidRPr="00C43468">
        <w:rPr>
          <w:szCs w:val="24"/>
          <w:lang w:eastAsia="en-US" w:bidi="he-IL"/>
        </w:rPr>
        <w:t>Savivaldybės mero ir vicemerų darbotvarkės yra viešinamos, t. y. kasdien skelbiamos Savivaldybės interneto svetainėje www.kaunas.lt.</w:t>
      </w:r>
      <w:r w:rsidR="008D41D1">
        <w:rPr>
          <w:szCs w:val="24"/>
          <w:lang w:eastAsia="en-US" w:bidi="he-IL"/>
        </w:rPr>
        <w:t xml:space="preserve"> </w:t>
      </w:r>
    </w:p>
    <w:p w14:paraId="0044CBA0" w14:textId="77777777" w:rsidR="002D2F07" w:rsidRPr="008D41D1" w:rsidRDefault="002D2F07" w:rsidP="00D26788">
      <w:pPr>
        <w:spacing w:line="276" w:lineRule="auto"/>
        <w:jc w:val="center"/>
        <w:rPr>
          <w:szCs w:val="24"/>
          <w:lang w:eastAsia="en-US"/>
        </w:rPr>
      </w:pPr>
      <w:bookmarkStart w:id="3" w:name="r18"/>
    </w:p>
    <w:p w14:paraId="68875156" w14:textId="3AFFBEBA" w:rsidR="00D26788" w:rsidRPr="00D26788" w:rsidRDefault="00D26788" w:rsidP="00D26788">
      <w:pPr>
        <w:spacing w:line="276" w:lineRule="auto"/>
        <w:jc w:val="center"/>
        <w:rPr>
          <w:b/>
          <w:szCs w:val="24"/>
          <w:lang w:eastAsia="en-US"/>
        </w:rPr>
      </w:pPr>
      <w:r w:rsidRPr="00D26788">
        <w:rPr>
          <w:b/>
          <w:szCs w:val="24"/>
          <w:lang w:eastAsia="en-US"/>
        </w:rPr>
        <w:t xml:space="preserve">IV SKYRIUS </w:t>
      </w:r>
    </w:p>
    <w:p w14:paraId="2A482F54" w14:textId="77777777" w:rsidR="00D26788" w:rsidRPr="00D26788" w:rsidRDefault="00D26788" w:rsidP="00D26788">
      <w:pPr>
        <w:spacing w:line="276" w:lineRule="auto"/>
        <w:jc w:val="center"/>
        <w:rPr>
          <w:b/>
          <w:szCs w:val="24"/>
          <w:lang w:eastAsia="en-US"/>
        </w:rPr>
      </w:pPr>
      <w:bookmarkStart w:id="4" w:name="_Toc98333919"/>
      <w:r w:rsidRPr="00D26788">
        <w:rPr>
          <w:b/>
          <w:szCs w:val="24"/>
          <w:lang w:eastAsia="en-US"/>
        </w:rPr>
        <w:t>STRATEGINIS PLANAVIMAS</w:t>
      </w:r>
      <w:bookmarkEnd w:id="4"/>
      <w:r w:rsidRPr="00D26788">
        <w:rPr>
          <w:b/>
          <w:szCs w:val="24"/>
          <w:lang w:eastAsia="en-US"/>
        </w:rPr>
        <w:t xml:space="preserve"> </w:t>
      </w:r>
    </w:p>
    <w:p w14:paraId="2E4C7040" w14:textId="77777777" w:rsidR="00D26788" w:rsidRPr="008D41D1" w:rsidRDefault="00D26788" w:rsidP="00D26788">
      <w:pPr>
        <w:spacing w:line="276" w:lineRule="auto"/>
        <w:jc w:val="center"/>
        <w:rPr>
          <w:szCs w:val="24"/>
          <w:lang w:eastAsia="en-US"/>
        </w:rPr>
      </w:pPr>
    </w:p>
    <w:p w14:paraId="457B0CB5" w14:textId="77777777" w:rsidR="00D26788" w:rsidRPr="00D26788" w:rsidRDefault="00D26788" w:rsidP="008D41D1">
      <w:pPr>
        <w:tabs>
          <w:tab w:val="left" w:pos="4230"/>
        </w:tabs>
        <w:spacing w:line="360" w:lineRule="auto"/>
        <w:ind w:firstLine="1276"/>
        <w:jc w:val="both"/>
        <w:rPr>
          <w:rFonts w:eastAsia="Calibri"/>
          <w:szCs w:val="24"/>
          <w:lang w:bidi="he-IL"/>
        </w:rPr>
      </w:pPr>
      <w:r w:rsidRPr="00D26788">
        <w:rPr>
          <w:rFonts w:eastAsia="Calibri"/>
          <w:szCs w:val="24"/>
          <w:lang w:bidi="he-IL"/>
        </w:rPr>
        <w:t>2025 metais Kauno miesto savivaldybė dirbo vadovaudamasi trumpalaikiu Kauno miesto savivaldybės 202</w:t>
      </w:r>
      <w:r w:rsidRPr="00D26788">
        <w:rPr>
          <w:bCs/>
          <w:szCs w:val="24"/>
          <w:lang w:eastAsia="en-US" w:bidi="he-IL"/>
        </w:rPr>
        <w:t>5</w:t>
      </w:r>
      <w:r w:rsidRPr="00D26788">
        <w:rPr>
          <w:rFonts w:eastAsia="Calibri"/>
          <w:szCs w:val="24"/>
          <w:lang w:bidi="he-IL"/>
        </w:rPr>
        <w:t>–202</w:t>
      </w:r>
      <w:r w:rsidRPr="00D26788">
        <w:rPr>
          <w:bCs/>
          <w:szCs w:val="24"/>
          <w:lang w:eastAsia="en-US" w:bidi="he-IL"/>
        </w:rPr>
        <w:t>7</w:t>
      </w:r>
      <w:r w:rsidRPr="00D26788">
        <w:rPr>
          <w:rFonts w:eastAsia="Calibri"/>
          <w:szCs w:val="24"/>
          <w:lang w:bidi="he-IL"/>
        </w:rPr>
        <w:t xml:space="preserve"> metų strateginiu veiklos planu (toliau – SVP), kuriame numatyti svarbiausi Savivaldybės veiklos prioritetai, nurodyti svarbiausi darbai šiems prioritetams įgyvendinti ir nustatyti siekiami rezultatai. </w:t>
      </w:r>
    </w:p>
    <w:p w14:paraId="1CA36435" w14:textId="77777777" w:rsidR="00D26788" w:rsidRPr="00D26788" w:rsidRDefault="00D26788" w:rsidP="008D41D1">
      <w:pPr>
        <w:spacing w:line="360" w:lineRule="auto"/>
        <w:ind w:firstLine="1276"/>
        <w:jc w:val="both"/>
        <w:rPr>
          <w:rFonts w:eastAsia="Calibri"/>
          <w:szCs w:val="24"/>
          <w:lang w:bidi="he-IL"/>
        </w:rPr>
      </w:pPr>
      <w:r w:rsidRPr="00D26788">
        <w:rPr>
          <w:rFonts w:eastAsia="Calibri"/>
          <w:b/>
          <w:szCs w:val="24"/>
          <w:lang w:bidi="he-IL"/>
        </w:rPr>
        <w:t xml:space="preserve">Atvirumo ir bendradarbiavimo, plėtojant miesto ekonomiką, kultūrą ir turizmą, programoje </w:t>
      </w:r>
      <w:r w:rsidRPr="00D26788">
        <w:rPr>
          <w:rFonts w:eastAsia="Calibri"/>
          <w:szCs w:val="24"/>
          <w:lang w:bidi="he-IL"/>
        </w:rPr>
        <w:t xml:space="preserve">(1 programa) Savivaldybė yra išskyrusi šias pagrindines veiklos kryptis: </w:t>
      </w:r>
    </w:p>
    <w:p w14:paraId="434800AC" w14:textId="23C3161A" w:rsidR="00D26788" w:rsidRPr="00D26788" w:rsidRDefault="00D26788" w:rsidP="008D41D1">
      <w:pPr>
        <w:spacing w:line="360" w:lineRule="auto"/>
        <w:ind w:firstLine="1276"/>
        <w:jc w:val="both"/>
        <w:rPr>
          <w:rFonts w:eastAsia="Calibri"/>
          <w:szCs w:val="24"/>
          <w:lang w:bidi="he-IL"/>
        </w:rPr>
      </w:pPr>
      <w:r w:rsidRPr="00D26788">
        <w:rPr>
          <w:rFonts w:eastAsia="Calibri"/>
          <w:szCs w:val="24"/>
          <w:lang w:bidi="he-IL"/>
        </w:rPr>
        <w:t>palankesnių sąlygų verslui sudarymas;</w:t>
      </w:r>
      <w:r w:rsidR="008D41D1">
        <w:rPr>
          <w:rFonts w:eastAsia="Calibri"/>
          <w:szCs w:val="24"/>
          <w:lang w:bidi="he-IL"/>
        </w:rPr>
        <w:t xml:space="preserve"> </w:t>
      </w:r>
    </w:p>
    <w:p w14:paraId="3C4EA1E6" w14:textId="502FF34D" w:rsidR="00D26788" w:rsidRPr="00D26788" w:rsidRDefault="00D26788" w:rsidP="008D41D1">
      <w:pPr>
        <w:spacing w:line="360" w:lineRule="auto"/>
        <w:ind w:firstLine="1276"/>
        <w:jc w:val="both"/>
        <w:rPr>
          <w:rFonts w:eastAsia="Calibri"/>
          <w:szCs w:val="24"/>
          <w:lang w:bidi="he-IL"/>
        </w:rPr>
      </w:pPr>
      <w:r w:rsidRPr="00D26788">
        <w:rPr>
          <w:rFonts w:eastAsia="Calibri"/>
          <w:szCs w:val="24"/>
          <w:lang w:bidi="he-IL"/>
        </w:rPr>
        <w:t>investicijų pritraukimas;</w:t>
      </w:r>
      <w:r w:rsidR="008D41D1">
        <w:rPr>
          <w:rFonts w:eastAsia="Calibri"/>
          <w:szCs w:val="24"/>
          <w:lang w:bidi="he-IL"/>
        </w:rPr>
        <w:t xml:space="preserve"> </w:t>
      </w:r>
    </w:p>
    <w:p w14:paraId="2FA5BF1C" w14:textId="77777777" w:rsidR="00D26788" w:rsidRPr="00D26788" w:rsidRDefault="00D26788" w:rsidP="008D41D1">
      <w:pPr>
        <w:spacing w:line="360" w:lineRule="auto"/>
        <w:ind w:firstLine="1276"/>
        <w:jc w:val="both"/>
        <w:rPr>
          <w:rFonts w:eastAsia="Calibri"/>
          <w:szCs w:val="24"/>
          <w:lang w:bidi="he-IL"/>
        </w:rPr>
      </w:pPr>
      <w:r w:rsidRPr="00D26788">
        <w:rPr>
          <w:rFonts w:eastAsia="Calibri"/>
          <w:szCs w:val="24"/>
          <w:lang w:bidi="he-IL"/>
        </w:rPr>
        <w:t xml:space="preserve">inovacijų ekosistemos plėtra; </w:t>
      </w:r>
    </w:p>
    <w:p w14:paraId="04A164C0" w14:textId="5D1353B2" w:rsidR="00D26788" w:rsidRPr="00D26788" w:rsidRDefault="00D26788" w:rsidP="008D41D1">
      <w:pPr>
        <w:spacing w:line="360" w:lineRule="auto"/>
        <w:ind w:firstLine="1276"/>
        <w:jc w:val="both"/>
        <w:rPr>
          <w:rFonts w:eastAsia="Calibri"/>
          <w:szCs w:val="24"/>
          <w:lang w:bidi="he-IL"/>
        </w:rPr>
      </w:pPr>
      <w:r w:rsidRPr="00D26788">
        <w:rPr>
          <w:rFonts w:eastAsia="Calibri"/>
          <w:szCs w:val="24"/>
          <w:lang w:bidi="he-IL"/>
        </w:rPr>
        <w:t>inovatyvios kultūros paslaugų plėtra;</w:t>
      </w:r>
      <w:r w:rsidR="008D41D1">
        <w:rPr>
          <w:rFonts w:eastAsia="Calibri"/>
          <w:szCs w:val="24"/>
          <w:lang w:bidi="he-IL"/>
        </w:rPr>
        <w:t xml:space="preserve"> </w:t>
      </w:r>
    </w:p>
    <w:p w14:paraId="3EA2C97B" w14:textId="77777777" w:rsidR="00D26788" w:rsidRPr="00D26788" w:rsidRDefault="00D26788" w:rsidP="008D41D1">
      <w:pPr>
        <w:spacing w:line="360" w:lineRule="auto"/>
        <w:ind w:firstLine="1276"/>
        <w:jc w:val="both"/>
        <w:rPr>
          <w:rFonts w:eastAsia="Calibri"/>
          <w:szCs w:val="24"/>
          <w:lang w:bidi="he-IL"/>
        </w:rPr>
      </w:pPr>
      <w:r w:rsidRPr="00D26788">
        <w:rPr>
          <w:rFonts w:eastAsia="Calibri"/>
          <w:szCs w:val="24"/>
          <w:lang w:bidi="he-IL"/>
        </w:rPr>
        <w:t xml:space="preserve">turizmo skatinimas. </w:t>
      </w:r>
    </w:p>
    <w:p w14:paraId="06184236" w14:textId="42C162BD" w:rsidR="00D26788" w:rsidRPr="00D26788" w:rsidRDefault="00D26788" w:rsidP="008D41D1">
      <w:pPr>
        <w:spacing w:line="360" w:lineRule="auto"/>
        <w:ind w:firstLine="1276"/>
        <w:jc w:val="both"/>
        <w:rPr>
          <w:rFonts w:eastAsia="Calibri"/>
          <w:szCs w:val="24"/>
          <w:shd w:val="clear" w:color="auto" w:fill="FFFFFF"/>
          <w:lang w:val="pt-BR" w:eastAsia="en-US" w:bidi="he-IL"/>
        </w:rPr>
      </w:pPr>
      <w:r w:rsidRPr="00D26788">
        <w:rPr>
          <w:rFonts w:eastAsia="Calibri"/>
          <w:szCs w:val="24"/>
          <w:shd w:val="clear" w:color="auto" w:fill="FFFFFF"/>
          <w:lang w:eastAsia="en-US" w:bidi="he-IL"/>
        </w:rPr>
        <w:t>Pirmąją programą sudaro 2 tikslai, 7 uždaviniai ir 21 priemonė, kurios skaidomos į papriemones. Įgyvendindama šią programą, Savivaldybės administracija vykdė suplanuotas 37 papriemones ir siekė 111 rodiklių. Iš jų 97 rodikliai buvo įvykdyti, 6 – iš dalies įvykdyti, 4 – neįvykdyti. 4 šioje programoje numatyti rodikliai 2025 metais nebuvo vykdomi.</w:t>
      </w:r>
      <w:r w:rsidR="008D41D1">
        <w:rPr>
          <w:rFonts w:eastAsia="Calibri"/>
          <w:szCs w:val="24"/>
          <w:shd w:val="clear" w:color="auto" w:fill="FFFFFF"/>
          <w:lang w:eastAsia="en-US" w:bidi="he-IL"/>
        </w:rPr>
        <w:t xml:space="preserve"> </w:t>
      </w:r>
    </w:p>
    <w:p w14:paraId="6BB0D2E1" w14:textId="5DF26862" w:rsidR="00D26788" w:rsidRDefault="00D26788" w:rsidP="008D41D1">
      <w:pPr>
        <w:spacing w:line="360" w:lineRule="auto"/>
        <w:ind w:firstLine="1276"/>
        <w:jc w:val="both"/>
        <w:rPr>
          <w:rFonts w:eastAsia="Calibri"/>
          <w:szCs w:val="24"/>
          <w:lang w:bidi="he-IL"/>
        </w:rPr>
      </w:pPr>
      <w:r w:rsidRPr="00D26788">
        <w:rPr>
          <w:rFonts w:eastAsia="Calibri"/>
          <w:szCs w:val="24"/>
          <w:shd w:val="clear" w:color="auto" w:fill="FFFFFF"/>
          <w:lang w:eastAsia="en-US" w:bidi="he-IL"/>
        </w:rPr>
        <w:t>2</w:t>
      </w:r>
      <w:r w:rsidR="008D41D1">
        <w:rPr>
          <w:rFonts w:eastAsia="Calibri"/>
          <w:szCs w:val="24"/>
          <w:shd w:val="clear" w:color="auto" w:fill="FFFFFF"/>
          <w:lang w:eastAsia="en-US" w:bidi="he-IL"/>
        </w:rPr>
        <w:t xml:space="preserve"> </w:t>
      </w:r>
      <w:r w:rsidRPr="00D26788">
        <w:rPr>
          <w:rFonts w:eastAsia="Calibri"/>
          <w:szCs w:val="24"/>
          <w:shd w:val="clear" w:color="auto" w:fill="FFFFFF"/>
          <w:lang w:eastAsia="en-US" w:bidi="he-IL"/>
        </w:rPr>
        <w:t>paveiksle pateiktas 1 programos papriemonių rodiklių vykdymas (</w:t>
      </w:r>
      <w:r w:rsidR="008D41D1">
        <w:rPr>
          <w:rFonts w:eastAsia="Calibri"/>
          <w:szCs w:val="24"/>
          <w:shd w:val="clear" w:color="auto" w:fill="FFFFFF"/>
          <w:lang w:eastAsia="en-US" w:bidi="he-IL"/>
        </w:rPr>
        <w:t>proc.</w:t>
      </w:r>
      <w:r w:rsidRPr="00D26788">
        <w:rPr>
          <w:rFonts w:eastAsia="Calibri"/>
          <w:szCs w:val="24"/>
          <w:shd w:val="clear" w:color="auto" w:fill="FFFFFF"/>
          <w:lang w:eastAsia="en-US" w:bidi="he-IL"/>
        </w:rPr>
        <w:t xml:space="preserve">) </w:t>
      </w:r>
      <w:r w:rsidRPr="00D26788">
        <w:rPr>
          <w:rFonts w:eastAsia="Calibri"/>
          <w:szCs w:val="24"/>
          <w:lang w:bidi="he-IL"/>
        </w:rPr>
        <w:t xml:space="preserve">2025 metais. </w:t>
      </w:r>
    </w:p>
    <w:p w14:paraId="379B7302" w14:textId="3967224E" w:rsidR="008D41D1" w:rsidRDefault="008D41D1" w:rsidP="00D26788">
      <w:pPr>
        <w:spacing w:line="360" w:lineRule="auto"/>
        <w:ind w:firstLine="992"/>
        <w:jc w:val="both"/>
        <w:rPr>
          <w:rFonts w:eastAsia="Calibri"/>
          <w:szCs w:val="24"/>
          <w:lang w:bidi="he-IL"/>
        </w:rPr>
      </w:pPr>
    </w:p>
    <w:p w14:paraId="104F72BC" w14:textId="77777777" w:rsidR="008D41D1" w:rsidRPr="00D26788" w:rsidRDefault="008D41D1" w:rsidP="008D41D1">
      <w:pPr>
        <w:spacing w:after="200"/>
        <w:jc w:val="center"/>
        <w:rPr>
          <w:b/>
          <w:bCs/>
          <w:iCs/>
          <w:szCs w:val="24"/>
          <w:lang w:eastAsia="en-US"/>
        </w:rPr>
      </w:pPr>
      <w:r w:rsidRPr="00D26788">
        <w:rPr>
          <w:b/>
          <w:bCs/>
          <w:iCs/>
          <w:szCs w:val="24"/>
          <w:lang w:eastAsia="en-US"/>
        </w:rPr>
        <w:lastRenderedPageBreak/>
        <w:t xml:space="preserve">2 paveikslas. 1 programos papriemonių rodiklių vykdymas 2025 metais </w:t>
      </w:r>
    </w:p>
    <w:p w14:paraId="6DA08709" w14:textId="54B1AA10" w:rsidR="00F34CAE" w:rsidRPr="00D26788" w:rsidRDefault="003E38C0" w:rsidP="00F34CAE">
      <w:pPr>
        <w:spacing w:line="360" w:lineRule="auto"/>
        <w:jc w:val="both"/>
        <w:rPr>
          <w:rFonts w:eastAsia="Calibri"/>
          <w:szCs w:val="24"/>
          <w:lang w:bidi="he-IL"/>
        </w:rPr>
      </w:pPr>
      <w:r>
        <w:rPr>
          <w:noProof/>
        </w:rPr>
        <w:drawing>
          <wp:inline distT="0" distB="0" distL="0" distR="0" wp14:anchorId="3ED60061" wp14:editId="4442254C">
            <wp:extent cx="6120765" cy="2586355"/>
            <wp:effectExtent l="0" t="0" r="13335" b="4445"/>
            <wp:docPr id="427588055" name="Diagrama 1">
              <a:extLst xmlns:a="http://schemas.openxmlformats.org/drawingml/2006/main">
                <a:ext uri="{FF2B5EF4-FFF2-40B4-BE49-F238E27FC236}">
                  <a16:creationId xmlns:a16="http://schemas.microsoft.com/office/drawing/2014/main" id="{A99BFAF7-7852-4C37-8DE4-A62D630EE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6F2D74" w14:textId="77777777" w:rsidR="00D26788" w:rsidRPr="00D26788" w:rsidRDefault="00D26788" w:rsidP="00D26788">
      <w:pPr>
        <w:spacing w:line="360" w:lineRule="auto"/>
        <w:ind w:firstLine="1298"/>
        <w:jc w:val="both"/>
        <w:rPr>
          <w:rFonts w:eastAsia="Calibri"/>
          <w:lang w:bidi="he-IL"/>
        </w:rPr>
      </w:pPr>
      <w:r w:rsidRPr="00D26788">
        <w:rPr>
          <w:rFonts w:eastAsia="Calibri"/>
          <w:lang w:bidi="he-IL"/>
        </w:rPr>
        <w:t xml:space="preserve">Siekdama įgyvendinti </w:t>
      </w:r>
      <w:r w:rsidRPr="00D26788">
        <w:rPr>
          <w:rFonts w:eastAsia="Calibri"/>
          <w:b/>
          <w:lang w:bidi="he-IL"/>
        </w:rPr>
        <w:t xml:space="preserve">Gyventojo poreikius atliepiančią gyvenimo kokybės sumaniam, aktyviam ir sveikam gyventojui programą </w:t>
      </w:r>
      <w:r w:rsidRPr="00D26788">
        <w:rPr>
          <w:rFonts w:eastAsia="Calibri"/>
          <w:lang w:bidi="he-IL"/>
        </w:rPr>
        <w:t>(2 programa), Savivaldybė yra išskyrusi šias pagrindines veiklos kryptis:</w:t>
      </w:r>
    </w:p>
    <w:p w14:paraId="5D2FA2B1" w14:textId="77777777" w:rsidR="00D26788" w:rsidRPr="00D26788" w:rsidRDefault="00D26788" w:rsidP="00D26788">
      <w:pPr>
        <w:spacing w:line="360" w:lineRule="auto"/>
        <w:ind w:firstLine="1298"/>
        <w:jc w:val="both"/>
        <w:rPr>
          <w:rFonts w:eastAsia="Calibri"/>
          <w:lang w:bidi="he-IL"/>
        </w:rPr>
      </w:pPr>
      <w:r w:rsidRPr="00D26788">
        <w:rPr>
          <w:rFonts w:eastAsia="Calibri"/>
          <w:shd w:val="clear" w:color="auto" w:fill="FFFFFF"/>
          <w:lang w:eastAsia="en-US" w:bidi="he-IL"/>
        </w:rPr>
        <w:t xml:space="preserve">atliepti ateities poreikius, mieste sudaryti palankias sąlygas patogiai gyventi visų amžiaus grupių asmenims; </w:t>
      </w:r>
    </w:p>
    <w:p w14:paraId="07813B58" w14:textId="77777777" w:rsidR="00D26788" w:rsidRPr="00D26788" w:rsidRDefault="00D26788" w:rsidP="00D26788">
      <w:pPr>
        <w:spacing w:line="360" w:lineRule="auto"/>
        <w:ind w:firstLine="1298"/>
        <w:jc w:val="both"/>
        <w:rPr>
          <w:rFonts w:eastAsia="Calibri"/>
          <w:shd w:val="clear" w:color="auto" w:fill="FFFFFF"/>
          <w:lang w:eastAsia="en-US" w:bidi="he-IL"/>
        </w:rPr>
      </w:pPr>
      <w:r w:rsidRPr="00D26788">
        <w:rPr>
          <w:rFonts w:eastAsia="Calibri"/>
          <w:shd w:val="clear" w:color="auto" w:fill="FFFFFF"/>
          <w:lang w:eastAsia="en-US" w:bidi="he-IL"/>
        </w:rPr>
        <w:t xml:space="preserve">siekti, kad kauniečiai gautų lengvai prieinamas paslaugas švietimo, fizinio aktyvumo, sveikatos ir socialinėse srityse. </w:t>
      </w:r>
    </w:p>
    <w:p w14:paraId="03CE46AF" w14:textId="77777777" w:rsidR="00D26788" w:rsidRPr="00D26788" w:rsidRDefault="00D26788" w:rsidP="00D26788">
      <w:pPr>
        <w:spacing w:line="360" w:lineRule="auto"/>
        <w:ind w:firstLine="1298"/>
        <w:jc w:val="both"/>
        <w:rPr>
          <w:rFonts w:eastAsia="Calibri"/>
          <w:szCs w:val="24"/>
          <w:shd w:val="clear" w:color="auto" w:fill="FFFFFF"/>
          <w:lang w:eastAsia="en-US" w:bidi="he-IL"/>
        </w:rPr>
      </w:pPr>
      <w:r w:rsidRPr="00D26788">
        <w:rPr>
          <w:rFonts w:eastAsia="Calibri"/>
          <w:szCs w:val="24"/>
          <w:shd w:val="clear" w:color="auto" w:fill="FFFFFF"/>
          <w:lang w:eastAsia="en-US" w:bidi="he-IL"/>
        </w:rPr>
        <w:t xml:space="preserve">Antrąją programą sudaro 2 tikslai, 7 uždaviniai ir 26 priemonės, kurios skaidomos į papriemones. Įgyvendindama šią programą, Savivaldybės administracija vykdė suplanuotas 297 papriemones ir siekė 1 060 rodiklių. Iš jų 960 rodiklių buvo įvykdyti, 56 – iš dalies įvykdyti, 23 – neįvykdyti. 21 šioje programoje numatytas rodiklis 2025 metais nebuvo vykdomas. </w:t>
      </w:r>
    </w:p>
    <w:p w14:paraId="5CFF3DC1" w14:textId="38AE76EE" w:rsidR="008D41D1" w:rsidRDefault="008D41D1" w:rsidP="00C50CD5">
      <w:pPr>
        <w:spacing w:line="360" w:lineRule="auto"/>
        <w:ind w:firstLine="1298"/>
        <w:jc w:val="both"/>
        <w:rPr>
          <w:rFonts w:eastAsia="Calibri"/>
          <w:szCs w:val="24"/>
          <w:lang w:bidi="he-IL"/>
        </w:rPr>
      </w:pPr>
      <w:r w:rsidRPr="00D26788">
        <w:rPr>
          <w:rFonts w:eastAsia="Calibri"/>
          <w:szCs w:val="24"/>
          <w:shd w:val="clear" w:color="auto" w:fill="FFFFFF"/>
          <w:lang w:eastAsia="en-US" w:bidi="he-IL"/>
        </w:rPr>
        <w:t>3</w:t>
      </w:r>
      <w:r>
        <w:rPr>
          <w:rFonts w:eastAsia="Calibri"/>
          <w:szCs w:val="24"/>
          <w:shd w:val="clear" w:color="auto" w:fill="FFFFFF"/>
          <w:lang w:eastAsia="en-US" w:bidi="he-IL"/>
        </w:rPr>
        <w:t xml:space="preserve"> </w:t>
      </w:r>
      <w:r w:rsidRPr="00D26788">
        <w:rPr>
          <w:rFonts w:eastAsia="Calibri"/>
          <w:szCs w:val="24"/>
          <w:shd w:val="clear" w:color="auto" w:fill="FFFFFF"/>
          <w:lang w:eastAsia="en-US" w:bidi="he-IL"/>
        </w:rPr>
        <w:t>paveiksle pateiktas 2 programos papriemonių rodiklių vykdymas (</w:t>
      </w:r>
      <w:r>
        <w:rPr>
          <w:rFonts w:eastAsia="Calibri"/>
          <w:szCs w:val="24"/>
          <w:shd w:val="clear" w:color="auto" w:fill="FFFFFF"/>
          <w:lang w:eastAsia="en-US" w:bidi="he-IL"/>
        </w:rPr>
        <w:t>proc.</w:t>
      </w:r>
      <w:r w:rsidRPr="00D26788">
        <w:rPr>
          <w:rFonts w:eastAsia="Calibri"/>
          <w:szCs w:val="24"/>
          <w:shd w:val="clear" w:color="auto" w:fill="FFFFFF"/>
          <w:lang w:eastAsia="en-US" w:bidi="he-IL"/>
        </w:rPr>
        <w:t xml:space="preserve">) </w:t>
      </w:r>
      <w:r w:rsidRPr="00D26788">
        <w:rPr>
          <w:rFonts w:eastAsia="Calibri"/>
          <w:szCs w:val="24"/>
          <w:lang w:bidi="he-IL"/>
        </w:rPr>
        <w:t>2025 metais.</w:t>
      </w:r>
      <w:r>
        <w:rPr>
          <w:rFonts w:eastAsia="Calibri"/>
          <w:szCs w:val="24"/>
          <w:lang w:bidi="he-IL"/>
        </w:rPr>
        <w:t xml:space="preserve"> </w:t>
      </w:r>
    </w:p>
    <w:p w14:paraId="4A9820F4" w14:textId="77777777" w:rsidR="008D41D1" w:rsidRPr="00D26788" w:rsidRDefault="008D41D1" w:rsidP="008D41D1">
      <w:pPr>
        <w:spacing w:after="200"/>
        <w:jc w:val="center"/>
        <w:rPr>
          <w:b/>
          <w:bCs/>
          <w:iCs/>
          <w:szCs w:val="24"/>
          <w:lang w:eastAsia="en-US"/>
        </w:rPr>
      </w:pPr>
      <w:r w:rsidRPr="00D26788">
        <w:rPr>
          <w:b/>
          <w:bCs/>
          <w:iCs/>
          <w:szCs w:val="24"/>
          <w:lang w:eastAsia="en-US"/>
        </w:rPr>
        <w:t xml:space="preserve">3 paveikslas. 2 programos papriemonių rodiklių vykdymas 2025 metais </w:t>
      </w:r>
    </w:p>
    <w:p w14:paraId="1B7A6565" w14:textId="1C28AF6D" w:rsidR="00D26788" w:rsidRPr="00D26788" w:rsidRDefault="00C50CD5" w:rsidP="0020245A">
      <w:pPr>
        <w:spacing w:line="360" w:lineRule="auto"/>
        <w:jc w:val="center"/>
        <w:rPr>
          <w:rFonts w:eastAsia="Calibri"/>
          <w:szCs w:val="24"/>
          <w:lang w:bidi="he-IL"/>
        </w:rPr>
      </w:pPr>
      <w:r>
        <w:rPr>
          <w:noProof/>
        </w:rPr>
        <w:drawing>
          <wp:inline distT="0" distB="0" distL="0" distR="0" wp14:anchorId="7D7248F6" wp14:editId="0FEB7438">
            <wp:extent cx="6094095" cy="2510155"/>
            <wp:effectExtent l="0" t="0" r="1905" b="4445"/>
            <wp:docPr id="1796642123" name="Diagrama 1">
              <a:extLst xmlns:a="http://schemas.openxmlformats.org/drawingml/2006/main">
                <a:ext uri="{FF2B5EF4-FFF2-40B4-BE49-F238E27FC236}">
                  <a16:creationId xmlns:a16="http://schemas.microsoft.com/office/drawing/2014/main" id="{7263A7A7-A6F1-440D-832C-A873C0282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B111D4" w14:textId="77777777" w:rsidR="00D26788" w:rsidRPr="00D26788" w:rsidRDefault="00D26788" w:rsidP="00D26788">
      <w:pPr>
        <w:spacing w:line="360" w:lineRule="auto"/>
        <w:ind w:firstLine="993"/>
        <w:jc w:val="both"/>
        <w:rPr>
          <w:rFonts w:eastAsia="Calibri"/>
          <w:szCs w:val="24"/>
          <w:shd w:val="clear" w:color="auto" w:fill="FFFFFF"/>
          <w:lang w:eastAsia="en-US" w:bidi="he-IL"/>
        </w:rPr>
      </w:pPr>
      <w:r w:rsidRPr="00D26788">
        <w:rPr>
          <w:rFonts w:eastAsia="Calibri"/>
          <w:b/>
          <w:szCs w:val="24"/>
          <w:lang w:bidi="he-IL"/>
        </w:rPr>
        <w:lastRenderedPageBreak/>
        <w:t xml:space="preserve">Tvarumo bei žaliojo kurso principais tvariai valdomo miesto programoje </w:t>
      </w:r>
      <w:r w:rsidRPr="00D26788">
        <w:rPr>
          <w:rFonts w:eastAsia="Calibri"/>
          <w:szCs w:val="24"/>
          <w:lang w:bidi="he-IL"/>
        </w:rPr>
        <w:t xml:space="preserve">(3 programa) Savivaldybė yra išskyrusi šias pagrindines </w:t>
      </w:r>
      <w:r w:rsidRPr="00D26788">
        <w:rPr>
          <w:rFonts w:eastAsia="Calibri"/>
          <w:szCs w:val="24"/>
          <w:shd w:val="clear" w:color="auto" w:fill="FFFFFF"/>
          <w:lang w:eastAsia="en-US" w:bidi="he-IL"/>
        </w:rPr>
        <w:t xml:space="preserve">veiklos kryptis: </w:t>
      </w:r>
    </w:p>
    <w:p w14:paraId="6F05DFDC" w14:textId="77777777" w:rsidR="00D26788" w:rsidRPr="00D26788" w:rsidRDefault="00D26788" w:rsidP="00D26788">
      <w:pPr>
        <w:spacing w:line="360" w:lineRule="auto"/>
        <w:ind w:left="1353" w:hanging="360"/>
        <w:jc w:val="both"/>
        <w:rPr>
          <w:rFonts w:eastAsia="Calibri"/>
          <w:szCs w:val="24"/>
          <w:lang w:bidi="he-IL"/>
        </w:rPr>
      </w:pPr>
      <w:r w:rsidRPr="00D26788">
        <w:rPr>
          <w:rFonts w:eastAsia="Calibri"/>
          <w:szCs w:val="24"/>
          <w:shd w:val="clear" w:color="auto" w:fill="FFFFFF"/>
          <w:lang w:eastAsia="en-US" w:bidi="he-IL"/>
        </w:rPr>
        <w:t xml:space="preserve">siekti tvarios, nuolat tobulėjančios organizacijos patogiam miestiečių gyvenimui; </w:t>
      </w:r>
    </w:p>
    <w:p w14:paraId="4F69DFB3" w14:textId="77777777" w:rsidR="00D26788" w:rsidRPr="00D26788" w:rsidRDefault="00D26788" w:rsidP="00D26788">
      <w:pPr>
        <w:spacing w:line="360" w:lineRule="auto"/>
        <w:ind w:firstLine="993"/>
        <w:jc w:val="both"/>
        <w:rPr>
          <w:rFonts w:eastAsia="Calibri"/>
          <w:szCs w:val="24"/>
          <w:lang w:bidi="he-IL"/>
        </w:rPr>
      </w:pPr>
      <w:r w:rsidRPr="00D26788">
        <w:rPr>
          <w:rFonts w:eastAsia="Calibri"/>
          <w:szCs w:val="24"/>
          <w:shd w:val="clear" w:color="auto" w:fill="FFFFFF"/>
          <w:lang w:eastAsia="en-US" w:bidi="he-IL"/>
        </w:rPr>
        <w:t xml:space="preserve">vystyti saugų visų eismo dalyvių susisiekimą, didinant tvarių kelionių dalį ir mažinant transporto keliamą taršą; </w:t>
      </w:r>
    </w:p>
    <w:p w14:paraId="2BB7BBB5" w14:textId="77777777" w:rsidR="00D26788" w:rsidRPr="00D26788" w:rsidRDefault="00D26788" w:rsidP="00D26788">
      <w:pPr>
        <w:spacing w:line="360" w:lineRule="auto"/>
        <w:ind w:firstLine="993"/>
        <w:jc w:val="both"/>
        <w:rPr>
          <w:rFonts w:eastAsia="Calibri"/>
          <w:szCs w:val="24"/>
          <w:lang w:bidi="he-IL"/>
        </w:rPr>
      </w:pPr>
      <w:r w:rsidRPr="00D26788">
        <w:rPr>
          <w:rFonts w:eastAsia="Calibri"/>
          <w:szCs w:val="24"/>
          <w:shd w:val="clear" w:color="auto" w:fill="FFFFFF"/>
          <w:lang w:eastAsia="en-US" w:bidi="he-IL"/>
        </w:rPr>
        <w:t xml:space="preserve">tvariai ir įtraukiai vystyti teritorijas, orientuojantis į kasdienius kiekvieno žmogaus poreikius ir kokybišką miesto aplinką; </w:t>
      </w:r>
    </w:p>
    <w:p w14:paraId="42A8D4E3" w14:textId="77777777" w:rsidR="00D26788" w:rsidRPr="00D26788" w:rsidRDefault="00D26788" w:rsidP="00D26788">
      <w:pPr>
        <w:spacing w:line="360" w:lineRule="auto"/>
        <w:ind w:firstLine="993"/>
        <w:jc w:val="both"/>
        <w:rPr>
          <w:rFonts w:eastAsia="Calibri"/>
          <w:szCs w:val="24"/>
          <w:shd w:val="clear" w:color="auto" w:fill="FFFFFF"/>
          <w:lang w:eastAsia="en-US" w:bidi="he-IL"/>
        </w:rPr>
      </w:pPr>
      <w:r w:rsidRPr="00D26788">
        <w:rPr>
          <w:rFonts w:eastAsia="Calibri"/>
          <w:szCs w:val="24"/>
          <w:shd w:val="clear" w:color="auto" w:fill="FFFFFF"/>
          <w:lang w:eastAsia="en-US" w:bidi="he-IL"/>
        </w:rPr>
        <w:t>auginti žaliojo kurso principais paremtą modernų, efektyviai išteklius naudojantį, klimato kaitą švelninantį ir konkurencingą miestą.</w:t>
      </w:r>
    </w:p>
    <w:p w14:paraId="61FBE2E7" w14:textId="3AB2B66E" w:rsidR="00D26788" w:rsidRPr="00D26788" w:rsidRDefault="00D26788" w:rsidP="00D26788">
      <w:pPr>
        <w:spacing w:line="360" w:lineRule="auto"/>
        <w:ind w:firstLine="993"/>
        <w:jc w:val="both"/>
        <w:rPr>
          <w:rFonts w:eastAsia="Calibri"/>
          <w:szCs w:val="24"/>
          <w:lang w:bidi="he-IL"/>
        </w:rPr>
      </w:pPr>
      <w:r w:rsidRPr="00D26788">
        <w:rPr>
          <w:rFonts w:eastAsia="Calibri"/>
          <w:szCs w:val="24"/>
          <w:shd w:val="clear" w:color="auto" w:fill="FFFFFF"/>
          <w:lang w:eastAsia="en-US" w:bidi="he-IL"/>
        </w:rPr>
        <w:t xml:space="preserve">Trečiąją programą sudaro 4 tikslai, 14 uždavinių ir 58 priemonės, kurios skaidomos į papriemones. Įgyvendindama šią programą, Savivaldybės administracija vykdė suplanuotą 151 papriemonę ir siekė 399 rodiklių. </w:t>
      </w:r>
      <w:r w:rsidR="00D91ABA" w:rsidRPr="00D91ABA">
        <w:rPr>
          <w:rFonts w:eastAsia="Calibri"/>
          <w:szCs w:val="24"/>
          <w:shd w:val="clear" w:color="auto" w:fill="FFFFFF"/>
          <w:lang w:eastAsia="en-US" w:bidi="he-IL"/>
        </w:rPr>
        <w:t>Iš jų 314 rodiklių buvo įvykdyti, 32 – iš dalies įvykdyti, 22 – neįvykdyti. Šioje programoje numatytas 31 rodiklis 2025 metais nebuvo vykdomi.</w:t>
      </w:r>
    </w:p>
    <w:p w14:paraId="173C9AFA" w14:textId="505E197F" w:rsidR="00D26788" w:rsidRDefault="00D26788" w:rsidP="00D26788">
      <w:pPr>
        <w:spacing w:line="360" w:lineRule="auto"/>
        <w:ind w:firstLine="993"/>
        <w:jc w:val="both"/>
        <w:rPr>
          <w:rFonts w:eastAsia="Calibri"/>
          <w:szCs w:val="24"/>
          <w:lang w:bidi="he-IL"/>
        </w:rPr>
      </w:pPr>
      <w:r w:rsidRPr="00D26788">
        <w:rPr>
          <w:rFonts w:eastAsia="Calibri"/>
          <w:szCs w:val="24"/>
          <w:shd w:val="clear" w:color="auto" w:fill="FFFFFF"/>
          <w:lang w:eastAsia="en-US" w:bidi="he-IL"/>
        </w:rPr>
        <w:t>4</w:t>
      </w:r>
      <w:r w:rsidR="00B3182F">
        <w:rPr>
          <w:rFonts w:eastAsia="Calibri"/>
          <w:szCs w:val="24"/>
          <w:shd w:val="clear" w:color="auto" w:fill="FFFFFF"/>
          <w:lang w:eastAsia="en-US" w:bidi="he-IL"/>
        </w:rPr>
        <w:t xml:space="preserve"> </w:t>
      </w:r>
      <w:r w:rsidRPr="00D26788">
        <w:rPr>
          <w:rFonts w:eastAsia="Calibri"/>
          <w:szCs w:val="24"/>
          <w:shd w:val="clear" w:color="auto" w:fill="FFFFFF"/>
          <w:lang w:eastAsia="en-US" w:bidi="he-IL"/>
        </w:rPr>
        <w:t>paveiksle pateiktas 3 programos papriemonių rodiklių vykdymas (</w:t>
      </w:r>
      <w:r w:rsidR="00B3182F">
        <w:rPr>
          <w:rFonts w:eastAsia="Calibri"/>
          <w:szCs w:val="24"/>
          <w:shd w:val="clear" w:color="auto" w:fill="FFFFFF"/>
          <w:lang w:eastAsia="en-US" w:bidi="he-IL"/>
        </w:rPr>
        <w:t>proc.</w:t>
      </w:r>
      <w:r w:rsidRPr="00D26788">
        <w:rPr>
          <w:rFonts w:eastAsia="Calibri"/>
          <w:szCs w:val="24"/>
          <w:shd w:val="clear" w:color="auto" w:fill="FFFFFF"/>
          <w:lang w:eastAsia="en-US" w:bidi="he-IL"/>
        </w:rPr>
        <w:t xml:space="preserve">) </w:t>
      </w:r>
      <w:r w:rsidRPr="00D26788">
        <w:rPr>
          <w:rFonts w:eastAsia="Calibri"/>
          <w:szCs w:val="24"/>
          <w:lang w:bidi="he-IL"/>
        </w:rPr>
        <w:t xml:space="preserve">2025 metais. </w:t>
      </w:r>
    </w:p>
    <w:p w14:paraId="5E685565" w14:textId="63A0F428" w:rsidR="0088667F" w:rsidRDefault="0088667F" w:rsidP="00D26788">
      <w:pPr>
        <w:spacing w:line="360" w:lineRule="auto"/>
        <w:ind w:firstLine="993"/>
        <w:jc w:val="both"/>
        <w:rPr>
          <w:rFonts w:eastAsia="Calibri"/>
          <w:szCs w:val="24"/>
          <w:lang w:bidi="he-IL"/>
        </w:rPr>
      </w:pPr>
      <w:r w:rsidRPr="00D26788">
        <w:rPr>
          <w:b/>
          <w:bCs/>
          <w:iCs/>
          <w:szCs w:val="24"/>
          <w:lang w:eastAsia="en-US"/>
        </w:rPr>
        <w:t>4 paveikslas. 3 programos papriemonių rodiklių vykdymas 2025 metais</w:t>
      </w:r>
    </w:p>
    <w:p w14:paraId="24FC983E" w14:textId="6EB86B62" w:rsidR="008C0182" w:rsidRPr="00D26788" w:rsidRDefault="00D91ABA" w:rsidP="008C0182">
      <w:pPr>
        <w:spacing w:line="360" w:lineRule="auto"/>
        <w:jc w:val="both"/>
        <w:rPr>
          <w:rFonts w:eastAsia="Calibri"/>
          <w:szCs w:val="24"/>
          <w:lang w:bidi="he-IL"/>
        </w:rPr>
      </w:pPr>
      <w:r>
        <w:rPr>
          <w:noProof/>
        </w:rPr>
        <w:drawing>
          <wp:inline distT="0" distB="0" distL="0" distR="0" wp14:anchorId="33FC758E" wp14:editId="7016CA98">
            <wp:extent cx="6120765" cy="2587625"/>
            <wp:effectExtent l="0" t="0" r="13335" b="3175"/>
            <wp:docPr id="288638753" name="Diagrama 1">
              <a:extLst xmlns:a="http://schemas.openxmlformats.org/drawingml/2006/main">
                <a:ext uri="{FF2B5EF4-FFF2-40B4-BE49-F238E27FC236}">
                  <a16:creationId xmlns:a16="http://schemas.microsoft.com/office/drawing/2014/main" id="{09EB8FC6-5AB1-4844-8F68-E18F74794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77833F" w14:textId="6CC8B7FF" w:rsidR="00D26788" w:rsidRPr="00D26788" w:rsidRDefault="00D26788" w:rsidP="00D26788">
      <w:pPr>
        <w:spacing w:line="360" w:lineRule="auto"/>
        <w:ind w:firstLine="993"/>
        <w:jc w:val="both"/>
        <w:rPr>
          <w:rFonts w:eastAsia="Calibri"/>
          <w:szCs w:val="24"/>
          <w:lang w:bidi="he-IL"/>
        </w:rPr>
      </w:pPr>
      <w:r w:rsidRPr="00D26788">
        <w:rPr>
          <w:rFonts w:eastAsia="Calibri"/>
          <w:szCs w:val="24"/>
          <w:shd w:val="clear" w:color="auto" w:fill="FFFFFF"/>
          <w:lang w:eastAsia="en-US" w:bidi="he-IL"/>
        </w:rPr>
        <w:t xml:space="preserve">Įgyvendindama SVP, Savivaldybės administracija 2025 metais iš viso vykdė 485 papriemones ir siekė 1 570 rodiklių. </w:t>
      </w:r>
      <w:r w:rsidR="00D91ABA" w:rsidRPr="00D26788">
        <w:rPr>
          <w:rFonts w:eastAsia="Calibri"/>
          <w:szCs w:val="24"/>
          <w:shd w:val="clear" w:color="auto" w:fill="FFFFFF"/>
          <w:lang w:eastAsia="en-US" w:bidi="he-IL"/>
        </w:rPr>
        <w:t>Iš jų 1 3</w:t>
      </w:r>
      <w:r w:rsidR="00D91ABA">
        <w:rPr>
          <w:rFonts w:eastAsia="Calibri"/>
          <w:szCs w:val="24"/>
          <w:shd w:val="clear" w:color="auto" w:fill="FFFFFF"/>
          <w:lang w:eastAsia="en-US" w:bidi="he-IL"/>
        </w:rPr>
        <w:t>71</w:t>
      </w:r>
      <w:r w:rsidR="00D91ABA" w:rsidRPr="00D26788">
        <w:rPr>
          <w:rFonts w:eastAsia="Calibri"/>
          <w:szCs w:val="24"/>
          <w:shd w:val="clear" w:color="auto" w:fill="FFFFFF"/>
          <w:lang w:eastAsia="en-US" w:bidi="he-IL"/>
        </w:rPr>
        <w:t xml:space="preserve"> rodikli</w:t>
      </w:r>
      <w:r w:rsidR="00D91ABA">
        <w:rPr>
          <w:rFonts w:eastAsia="Calibri"/>
          <w:szCs w:val="24"/>
          <w:shd w:val="clear" w:color="auto" w:fill="FFFFFF"/>
          <w:lang w:eastAsia="en-US" w:bidi="he-IL"/>
        </w:rPr>
        <w:t>s</w:t>
      </w:r>
      <w:r w:rsidR="00D91ABA" w:rsidRPr="00D26788">
        <w:rPr>
          <w:rFonts w:eastAsia="Calibri"/>
          <w:szCs w:val="24"/>
          <w:shd w:val="clear" w:color="auto" w:fill="FFFFFF"/>
          <w:lang w:eastAsia="en-US" w:bidi="he-IL"/>
        </w:rPr>
        <w:t xml:space="preserve"> buvo įvykdyt</w:t>
      </w:r>
      <w:r w:rsidR="00D91ABA">
        <w:rPr>
          <w:rFonts w:eastAsia="Calibri"/>
          <w:szCs w:val="24"/>
          <w:shd w:val="clear" w:color="auto" w:fill="FFFFFF"/>
          <w:lang w:eastAsia="en-US" w:bidi="he-IL"/>
        </w:rPr>
        <w:t>as</w:t>
      </w:r>
      <w:r w:rsidR="00D91ABA" w:rsidRPr="00D26788">
        <w:rPr>
          <w:rFonts w:eastAsia="Calibri"/>
          <w:szCs w:val="24"/>
          <w:shd w:val="clear" w:color="auto" w:fill="FFFFFF"/>
          <w:lang w:eastAsia="en-US" w:bidi="he-IL"/>
        </w:rPr>
        <w:t xml:space="preserve">, </w:t>
      </w:r>
      <w:r w:rsidR="00D91ABA">
        <w:rPr>
          <w:rFonts w:eastAsia="Calibri"/>
          <w:szCs w:val="24"/>
          <w:shd w:val="clear" w:color="auto" w:fill="FFFFFF"/>
          <w:lang w:eastAsia="en-US" w:bidi="he-IL"/>
        </w:rPr>
        <w:t>94</w:t>
      </w:r>
      <w:r w:rsidR="00D91ABA" w:rsidRPr="00D26788">
        <w:rPr>
          <w:rFonts w:eastAsia="Calibri"/>
          <w:szCs w:val="24"/>
          <w:shd w:val="clear" w:color="auto" w:fill="FFFFFF"/>
          <w:lang w:eastAsia="en-US" w:bidi="he-IL"/>
        </w:rPr>
        <w:t xml:space="preserve"> – iš dalies įvykdyti, 49 – neįvykdyti, 56 rodikliai nebuvo vykdomi.</w:t>
      </w:r>
      <w:r w:rsidRPr="00D26788">
        <w:rPr>
          <w:rFonts w:eastAsia="Calibri"/>
          <w:szCs w:val="24"/>
          <w:shd w:val="clear" w:color="auto" w:fill="FFFFFF"/>
          <w:lang w:eastAsia="en-US" w:bidi="he-IL"/>
        </w:rPr>
        <w:t xml:space="preserve"> </w:t>
      </w:r>
    </w:p>
    <w:p w14:paraId="1BF2F702" w14:textId="27FD1F8C" w:rsidR="00D26788" w:rsidRDefault="00D26788" w:rsidP="00D26788">
      <w:pPr>
        <w:spacing w:line="360" w:lineRule="auto"/>
        <w:ind w:firstLine="992"/>
        <w:jc w:val="both"/>
        <w:rPr>
          <w:bCs/>
          <w:lang w:eastAsia="en-US"/>
        </w:rPr>
      </w:pPr>
      <w:r w:rsidRPr="00D26788">
        <w:rPr>
          <w:bCs/>
          <w:lang w:eastAsia="en-US"/>
        </w:rPr>
        <w:t>Savivaldybės SVP visų programų papriemonių rodiklių bendrasis vykdymas 2025 metais yra pateiktas 5 paveiksle.</w:t>
      </w:r>
      <w:r w:rsidR="00B3182F">
        <w:rPr>
          <w:bCs/>
          <w:lang w:eastAsia="en-US"/>
        </w:rPr>
        <w:t xml:space="preserve"> </w:t>
      </w:r>
    </w:p>
    <w:p w14:paraId="34B00FD5" w14:textId="7E825848" w:rsidR="00B3182F" w:rsidRDefault="00B3182F" w:rsidP="00D26788">
      <w:pPr>
        <w:spacing w:line="360" w:lineRule="auto"/>
        <w:ind w:firstLine="992"/>
        <w:jc w:val="both"/>
        <w:rPr>
          <w:bCs/>
          <w:lang w:eastAsia="en-US"/>
        </w:rPr>
      </w:pPr>
    </w:p>
    <w:p w14:paraId="6981AD27" w14:textId="66B85D85" w:rsidR="00B3182F" w:rsidRDefault="00B3182F" w:rsidP="00D26788">
      <w:pPr>
        <w:spacing w:line="360" w:lineRule="auto"/>
        <w:ind w:firstLine="992"/>
        <w:jc w:val="both"/>
        <w:rPr>
          <w:bCs/>
          <w:lang w:eastAsia="en-US"/>
        </w:rPr>
      </w:pPr>
    </w:p>
    <w:p w14:paraId="49E89ECB" w14:textId="0A19307E" w:rsidR="00B3182F" w:rsidRDefault="00B3182F" w:rsidP="00D26788">
      <w:pPr>
        <w:spacing w:line="360" w:lineRule="auto"/>
        <w:ind w:firstLine="992"/>
        <w:jc w:val="both"/>
        <w:rPr>
          <w:bCs/>
          <w:lang w:eastAsia="en-US"/>
        </w:rPr>
      </w:pPr>
    </w:p>
    <w:p w14:paraId="458F6EE9" w14:textId="77777777" w:rsidR="00B3182F" w:rsidRDefault="00B3182F" w:rsidP="00B3182F">
      <w:pPr>
        <w:jc w:val="center"/>
        <w:rPr>
          <w:b/>
          <w:bCs/>
          <w:szCs w:val="24"/>
          <w:lang w:eastAsia="en-US" w:bidi="he-IL"/>
        </w:rPr>
      </w:pPr>
      <w:r w:rsidRPr="00D26788">
        <w:rPr>
          <w:b/>
          <w:bCs/>
          <w:szCs w:val="24"/>
          <w:lang w:eastAsia="en-US" w:bidi="he-IL"/>
        </w:rPr>
        <w:lastRenderedPageBreak/>
        <w:t>5 paveikslas. SVP visų programų papriemonių rodiklių bendrasis vykdymas 2025</w:t>
      </w:r>
      <w:r>
        <w:rPr>
          <w:b/>
          <w:bCs/>
          <w:szCs w:val="24"/>
          <w:lang w:eastAsia="en-US" w:bidi="he-IL"/>
        </w:rPr>
        <w:t xml:space="preserve"> </w:t>
      </w:r>
      <w:r w:rsidRPr="00D26788">
        <w:rPr>
          <w:b/>
          <w:bCs/>
          <w:szCs w:val="24"/>
          <w:lang w:eastAsia="en-US" w:bidi="he-IL"/>
        </w:rPr>
        <w:t xml:space="preserve">metais </w:t>
      </w:r>
    </w:p>
    <w:p w14:paraId="444240D2" w14:textId="77777777" w:rsidR="0020245A" w:rsidRPr="00D26788" w:rsidRDefault="0020245A" w:rsidP="00B3182F">
      <w:pPr>
        <w:jc w:val="center"/>
        <w:rPr>
          <w:b/>
          <w:bCs/>
          <w:lang w:eastAsia="en-US"/>
        </w:rPr>
      </w:pPr>
    </w:p>
    <w:p w14:paraId="1CAAD065" w14:textId="03ABEE9E" w:rsidR="00D91BCF" w:rsidRPr="00D26788" w:rsidRDefault="00D91ABA" w:rsidP="00D91BCF">
      <w:pPr>
        <w:spacing w:line="360" w:lineRule="auto"/>
        <w:jc w:val="both"/>
        <w:rPr>
          <w:bCs/>
          <w:lang w:eastAsia="en-US"/>
        </w:rPr>
      </w:pPr>
      <w:r>
        <w:rPr>
          <w:noProof/>
        </w:rPr>
        <w:drawing>
          <wp:inline distT="0" distB="0" distL="0" distR="0" wp14:anchorId="75EDE2B6" wp14:editId="70C65314">
            <wp:extent cx="6120765" cy="2538095"/>
            <wp:effectExtent l="0" t="0" r="13335" b="14605"/>
            <wp:docPr id="2131429986" name="Diagrama 1">
              <a:extLst xmlns:a="http://schemas.openxmlformats.org/drawingml/2006/main">
                <a:ext uri="{FF2B5EF4-FFF2-40B4-BE49-F238E27FC236}">
                  <a16:creationId xmlns:a16="http://schemas.microsoft.com/office/drawing/2014/main" id="{CBD93997-CFB1-47F8-8DE7-C3FD7EAA4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6BAAA0" w14:textId="34C8C722" w:rsidR="00D26788" w:rsidRPr="00D26788" w:rsidRDefault="00D26788" w:rsidP="00D26788">
      <w:pPr>
        <w:spacing w:line="360" w:lineRule="auto"/>
        <w:ind w:firstLine="992"/>
        <w:jc w:val="both"/>
        <w:rPr>
          <w:rFonts w:eastAsia="Calibri"/>
          <w:szCs w:val="24"/>
          <w:lang w:bidi="he-IL"/>
        </w:rPr>
      </w:pPr>
      <w:r w:rsidRPr="00D26788">
        <w:rPr>
          <w:rFonts w:eastAsia="Calibri"/>
          <w:szCs w:val="24"/>
          <w:lang w:bidi="he-IL"/>
        </w:rPr>
        <w:t>1 lentelėje pateikiamas visų SVP rodiklių 2024 ir 2025 metų vykdymo duomenų palyginimas.</w:t>
      </w:r>
      <w:r w:rsidR="00B3182F">
        <w:rPr>
          <w:rFonts w:eastAsia="Calibri"/>
          <w:szCs w:val="24"/>
          <w:lang w:bidi="he-IL"/>
        </w:rPr>
        <w:t xml:space="preserve"> </w:t>
      </w:r>
    </w:p>
    <w:p w14:paraId="197D76F2" w14:textId="3720263B" w:rsidR="00D26788" w:rsidRPr="00D26788" w:rsidRDefault="00D26788" w:rsidP="006F6E18">
      <w:pPr>
        <w:spacing w:line="360" w:lineRule="auto"/>
        <w:jc w:val="center"/>
        <w:rPr>
          <w:rFonts w:eastAsia="Calibri"/>
          <w:b/>
          <w:bCs/>
          <w:szCs w:val="24"/>
          <w:lang w:bidi="he-IL"/>
        </w:rPr>
      </w:pPr>
      <w:r w:rsidRPr="00D26788">
        <w:rPr>
          <w:rFonts w:eastAsia="Calibri"/>
          <w:b/>
          <w:bCs/>
          <w:szCs w:val="24"/>
          <w:lang w:bidi="he-IL"/>
        </w:rPr>
        <w:t>1 lentelė. SVP rodiklių vykdymas 2024 ir 2025 metais</w:t>
      </w:r>
      <w:r w:rsidR="00B3182F">
        <w:rPr>
          <w:rFonts w:eastAsia="Calibri"/>
          <w:b/>
          <w:bCs/>
          <w:szCs w:val="24"/>
          <w:lang w:bidi="he-IL"/>
        </w:rPr>
        <w:t xml:space="preserve"> </w:t>
      </w:r>
    </w:p>
    <w:tbl>
      <w:tblPr>
        <w:tblW w:w="5000" w:type="pct"/>
        <w:tblLook w:val="04A0" w:firstRow="1" w:lastRow="0" w:firstColumn="1" w:lastColumn="0" w:noHBand="0" w:noVBand="1"/>
      </w:tblPr>
      <w:tblGrid>
        <w:gridCol w:w="3087"/>
        <w:gridCol w:w="1113"/>
        <w:gridCol w:w="1096"/>
        <w:gridCol w:w="1059"/>
        <w:gridCol w:w="1042"/>
        <w:gridCol w:w="1053"/>
        <w:gridCol w:w="1179"/>
      </w:tblGrid>
      <w:tr w:rsidR="00D91ABA" w:rsidRPr="009A08BF" w14:paraId="1DDD41B6" w14:textId="77777777" w:rsidTr="00B07A4C">
        <w:trPr>
          <w:trHeight w:val="315"/>
          <w:tblHeader/>
        </w:trPr>
        <w:tc>
          <w:tcPr>
            <w:tcW w:w="1603"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AD89C9" w14:textId="77777777" w:rsidR="00D91ABA" w:rsidRPr="009A08BF" w:rsidRDefault="00D91ABA" w:rsidP="00B07A4C">
            <w:pPr>
              <w:jc w:val="center"/>
              <w:rPr>
                <w:szCs w:val="24"/>
              </w:rPr>
            </w:pPr>
            <w:r w:rsidRPr="009A08BF">
              <w:rPr>
                <w:szCs w:val="24"/>
              </w:rPr>
              <w:t>Visos SVP programos</w:t>
            </w:r>
          </w:p>
        </w:tc>
        <w:tc>
          <w:tcPr>
            <w:tcW w:w="1147" w:type="pct"/>
            <w:gridSpan w:val="2"/>
            <w:tcBorders>
              <w:top w:val="single" w:sz="4" w:space="0" w:color="auto"/>
              <w:left w:val="nil"/>
              <w:bottom w:val="single" w:sz="4" w:space="0" w:color="auto"/>
              <w:right w:val="single" w:sz="4" w:space="0" w:color="auto"/>
            </w:tcBorders>
            <w:shd w:val="clear" w:color="000000" w:fill="F2F2F2"/>
            <w:noWrap/>
            <w:vAlign w:val="bottom"/>
            <w:hideMark/>
          </w:tcPr>
          <w:p w14:paraId="768BA68E" w14:textId="77777777" w:rsidR="00D91ABA" w:rsidRPr="009A08BF" w:rsidRDefault="00D91ABA" w:rsidP="00B07A4C">
            <w:pPr>
              <w:jc w:val="center"/>
              <w:rPr>
                <w:szCs w:val="24"/>
              </w:rPr>
            </w:pPr>
            <w:r w:rsidRPr="009A08BF">
              <w:rPr>
                <w:szCs w:val="24"/>
              </w:rPr>
              <w:t>2024 metai</w:t>
            </w:r>
          </w:p>
        </w:tc>
        <w:tc>
          <w:tcPr>
            <w:tcW w:w="1091" w:type="pct"/>
            <w:gridSpan w:val="2"/>
            <w:tcBorders>
              <w:top w:val="single" w:sz="4" w:space="0" w:color="auto"/>
              <w:left w:val="nil"/>
              <w:bottom w:val="single" w:sz="4" w:space="0" w:color="auto"/>
              <w:right w:val="single" w:sz="4" w:space="0" w:color="auto"/>
            </w:tcBorders>
            <w:shd w:val="clear" w:color="000000" w:fill="F2F2F2"/>
            <w:noWrap/>
            <w:vAlign w:val="bottom"/>
            <w:hideMark/>
          </w:tcPr>
          <w:p w14:paraId="66817AD0" w14:textId="77777777" w:rsidR="00D91ABA" w:rsidRPr="009A08BF" w:rsidRDefault="00D91ABA" w:rsidP="00B07A4C">
            <w:pPr>
              <w:jc w:val="center"/>
              <w:rPr>
                <w:szCs w:val="24"/>
              </w:rPr>
            </w:pPr>
            <w:r w:rsidRPr="009A08BF">
              <w:rPr>
                <w:szCs w:val="24"/>
              </w:rPr>
              <w:t>2025 metai</w:t>
            </w:r>
          </w:p>
        </w:tc>
        <w:tc>
          <w:tcPr>
            <w:tcW w:w="1159" w:type="pct"/>
            <w:gridSpan w:val="2"/>
            <w:tcBorders>
              <w:top w:val="single" w:sz="4" w:space="0" w:color="auto"/>
              <w:left w:val="nil"/>
              <w:bottom w:val="single" w:sz="4" w:space="0" w:color="auto"/>
              <w:right w:val="single" w:sz="4" w:space="0" w:color="auto"/>
            </w:tcBorders>
            <w:shd w:val="clear" w:color="000000" w:fill="F2F2F2"/>
            <w:noWrap/>
            <w:vAlign w:val="bottom"/>
            <w:hideMark/>
          </w:tcPr>
          <w:p w14:paraId="105166B1" w14:textId="77777777" w:rsidR="00D91ABA" w:rsidRPr="009A08BF" w:rsidRDefault="00D91ABA" w:rsidP="00B07A4C">
            <w:pPr>
              <w:jc w:val="center"/>
              <w:rPr>
                <w:szCs w:val="24"/>
              </w:rPr>
            </w:pPr>
            <w:r w:rsidRPr="009A08BF">
              <w:rPr>
                <w:szCs w:val="24"/>
              </w:rPr>
              <w:t>Pokytis</w:t>
            </w:r>
          </w:p>
        </w:tc>
      </w:tr>
      <w:tr w:rsidR="00D91ABA" w:rsidRPr="009A08BF" w14:paraId="30D864B7" w14:textId="77777777" w:rsidTr="00B07A4C">
        <w:trPr>
          <w:trHeight w:val="315"/>
          <w:tblHeader/>
        </w:trPr>
        <w:tc>
          <w:tcPr>
            <w:tcW w:w="1603" w:type="pct"/>
            <w:vMerge/>
            <w:tcBorders>
              <w:top w:val="single" w:sz="4" w:space="0" w:color="auto"/>
              <w:left w:val="single" w:sz="4" w:space="0" w:color="auto"/>
              <w:bottom w:val="single" w:sz="4" w:space="0" w:color="auto"/>
              <w:right w:val="single" w:sz="4" w:space="0" w:color="auto"/>
            </w:tcBorders>
            <w:vAlign w:val="center"/>
            <w:hideMark/>
          </w:tcPr>
          <w:p w14:paraId="4C2E9971" w14:textId="77777777" w:rsidR="00D91ABA" w:rsidRPr="009A08BF" w:rsidRDefault="00D91ABA" w:rsidP="00B07A4C">
            <w:pPr>
              <w:rPr>
                <w:szCs w:val="24"/>
              </w:rPr>
            </w:pPr>
          </w:p>
        </w:tc>
        <w:tc>
          <w:tcPr>
            <w:tcW w:w="578" w:type="pct"/>
            <w:tcBorders>
              <w:top w:val="nil"/>
              <w:left w:val="nil"/>
              <w:bottom w:val="single" w:sz="4" w:space="0" w:color="auto"/>
              <w:right w:val="single" w:sz="4" w:space="0" w:color="auto"/>
            </w:tcBorders>
            <w:shd w:val="clear" w:color="000000" w:fill="F2F2F2"/>
            <w:noWrap/>
            <w:hideMark/>
          </w:tcPr>
          <w:p w14:paraId="32C151FA" w14:textId="77777777" w:rsidR="00D91ABA" w:rsidRPr="009A08BF" w:rsidRDefault="00D91ABA" w:rsidP="00B07A4C">
            <w:pPr>
              <w:jc w:val="center"/>
              <w:rPr>
                <w:szCs w:val="24"/>
              </w:rPr>
            </w:pPr>
            <w:r w:rsidRPr="009A08BF">
              <w:rPr>
                <w:szCs w:val="24"/>
              </w:rPr>
              <w:t>Skaičius</w:t>
            </w:r>
          </w:p>
        </w:tc>
        <w:tc>
          <w:tcPr>
            <w:tcW w:w="569" w:type="pct"/>
            <w:tcBorders>
              <w:top w:val="nil"/>
              <w:left w:val="nil"/>
              <w:bottom w:val="single" w:sz="4" w:space="0" w:color="auto"/>
              <w:right w:val="single" w:sz="4" w:space="0" w:color="auto"/>
            </w:tcBorders>
            <w:shd w:val="clear" w:color="000000" w:fill="F2F2F2"/>
            <w:noWrap/>
            <w:hideMark/>
          </w:tcPr>
          <w:p w14:paraId="3D72BA10" w14:textId="77777777" w:rsidR="00D91ABA" w:rsidRPr="009A08BF" w:rsidRDefault="00D91ABA" w:rsidP="00B07A4C">
            <w:pPr>
              <w:jc w:val="center"/>
              <w:rPr>
                <w:szCs w:val="24"/>
              </w:rPr>
            </w:pPr>
            <w:r w:rsidRPr="009A08BF">
              <w:rPr>
                <w:szCs w:val="24"/>
              </w:rPr>
              <w:t>Dalis, %</w:t>
            </w:r>
          </w:p>
        </w:tc>
        <w:tc>
          <w:tcPr>
            <w:tcW w:w="550" w:type="pct"/>
            <w:tcBorders>
              <w:top w:val="nil"/>
              <w:left w:val="nil"/>
              <w:bottom w:val="single" w:sz="4" w:space="0" w:color="auto"/>
              <w:right w:val="single" w:sz="4" w:space="0" w:color="auto"/>
            </w:tcBorders>
            <w:shd w:val="clear" w:color="000000" w:fill="F2F2F2"/>
            <w:noWrap/>
            <w:hideMark/>
          </w:tcPr>
          <w:p w14:paraId="7558D445" w14:textId="77777777" w:rsidR="00D91ABA" w:rsidRPr="009A08BF" w:rsidRDefault="00D91ABA" w:rsidP="00B07A4C">
            <w:pPr>
              <w:jc w:val="center"/>
              <w:rPr>
                <w:szCs w:val="24"/>
              </w:rPr>
            </w:pPr>
            <w:r w:rsidRPr="009A08BF">
              <w:rPr>
                <w:szCs w:val="24"/>
              </w:rPr>
              <w:t>Skaičius</w:t>
            </w:r>
          </w:p>
        </w:tc>
        <w:tc>
          <w:tcPr>
            <w:tcW w:w="541" w:type="pct"/>
            <w:tcBorders>
              <w:top w:val="nil"/>
              <w:left w:val="nil"/>
              <w:bottom w:val="single" w:sz="4" w:space="0" w:color="auto"/>
              <w:right w:val="single" w:sz="4" w:space="0" w:color="auto"/>
            </w:tcBorders>
            <w:shd w:val="clear" w:color="000000" w:fill="F2F2F2"/>
            <w:noWrap/>
            <w:hideMark/>
          </w:tcPr>
          <w:p w14:paraId="6BD460D0" w14:textId="77777777" w:rsidR="00D91ABA" w:rsidRPr="009A08BF" w:rsidRDefault="00D91ABA" w:rsidP="00B07A4C">
            <w:pPr>
              <w:jc w:val="center"/>
              <w:rPr>
                <w:szCs w:val="24"/>
              </w:rPr>
            </w:pPr>
            <w:r w:rsidRPr="009A08BF">
              <w:rPr>
                <w:szCs w:val="24"/>
              </w:rPr>
              <w:t>Dalis, %</w:t>
            </w:r>
          </w:p>
        </w:tc>
        <w:tc>
          <w:tcPr>
            <w:tcW w:w="547" w:type="pct"/>
            <w:tcBorders>
              <w:top w:val="nil"/>
              <w:left w:val="nil"/>
              <w:bottom w:val="single" w:sz="4" w:space="0" w:color="auto"/>
              <w:right w:val="single" w:sz="4" w:space="0" w:color="auto"/>
            </w:tcBorders>
            <w:shd w:val="clear" w:color="000000" w:fill="F2F2F2"/>
            <w:noWrap/>
            <w:hideMark/>
          </w:tcPr>
          <w:p w14:paraId="4D92EE3E" w14:textId="77777777" w:rsidR="00D91ABA" w:rsidRPr="009A08BF" w:rsidRDefault="00D91ABA" w:rsidP="00B07A4C">
            <w:pPr>
              <w:jc w:val="center"/>
              <w:rPr>
                <w:szCs w:val="24"/>
              </w:rPr>
            </w:pPr>
            <w:r w:rsidRPr="009A08BF">
              <w:rPr>
                <w:szCs w:val="24"/>
              </w:rPr>
              <w:t>Skaičius</w:t>
            </w:r>
          </w:p>
        </w:tc>
        <w:tc>
          <w:tcPr>
            <w:tcW w:w="612" w:type="pct"/>
            <w:tcBorders>
              <w:top w:val="nil"/>
              <w:left w:val="nil"/>
              <w:bottom w:val="single" w:sz="4" w:space="0" w:color="auto"/>
              <w:right w:val="single" w:sz="4" w:space="0" w:color="auto"/>
            </w:tcBorders>
            <w:shd w:val="clear" w:color="000000" w:fill="F2F2F2"/>
            <w:noWrap/>
            <w:hideMark/>
          </w:tcPr>
          <w:p w14:paraId="18CAA2E8" w14:textId="77777777" w:rsidR="00D91ABA" w:rsidRPr="009A08BF" w:rsidRDefault="00D91ABA" w:rsidP="00B07A4C">
            <w:pPr>
              <w:jc w:val="center"/>
              <w:rPr>
                <w:szCs w:val="24"/>
              </w:rPr>
            </w:pPr>
            <w:r w:rsidRPr="009A08BF">
              <w:rPr>
                <w:szCs w:val="24"/>
              </w:rPr>
              <w:t>%</w:t>
            </w:r>
          </w:p>
        </w:tc>
      </w:tr>
      <w:tr w:rsidR="00D91ABA" w:rsidRPr="009A08BF" w14:paraId="3A1F802C" w14:textId="77777777" w:rsidTr="00B07A4C">
        <w:trPr>
          <w:trHeight w:val="315"/>
        </w:trPr>
        <w:tc>
          <w:tcPr>
            <w:tcW w:w="1603" w:type="pct"/>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89C906D" w14:textId="77777777" w:rsidR="00D91ABA" w:rsidRPr="009A08BF" w:rsidRDefault="00D91ABA" w:rsidP="00B07A4C">
            <w:pPr>
              <w:rPr>
                <w:szCs w:val="24"/>
              </w:rPr>
            </w:pPr>
            <w:r w:rsidRPr="009A08BF">
              <w:rPr>
                <w:szCs w:val="24"/>
              </w:rPr>
              <w:t>Papriemonių rodiklių iš viso:</w:t>
            </w:r>
          </w:p>
        </w:tc>
        <w:tc>
          <w:tcPr>
            <w:tcW w:w="578" w:type="pct"/>
            <w:tcBorders>
              <w:top w:val="nil"/>
              <w:left w:val="nil"/>
              <w:bottom w:val="single" w:sz="4" w:space="0" w:color="auto"/>
              <w:right w:val="single" w:sz="4" w:space="0" w:color="auto"/>
            </w:tcBorders>
            <w:noWrap/>
            <w:hideMark/>
          </w:tcPr>
          <w:p w14:paraId="295D9E89" w14:textId="77777777" w:rsidR="00D91ABA" w:rsidRPr="009A08BF" w:rsidRDefault="00D91ABA" w:rsidP="00B07A4C">
            <w:pPr>
              <w:jc w:val="center"/>
              <w:rPr>
                <w:szCs w:val="24"/>
              </w:rPr>
            </w:pPr>
            <w:r w:rsidRPr="009A08BF">
              <w:rPr>
                <w:szCs w:val="24"/>
              </w:rPr>
              <w:t>1 540</w:t>
            </w:r>
          </w:p>
        </w:tc>
        <w:tc>
          <w:tcPr>
            <w:tcW w:w="569" w:type="pct"/>
            <w:tcBorders>
              <w:top w:val="nil"/>
              <w:left w:val="nil"/>
              <w:bottom w:val="single" w:sz="4" w:space="0" w:color="auto"/>
              <w:right w:val="single" w:sz="4" w:space="0" w:color="auto"/>
            </w:tcBorders>
            <w:noWrap/>
            <w:hideMark/>
          </w:tcPr>
          <w:p w14:paraId="0797A7D8" w14:textId="77777777" w:rsidR="00D91ABA" w:rsidRPr="009A08BF" w:rsidRDefault="00D91ABA" w:rsidP="00B07A4C">
            <w:pPr>
              <w:jc w:val="center"/>
              <w:rPr>
                <w:szCs w:val="24"/>
              </w:rPr>
            </w:pPr>
            <w:r w:rsidRPr="009A08BF">
              <w:rPr>
                <w:szCs w:val="24"/>
              </w:rPr>
              <w:t>100,0%</w:t>
            </w:r>
          </w:p>
        </w:tc>
        <w:tc>
          <w:tcPr>
            <w:tcW w:w="550" w:type="pct"/>
            <w:tcBorders>
              <w:top w:val="nil"/>
              <w:left w:val="nil"/>
              <w:bottom w:val="single" w:sz="4" w:space="0" w:color="auto"/>
              <w:right w:val="single" w:sz="4" w:space="0" w:color="auto"/>
            </w:tcBorders>
            <w:noWrap/>
            <w:hideMark/>
          </w:tcPr>
          <w:p w14:paraId="600EB42D" w14:textId="77777777" w:rsidR="00D91ABA" w:rsidRPr="009A08BF" w:rsidRDefault="00D91ABA" w:rsidP="00B07A4C">
            <w:pPr>
              <w:jc w:val="center"/>
              <w:rPr>
                <w:szCs w:val="24"/>
              </w:rPr>
            </w:pPr>
            <w:r w:rsidRPr="009A08BF">
              <w:rPr>
                <w:szCs w:val="24"/>
              </w:rPr>
              <w:t>1 570</w:t>
            </w:r>
          </w:p>
        </w:tc>
        <w:tc>
          <w:tcPr>
            <w:tcW w:w="541" w:type="pct"/>
            <w:tcBorders>
              <w:top w:val="nil"/>
              <w:left w:val="nil"/>
              <w:bottom w:val="single" w:sz="4" w:space="0" w:color="auto"/>
              <w:right w:val="single" w:sz="4" w:space="0" w:color="auto"/>
            </w:tcBorders>
            <w:noWrap/>
            <w:hideMark/>
          </w:tcPr>
          <w:p w14:paraId="2F2310B8" w14:textId="7E4F5B3E" w:rsidR="00D91ABA" w:rsidRPr="009A08BF" w:rsidRDefault="00D91ABA" w:rsidP="00B07A4C">
            <w:pPr>
              <w:jc w:val="center"/>
              <w:rPr>
                <w:szCs w:val="24"/>
              </w:rPr>
            </w:pPr>
            <w:r w:rsidRPr="009A08BF">
              <w:rPr>
                <w:szCs w:val="24"/>
              </w:rPr>
              <w:t>100</w:t>
            </w:r>
            <w:r>
              <w:rPr>
                <w:szCs w:val="24"/>
              </w:rPr>
              <w:t>,0</w:t>
            </w:r>
            <w:r w:rsidRPr="009A08BF">
              <w:rPr>
                <w:szCs w:val="24"/>
              </w:rPr>
              <w:t>%</w:t>
            </w:r>
          </w:p>
        </w:tc>
        <w:tc>
          <w:tcPr>
            <w:tcW w:w="547" w:type="pct"/>
            <w:tcBorders>
              <w:top w:val="nil"/>
              <w:left w:val="nil"/>
              <w:bottom w:val="single" w:sz="4" w:space="0" w:color="auto"/>
              <w:right w:val="single" w:sz="4" w:space="0" w:color="auto"/>
            </w:tcBorders>
            <w:noWrap/>
            <w:vAlign w:val="bottom"/>
            <w:hideMark/>
          </w:tcPr>
          <w:p w14:paraId="6F452BAC" w14:textId="77777777" w:rsidR="00D91ABA" w:rsidRPr="009A08BF" w:rsidRDefault="00D91ABA" w:rsidP="00B07A4C">
            <w:pPr>
              <w:jc w:val="center"/>
              <w:rPr>
                <w:szCs w:val="24"/>
              </w:rPr>
            </w:pPr>
            <w:r>
              <w:rPr>
                <w:szCs w:val="24"/>
              </w:rPr>
              <w:t>+</w:t>
            </w:r>
            <w:r w:rsidRPr="009A08BF">
              <w:rPr>
                <w:szCs w:val="24"/>
              </w:rPr>
              <w:t>30</w:t>
            </w:r>
          </w:p>
        </w:tc>
        <w:tc>
          <w:tcPr>
            <w:tcW w:w="612" w:type="pct"/>
            <w:tcBorders>
              <w:top w:val="nil"/>
              <w:left w:val="nil"/>
              <w:bottom w:val="single" w:sz="4" w:space="0" w:color="auto"/>
              <w:right w:val="single" w:sz="4" w:space="0" w:color="auto"/>
            </w:tcBorders>
            <w:noWrap/>
            <w:vAlign w:val="bottom"/>
            <w:hideMark/>
          </w:tcPr>
          <w:p w14:paraId="4BA9549A" w14:textId="77777777" w:rsidR="00D91ABA" w:rsidRPr="009A08BF" w:rsidRDefault="00D91ABA" w:rsidP="00B07A4C">
            <w:pPr>
              <w:jc w:val="center"/>
              <w:rPr>
                <w:szCs w:val="24"/>
              </w:rPr>
            </w:pPr>
            <w:r w:rsidRPr="009A08BF">
              <w:rPr>
                <w:szCs w:val="24"/>
              </w:rPr>
              <w:t>+1,9%</w:t>
            </w:r>
          </w:p>
        </w:tc>
      </w:tr>
      <w:tr w:rsidR="00D91ABA" w:rsidRPr="009A08BF" w14:paraId="2F6324F7" w14:textId="77777777" w:rsidTr="00B07A4C">
        <w:trPr>
          <w:trHeight w:val="315"/>
        </w:trPr>
        <w:tc>
          <w:tcPr>
            <w:tcW w:w="1603" w:type="pct"/>
            <w:tcBorders>
              <w:top w:val="single" w:sz="4" w:space="0" w:color="auto"/>
              <w:left w:val="single" w:sz="4" w:space="0" w:color="auto"/>
              <w:bottom w:val="single" w:sz="4" w:space="0" w:color="auto"/>
              <w:right w:val="single" w:sz="4" w:space="0" w:color="auto"/>
            </w:tcBorders>
            <w:shd w:val="clear" w:color="000000" w:fill="F2F2F2"/>
            <w:noWrap/>
            <w:hideMark/>
          </w:tcPr>
          <w:p w14:paraId="6584E4DC" w14:textId="77777777" w:rsidR="00D91ABA" w:rsidRPr="009A08BF" w:rsidRDefault="00D91ABA" w:rsidP="00B07A4C">
            <w:pPr>
              <w:jc w:val="right"/>
              <w:rPr>
                <w:szCs w:val="24"/>
              </w:rPr>
            </w:pPr>
            <w:r w:rsidRPr="009A08BF">
              <w:rPr>
                <w:szCs w:val="24"/>
              </w:rPr>
              <w:t>Įvykdyta</w:t>
            </w:r>
          </w:p>
        </w:tc>
        <w:tc>
          <w:tcPr>
            <w:tcW w:w="578" w:type="pct"/>
            <w:tcBorders>
              <w:top w:val="nil"/>
              <w:left w:val="nil"/>
              <w:bottom w:val="single" w:sz="4" w:space="0" w:color="auto"/>
              <w:right w:val="single" w:sz="4" w:space="0" w:color="auto"/>
            </w:tcBorders>
            <w:noWrap/>
            <w:hideMark/>
          </w:tcPr>
          <w:p w14:paraId="364CB3B3" w14:textId="77777777" w:rsidR="00D91ABA" w:rsidRPr="009A08BF" w:rsidRDefault="00D91ABA" w:rsidP="00D91ABA">
            <w:pPr>
              <w:jc w:val="center"/>
              <w:rPr>
                <w:szCs w:val="24"/>
              </w:rPr>
            </w:pPr>
            <w:r w:rsidRPr="009A08BF">
              <w:rPr>
                <w:szCs w:val="24"/>
              </w:rPr>
              <w:t>1295</w:t>
            </w:r>
          </w:p>
        </w:tc>
        <w:tc>
          <w:tcPr>
            <w:tcW w:w="569" w:type="pct"/>
            <w:tcBorders>
              <w:top w:val="nil"/>
              <w:left w:val="nil"/>
              <w:bottom w:val="single" w:sz="4" w:space="0" w:color="auto"/>
              <w:right w:val="single" w:sz="4" w:space="0" w:color="auto"/>
            </w:tcBorders>
            <w:noWrap/>
            <w:hideMark/>
          </w:tcPr>
          <w:p w14:paraId="3796A375" w14:textId="77777777" w:rsidR="00D91ABA" w:rsidRPr="009A08BF" w:rsidRDefault="00D91ABA" w:rsidP="00D91ABA">
            <w:pPr>
              <w:jc w:val="center"/>
              <w:rPr>
                <w:szCs w:val="24"/>
              </w:rPr>
            </w:pPr>
            <w:r w:rsidRPr="009A08BF">
              <w:rPr>
                <w:szCs w:val="24"/>
              </w:rPr>
              <w:t>84,1%</w:t>
            </w:r>
          </w:p>
        </w:tc>
        <w:tc>
          <w:tcPr>
            <w:tcW w:w="550" w:type="pct"/>
            <w:tcBorders>
              <w:top w:val="nil"/>
              <w:left w:val="nil"/>
              <w:bottom w:val="single" w:sz="4" w:space="0" w:color="auto"/>
              <w:right w:val="single" w:sz="4" w:space="0" w:color="auto"/>
            </w:tcBorders>
            <w:noWrap/>
            <w:hideMark/>
          </w:tcPr>
          <w:p w14:paraId="290999A5" w14:textId="77777777" w:rsidR="00D91ABA" w:rsidRPr="009A08BF" w:rsidRDefault="00D91ABA" w:rsidP="00D91ABA">
            <w:pPr>
              <w:jc w:val="center"/>
              <w:rPr>
                <w:szCs w:val="24"/>
              </w:rPr>
            </w:pPr>
            <w:r w:rsidRPr="009A08BF">
              <w:rPr>
                <w:szCs w:val="24"/>
              </w:rPr>
              <w:t>1371</w:t>
            </w:r>
          </w:p>
        </w:tc>
        <w:tc>
          <w:tcPr>
            <w:tcW w:w="541" w:type="pct"/>
            <w:tcBorders>
              <w:top w:val="nil"/>
              <w:left w:val="nil"/>
              <w:bottom w:val="single" w:sz="4" w:space="0" w:color="auto"/>
              <w:right w:val="single" w:sz="4" w:space="0" w:color="auto"/>
            </w:tcBorders>
            <w:noWrap/>
            <w:hideMark/>
          </w:tcPr>
          <w:p w14:paraId="7058161F" w14:textId="77777777" w:rsidR="00D91ABA" w:rsidRPr="009A08BF" w:rsidRDefault="00D91ABA" w:rsidP="00D91ABA">
            <w:pPr>
              <w:jc w:val="center"/>
              <w:rPr>
                <w:szCs w:val="24"/>
              </w:rPr>
            </w:pPr>
            <w:r w:rsidRPr="009A08BF">
              <w:rPr>
                <w:szCs w:val="24"/>
              </w:rPr>
              <w:t>87,3%</w:t>
            </w:r>
          </w:p>
        </w:tc>
        <w:tc>
          <w:tcPr>
            <w:tcW w:w="547" w:type="pct"/>
            <w:tcBorders>
              <w:top w:val="nil"/>
              <w:left w:val="nil"/>
              <w:bottom w:val="single" w:sz="4" w:space="0" w:color="auto"/>
              <w:right w:val="single" w:sz="4" w:space="0" w:color="auto"/>
            </w:tcBorders>
            <w:noWrap/>
            <w:vAlign w:val="bottom"/>
            <w:hideMark/>
          </w:tcPr>
          <w:p w14:paraId="7E559287" w14:textId="77777777" w:rsidR="00D91ABA" w:rsidRPr="009A08BF" w:rsidRDefault="00D91ABA" w:rsidP="00D91ABA">
            <w:pPr>
              <w:jc w:val="center"/>
              <w:rPr>
                <w:szCs w:val="24"/>
              </w:rPr>
            </w:pPr>
            <w:r w:rsidRPr="009A08BF">
              <w:rPr>
                <w:szCs w:val="24"/>
              </w:rPr>
              <w:t>+76</w:t>
            </w:r>
          </w:p>
        </w:tc>
        <w:tc>
          <w:tcPr>
            <w:tcW w:w="612" w:type="pct"/>
            <w:tcBorders>
              <w:top w:val="nil"/>
              <w:left w:val="nil"/>
              <w:bottom w:val="single" w:sz="4" w:space="0" w:color="auto"/>
              <w:right w:val="single" w:sz="4" w:space="0" w:color="auto"/>
            </w:tcBorders>
            <w:noWrap/>
            <w:vAlign w:val="bottom"/>
            <w:hideMark/>
          </w:tcPr>
          <w:p w14:paraId="33E33B35" w14:textId="77777777" w:rsidR="00D91ABA" w:rsidRPr="009A08BF" w:rsidRDefault="00D91ABA" w:rsidP="00D91ABA">
            <w:pPr>
              <w:jc w:val="center"/>
              <w:rPr>
                <w:szCs w:val="24"/>
              </w:rPr>
            </w:pPr>
            <w:r w:rsidRPr="009A08BF">
              <w:rPr>
                <w:szCs w:val="24"/>
              </w:rPr>
              <w:t>+3,2 p. p.</w:t>
            </w:r>
          </w:p>
        </w:tc>
      </w:tr>
      <w:tr w:rsidR="00D91ABA" w:rsidRPr="009A08BF" w14:paraId="387C4A67" w14:textId="77777777" w:rsidTr="00B07A4C">
        <w:trPr>
          <w:trHeight w:val="315"/>
        </w:trPr>
        <w:tc>
          <w:tcPr>
            <w:tcW w:w="1603" w:type="pct"/>
            <w:tcBorders>
              <w:top w:val="single" w:sz="4" w:space="0" w:color="auto"/>
              <w:left w:val="single" w:sz="4" w:space="0" w:color="auto"/>
              <w:bottom w:val="single" w:sz="4" w:space="0" w:color="auto"/>
              <w:right w:val="single" w:sz="4" w:space="0" w:color="auto"/>
            </w:tcBorders>
            <w:shd w:val="clear" w:color="000000" w:fill="F2F2F2"/>
            <w:noWrap/>
            <w:hideMark/>
          </w:tcPr>
          <w:p w14:paraId="098DE0DD" w14:textId="77777777" w:rsidR="00D91ABA" w:rsidRPr="009A08BF" w:rsidRDefault="00D91ABA" w:rsidP="00B07A4C">
            <w:pPr>
              <w:jc w:val="right"/>
              <w:rPr>
                <w:szCs w:val="24"/>
              </w:rPr>
            </w:pPr>
            <w:r w:rsidRPr="009A08BF">
              <w:rPr>
                <w:szCs w:val="24"/>
              </w:rPr>
              <w:t>Iš dalies įvykdyta</w:t>
            </w:r>
          </w:p>
        </w:tc>
        <w:tc>
          <w:tcPr>
            <w:tcW w:w="578" w:type="pct"/>
            <w:tcBorders>
              <w:top w:val="nil"/>
              <w:left w:val="nil"/>
              <w:bottom w:val="single" w:sz="4" w:space="0" w:color="auto"/>
              <w:right w:val="single" w:sz="4" w:space="0" w:color="auto"/>
            </w:tcBorders>
            <w:noWrap/>
            <w:hideMark/>
          </w:tcPr>
          <w:p w14:paraId="22F83C8D" w14:textId="77777777" w:rsidR="00D91ABA" w:rsidRPr="009A08BF" w:rsidRDefault="00D91ABA" w:rsidP="00D91ABA">
            <w:pPr>
              <w:jc w:val="center"/>
              <w:rPr>
                <w:szCs w:val="24"/>
              </w:rPr>
            </w:pPr>
            <w:r w:rsidRPr="009A08BF">
              <w:rPr>
                <w:szCs w:val="24"/>
              </w:rPr>
              <w:t>135</w:t>
            </w:r>
          </w:p>
        </w:tc>
        <w:tc>
          <w:tcPr>
            <w:tcW w:w="569" w:type="pct"/>
            <w:tcBorders>
              <w:top w:val="nil"/>
              <w:left w:val="nil"/>
              <w:bottom w:val="single" w:sz="4" w:space="0" w:color="auto"/>
              <w:right w:val="single" w:sz="4" w:space="0" w:color="auto"/>
            </w:tcBorders>
            <w:noWrap/>
            <w:hideMark/>
          </w:tcPr>
          <w:p w14:paraId="2837C4E4" w14:textId="77777777" w:rsidR="00D91ABA" w:rsidRPr="009A08BF" w:rsidRDefault="00D91ABA" w:rsidP="00D91ABA">
            <w:pPr>
              <w:jc w:val="center"/>
              <w:rPr>
                <w:szCs w:val="24"/>
              </w:rPr>
            </w:pPr>
            <w:r w:rsidRPr="009A08BF">
              <w:rPr>
                <w:szCs w:val="24"/>
              </w:rPr>
              <w:t>8,8%</w:t>
            </w:r>
          </w:p>
        </w:tc>
        <w:tc>
          <w:tcPr>
            <w:tcW w:w="550" w:type="pct"/>
            <w:tcBorders>
              <w:top w:val="nil"/>
              <w:left w:val="nil"/>
              <w:bottom w:val="single" w:sz="4" w:space="0" w:color="auto"/>
              <w:right w:val="single" w:sz="4" w:space="0" w:color="auto"/>
            </w:tcBorders>
            <w:noWrap/>
            <w:hideMark/>
          </w:tcPr>
          <w:p w14:paraId="7E89263B" w14:textId="77777777" w:rsidR="00D91ABA" w:rsidRPr="009A08BF" w:rsidRDefault="00D91ABA" w:rsidP="00D91ABA">
            <w:pPr>
              <w:jc w:val="center"/>
              <w:rPr>
                <w:szCs w:val="24"/>
              </w:rPr>
            </w:pPr>
            <w:r w:rsidRPr="009A08BF">
              <w:rPr>
                <w:szCs w:val="24"/>
              </w:rPr>
              <w:t>94</w:t>
            </w:r>
          </w:p>
        </w:tc>
        <w:tc>
          <w:tcPr>
            <w:tcW w:w="541" w:type="pct"/>
            <w:tcBorders>
              <w:top w:val="nil"/>
              <w:left w:val="nil"/>
              <w:bottom w:val="single" w:sz="4" w:space="0" w:color="auto"/>
              <w:right w:val="single" w:sz="4" w:space="0" w:color="auto"/>
            </w:tcBorders>
            <w:noWrap/>
            <w:hideMark/>
          </w:tcPr>
          <w:p w14:paraId="6E8CA99B" w14:textId="77777777" w:rsidR="00D91ABA" w:rsidRPr="009A08BF" w:rsidRDefault="00D91ABA" w:rsidP="00D91ABA">
            <w:pPr>
              <w:jc w:val="center"/>
              <w:rPr>
                <w:szCs w:val="24"/>
              </w:rPr>
            </w:pPr>
            <w:r w:rsidRPr="009A08BF">
              <w:rPr>
                <w:szCs w:val="24"/>
              </w:rPr>
              <w:t>6,0%</w:t>
            </w:r>
          </w:p>
        </w:tc>
        <w:tc>
          <w:tcPr>
            <w:tcW w:w="547" w:type="pct"/>
            <w:tcBorders>
              <w:top w:val="nil"/>
              <w:left w:val="nil"/>
              <w:bottom w:val="single" w:sz="4" w:space="0" w:color="auto"/>
              <w:right w:val="single" w:sz="4" w:space="0" w:color="auto"/>
            </w:tcBorders>
            <w:noWrap/>
            <w:vAlign w:val="bottom"/>
            <w:hideMark/>
          </w:tcPr>
          <w:p w14:paraId="25538909" w14:textId="77777777" w:rsidR="00D91ABA" w:rsidRPr="009A08BF" w:rsidRDefault="00D91ABA" w:rsidP="00D91ABA">
            <w:pPr>
              <w:jc w:val="center"/>
              <w:rPr>
                <w:szCs w:val="24"/>
              </w:rPr>
            </w:pPr>
            <w:r w:rsidRPr="009A08BF">
              <w:rPr>
                <w:szCs w:val="24"/>
              </w:rPr>
              <w:t>-41</w:t>
            </w:r>
          </w:p>
        </w:tc>
        <w:tc>
          <w:tcPr>
            <w:tcW w:w="612" w:type="pct"/>
            <w:tcBorders>
              <w:top w:val="nil"/>
              <w:left w:val="nil"/>
              <w:bottom w:val="single" w:sz="4" w:space="0" w:color="auto"/>
              <w:right w:val="single" w:sz="4" w:space="0" w:color="auto"/>
            </w:tcBorders>
            <w:noWrap/>
            <w:vAlign w:val="bottom"/>
            <w:hideMark/>
          </w:tcPr>
          <w:p w14:paraId="10BCDD23" w14:textId="77777777" w:rsidR="00D91ABA" w:rsidRPr="009A08BF" w:rsidRDefault="00D91ABA" w:rsidP="00D91ABA">
            <w:pPr>
              <w:jc w:val="center"/>
              <w:rPr>
                <w:szCs w:val="24"/>
              </w:rPr>
            </w:pPr>
            <w:r w:rsidRPr="009A08BF">
              <w:rPr>
                <w:szCs w:val="24"/>
              </w:rPr>
              <w:t>-2,8 p. p.</w:t>
            </w:r>
          </w:p>
        </w:tc>
      </w:tr>
      <w:tr w:rsidR="00D91ABA" w:rsidRPr="009A08BF" w14:paraId="21744684" w14:textId="77777777" w:rsidTr="00B07A4C">
        <w:trPr>
          <w:trHeight w:val="315"/>
        </w:trPr>
        <w:tc>
          <w:tcPr>
            <w:tcW w:w="1603" w:type="pct"/>
            <w:tcBorders>
              <w:top w:val="single" w:sz="4" w:space="0" w:color="auto"/>
              <w:left w:val="single" w:sz="4" w:space="0" w:color="auto"/>
              <w:bottom w:val="single" w:sz="4" w:space="0" w:color="auto"/>
              <w:right w:val="single" w:sz="4" w:space="0" w:color="auto"/>
            </w:tcBorders>
            <w:shd w:val="clear" w:color="000000" w:fill="F2F2F2"/>
            <w:noWrap/>
            <w:hideMark/>
          </w:tcPr>
          <w:p w14:paraId="133F1E39" w14:textId="77777777" w:rsidR="00D91ABA" w:rsidRPr="009A08BF" w:rsidRDefault="00D91ABA" w:rsidP="00B07A4C">
            <w:pPr>
              <w:jc w:val="right"/>
              <w:rPr>
                <w:szCs w:val="24"/>
              </w:rPr>
            </w:pPr>
            <w:r w:rsidRPr="009A08BF">
              <w:rPr>
                <w:szCs w:val="24"/>
              </w:rPr>
              <w:t>Neįvykdyta</w:t>
            </w:r>
          </w:p>
        </w:tc>
        <w:tc>
          <w:tcPr>
            <w:tcW w:w="578" w:type="pct"/>
            <w:tcBorders>
              <w:top w:val="nil"/>
              <w:left w:val="nil"/>
              <w:bottom w:val="single" w:sz="4" w:space="0" w:color="auto"/>
              <w:right w:val="single" w:sz="4" w:space="0" w:color="auto"/>
            </w:tcBorders>
            <w:noWrap/>
            <w:hideMark/>
          </w:tcPr>
          <w:p w14:paraId="77772B26" w14:textId="77777777" w:rsidR="00D91ABA" w:rsidRPr="009A08BF" w:rsidRDefault="00D91ABA" w:rsidP="00D91ABA">
            <w:pPr>
              <w:jc w:val="center"/>
              <w:rPr>
                <w:szCs w:val="24"/>
              </w:rPr>
            </w:pPr>
            <w:r w:rsidRPr="009A08BF">
              <w:rPr>
                <w:szCs w:val="24"/>
              </w:rPr>
              <w:t>71</w:t>
            </w:r>
          </w:p>
        </w:tc>
        <w:tc>
          <w:tcPr>
            <w:tcW w:w="569" w:type="pct"/>
            <w:tcBorders>
              <w:top w:val="nil"/>
              <w:left w:val="nil"/>
              <w:bottom w:val="single" w:sz="4" w:space="0" w:color="auto"/>
              <w:right w:val="single" w:sz="4" w:space="0" w:color="auto"/>
            </w:tcBorders>
            <w:noWrap/>
            <w:hideMark/>
          </w:tcPr>
          <w:p w14:paraId="31BF44B8" w14:textId="77777777" w:rsidR="00D91ABA" w:rsidRPr="009A08BF" w:rsidRDefault="00D91ABA" w:rsidP="00D91ABA">
            <w:pPr>
              <w:jc w:val="center"/>
              <w:rPr>
                <w:szCs w:val="24"/>
              </w:rPr>
            </w:pPr>
            <w:r w:rsidRPr="009A08BF">
              <w:rPr>
                <w:szCs w:val="24"/>
              </w:rPr>
              <w:t>4,6%</w:t>
            </w:r>
          </w:p>
        </w:tc>
        <w:tc>
          <w:tcPr>
            <w:tcW w:w="550" w:type="pct"/>
            <w:tcBorders>
              <w:top w:val="nil"/>
              <w:left w:val="nil"/>
              <w:bottom w:val="single" w:sz="4" w:space="0" w:color="auto"/>
              <w:right w:val="single" w:sz="4" w:space="0" w:color="auto"/>
            </w:tcBorders>
            <w:noWrap/>
            <w:hideMark/>
          </w:tcPr>
          <w:p w14:paraId="11BC20B0" w14:textId="77777777" w:rsidR="00D91ABA" w:rsidRPr="009A08BF" w:rsidRDefault="00D91ABA" w:rsidP="00D91ABA">
            <w:pPr>
              <w:jc w:val="center"/>
              <w:rPr>
                <w:szCs w:val="24"/>
              </w:rPr>
            </w:pPr>
            <w:r w:rsidRPr="009A08BF">
              <w:rPr>
                <w:szCs w:val="24"/>
              </w:rPr>
              <w:t>49</w:t>
            </w:r>
          </w:p>
        </w:tc>
        <w:tc>
          <w:tcPr>
            <w:tcW w:w="541" w:type="pct"/>
            <w:tcBorders>
              <w:top w:val="nil"/>
              <w:left w:val="nil"/>
              <w:bottom w:val="single" w:sz="4" w:space="0" w:color="auto"/>
              <w:right w:val="single" w:sz="4" w:space="0" w:color="auto"/>
            </w:tcBorders>
            <w:noWrap/>
            <w:hideMark/>
          </w:tcPr>
          <w:p w14:paraId="793EAB3E" w14:textId="77777777" w:rsidR="00D91ABA" w:rsidRPr="009A08BF" w:rsidRDefault="00D91ABA" w:rsidP="00D91ABA">
            <w:pPr>
              <w:jc w:val="center"/>
              <w:rPr>
                <w:szCs w:val="24"/>
              </w:rPr>
            </w:pPr>
            <w:r w:rsidRPr="009A08BF">
              <w:rPr>
                <w:szCs w:val="24"/>
              </w:rPr>
              <w:t>3,1%</w:t>
            </w:r>
          </w:p>
        </w:tc>
        <w:tc>
          <w:tcPr>
            <w:tcW w:w="547" w:type="pct"/>
            <w:tcBorders>
              <w:top w:val="nil"/>
              <w:left w:val="nil"/>
              <w:bottom w:val="single" w:sz="4" w:space="0" w:color="auto"/>
              <w:right w:val="single" w:sz="4" w:space="0" w:color="auto"/>
            </w:tcBorders>
            <w:noWrap/>
            <w:vAlign w:val="bottom"/>
            <w:hideMark/>
          </w:tcPr>
          <w:p w14:paraId="743C6946" w14:textId="77777777" w:rsidR="00D91ABA" w:rsidRPr="009A08BF" w:rsidRDefault="00D91ABA" w:rsidP="00D91ABA">
            <w:pPr>
              <w:jc w:val="center"/>
              <w:rPr>
                <w:szCs w:val="24"/>
              </w:rPr>
            </w:pPr>
            <w:r w:rsidRPr="009A08BF">
              <w:rPr>
                <w:szCs w:val="24"/>
              </w:rPr>
              <w:t>-22</w:t>
            </w:r>
          </w:p>
        </w:tc>
        <w:tc>
          <w:tcPr>
            <w:tcW w:w="612" w:type="pct"/>
            <w:tcBorders>
              <w:top w:val="nil"/>
              <w:left w:val="nil"/>
              <w:bottom w:val="single" w:sz="4" w:space="0" w:color="auto"/>
              <w:right w:val="single" w:sz="4" w:space="0" w:color="auto"/>
            </w:tcBorders>
            <w:noWrap/>
            <w:vAlign w:val="bottom"/>
            <w:hideMark/>
          </w:tcPr>
          <w:p w14:paraId="4C9F9718" w14:textId="77777777" w:rsidR="00D91ABA" w:rsidRPr="009A08BF" w:rsidRDefault="00D91ABA" w:rsidP="00D91ABA">
            <w:pPr>
              <w:jc w:val="center"/>
              <w:rPr>
                <w:szCs w:val="24"/>
              </w:rPr>
            </w:pPr>
            <w:r w:rsidRPr="009A08BF">
              <w:rPr>
                <w:szCs w:val="24"/>
              </w:rPr>
              <w:t>-1,5 p. p.</w:t>
            </w:r>
          </w:p>
        </w:tc>
      </w:tr>
      <w:tr w:rsidR="00D91ABA" w:rsidRPr="009A08BF" w14:paraId="6F3AD282" w14:textId="77777777" w:rsidTr="00B07A4C">
        <w:trPr>
          <w:trHeight w:val="315"/>
        </w:trPr>
        <w:tc>
          <w:tcPr>
            <w:tcW w:w="1603" w:type="pct"/>
            <w:tcBorders>
              <w:top w:val="single" w:sz="4" w:space="0" w:color="auto"/>
              <w:left w:val="single" w:sz="4" w:space="0" w:color="auto"/>
              <w:bottom w:val="single" w:sz="4" w:space="0" w:color="auto"/>
              <w:right w:val="single" w:sz="4" w:space="0" w:color="auto"/>
            </w:tcBorders>
            <w:shd w:val="clear" w:color="000000" w:fill="F2F2F2"/>
            <w:noWrap/>
            <w:hideMark/>
          </w:tcPr>
          <w:p w14:paraId="04C204C8" w14:textId="77777777" w:rsidR="00D91ABA" w:rsidRPr="009A08BF" w:rsidRDefault="00D91ABA" w:rsidP="00B07A4C">
            <w:pPr>
              <w:jc w:val="right"/>
              <w:rPr>
                <w:szCs w:val="24"/>
              </w:rPr>
            </w:pPr>
            <w:r w:rsidRPr="009A08BF">
              <w:rPr>
                <w:szCs w:val="24"/>
              </w:rPr>
              <w:t>Nevykdyta</w:t>
            </w:r>
          </w:p>
        </w:tc>
        <w:tc>
          <w:tcPr>
            <w:tcW w:w="578" w:type="pct"/>
            <w:tcBorders>
              <w:top w:val="nil"/>
              <w:left w:val="nil"/>
              <w:bottom w:val="single" w:sz="4" w:space="0" w:color="auto"/>
              <w:right w:val="single" w:sz="4" w:space="0" w:color="auto"/>
            </w:tcBorders>
            <w:noWrap/>
            <w:hideMark/>
          </w:tcPr>
          <w:p w14:paraId="223E236E" w14:textId="77777777" w:rsidR="00D91ABA" w:rsidRPr="009A08BF" w:rsidRDefault="00D91ABA" w:rsidP="00D91ABA">
            <w:pPr>
              <w:jc w:val="center"/>
              <w:rPr>
                <w:szCs w:val="24"/>
              </w:rPr>
            </w:pPr>
            <w:r w:rsidRPr="009A08BF">
              <w:rPr>
                <w:szCs w:val="24"/>
              </w:rPr>
              <w:t>39</w:t>
            </w:r>
          </w:p>
        </w:tc>
        <w:tc>
          <w:tcPr>
            <w:tcW w:w="569" w:type="pct"/>
            <w:tcBorders>
              <w:top w:val="nil"/>
              <w:left w:val="nil"/>
              <w:bottom w:val="single" w:sz="4" w:space="0" w:color="auto"/>
              <w:right w:val="single" w:sz="4" w:space="0" w:color="auto"/>
            </w:tcBorders>
            <w:noWrap/>
            <w:hideMark/>
          </w:tcPr>
          <w:p w14:paraId="44E20455" w14:textId="77777777" w:rsidR="00D91ABA" w:rsidRPr="009A08BF" w:rsidRDefault="00D91ABA" w:rsidP="00D91ABA">
            <w:pPr>
              <w:jc w:val="center"/>
              <w:rPr>
                <w:szCs w:val="24"/>
              </w:rPr>
            </w:pPr>
            <w:r w:rsidRPr="009A08BF">
              <w:rPr>
                <w:szCs w:val="24"/>
              </w:rPr>
              <w:t>2,5%</w:t>
            </w:r>
          </w:p>
        </w:tc>
        <w:tc>
          <w:tcPr>
            <w:tcW w:w="550" w:type="pct"/>
            <w:tcBorders>
              <w:top w:val="nil"/>
              <w:left w:val="nil"/>
              <w:bottom w:val="single" w:sz="4" w:space="0" w:color="auto"/>
              <w:right w:val="single" w:sz="4" w:space="0" w:color="auto"/>
            </w:tcBorders>
            <w:noWrap/>
            <w:hideMark/>
          </w:tcPr>
          <w:p w14:paraId="2DCD14C2" w14:textId="77777777" w:rsidR="00D91ABA" w:rsidRPr="009A08BF" w:rsidRDefault="00D91ABA" w:rsidP="00D91ABA">
            <w:pPr>
              <w:jc w:val="center"/>
              <w:rPr>
                <w:szCs w:val="24"/>
              </w:rPr>
            </w:pPr>
            <w:r w:rsidRPr="009A08BF">
              <w:rPr>
                <w:szCs w:val="24"/>
              </w:rPr>
              <w:t>56</w:t>
            </w:r>
          </w:p>
        </w:tc>
        <w:tc>
          <w:tcPr>
            <w:tcW w:w="541" w:type="pct"/>
            <w:tcBorders>
              <w:top w:val="nil"/>
              <w:left w:val="nil"/>
              <w:bottom w:val="single" w:sz="4" w:space="0" w:color="auto"/>
              <w:right w:val="single" w:sz="4" w:space="0" w:color="auto"/>
            </w:tcBorders>
            <w:noWrap/>
            <w:hideMark/>
          </w:tcPr>
          <w:p w14:paraId="2FA23530" w14:textId="77777777" w:rsidR="00D91ABA" w:rsidRPr="009A08BF" w:rsidRDefault="00D91ABA" w:rsidP="00D91ABA">
            <w:pPr>
              <w:jc w:val="center"/>
              <w:rPr>
                <w:szCs w:val="24"/>
              </w:rPr>
            </w:pPr>
            <w:r w:rsidRPr="009A08BF">
              <w:rPr>
                <w:szCs w:val="24"/>
              </w:rPr>
              <w:t>3,6%</w:t>
            </w:r>
          </w:p>
        </w:tc>
        <w:tc>
          <w:tcPr>
            <w:tcW w:w="547" w:type="pct"/>
            <w:tcBorders>
              <w:top w:val="nil"/>
              <w:left w:val="nil"/>
              <w:bottom w:val="single" w:sz="4" w:space="0" w:color="auto"/>
              <w:right w:val="single" w:sz="4" w:space="0" w:color="auto"/>
            </w:tcBorders>
            <w:noWrap/>
            <w:vAlign w:val="bottom"/>
            <w:hideMark/>
          </w:tcPr>
          <w:p w14:paraId="7CDF3CB0" w14:textId="77777777" w:rsidR="00D91ABA" w:rsidRPr="009A08BF" w:rsidRDefault="00D91ABA" w:rsidP="00D91ABA">
            <w:pPr>
              <w:jc w:val="center"/>
              <w:rPr>
                <w:szCs w:val="24"/>
              </w:rPr>
            </w:pPr>
            <w:r w:rsidRPr="009A08BF">
              <w:rPr>
                <w:szCs w:val="24"/>
              </w:rPr>
              <w:t>+17</w:t>
            </w:r>
          </w:p>
        </w:tc>
        <w:tc>
          <w:tcPr>
            <w:tcW w:w="612" w:type="pct"/>
            <w:tcBorders>
              <w:top w:val="nil"/>
              <w:left w:val="nil"/>
              <w:bottom w:val="single" w:sz="4" w:space="0" w:color="auto"/>
              <w:right w:val="single" w:sz="4" w:space="0" w:color="auto"/>
            </w:tcBorders>
            <w:noWrap/>
            <w:vAlign w:val="bottom"/>
            <w:hideMark/>
          </w:tcPr>
          <w:p w14:paraId="1B282C5E" w14:textId="77777777" w:rsidR="00D91ABA" w:rsidRPr="009A08BF" w:rsidRDefault="00D91ABA" w:rsidP="00D91ABA">
            <w:pPr>
              <w:jc w:val="center"/>
              <w:rPr>
                <w:szCs w:val="24"/>
              </w:rPr>
            </w:pPr>
            <w:r w:rsidRPr="009A08BF">
              <w:rPr>
                <w:szCs w:val="24"/>
              </w:rPr>
              <w:t>+1,1 p.p.</w:t>
            </w:r>
          </w:p>
        </w:tc>
      </w:tr>
    </w:tbl>
    <w:p w14:paraId="49FAE113" w14:textId="77777777" w:rsidR="00442614" w:rsidRDefault="00442614" w:rsidP="00D26788">
      <w:pPr>
        <w:spacing w:line="360" w:lineRule="auto"/>
        <w:ind w:firstLine="992"/>
        <w:jc w:val="both"/>
        <w:rPr>
          <w:rFonts w:eastAsia="Calibri"/>
          <w:szCs w:val="24"/>
          <w:lang w:bidi="he-IL"/>
        </w:rPr>
      </w:pPr>
    </w:p>
    <w:p w14:paraId="7A15AEFC" w14:textId="13BB3DB0" w:rsidR="00D26788" w:rsidRPr="00D26788" w:rsidRDefault="00D26788" w:rsidP="00D26788">
      <w:pPr>
        <w:spacing w:line="360" w:lineRule="auto"/>
        <w:ind w:firstLine="992"/>
        <w:jc w:val="both"/>
        <w:rPr>
          <w:rFonts w:eastAsia="Calibri"/>
          <w:szCs w:val="24"/>
          <w:lang w:bidi="he-IL"/>
        </w:rPr>
      </w:pPr>
      <w:r w:rsidRPr="00D26788">
        <w:rPr>
          <w:rFonts w:eastAsia="Calibri"/>
          <w:szCs w:val="24"/>
          <w:lang w:bidi="he-IL"/>
        </w:rPr>
        <w:t xml:space="preserve">Palyginti su 2024 metais, 2025 metų savivaldybės SVP rodiklių bendrasis vykdymas pagerėjo. Teigiama SVP rodiklių vykdymo dinamika atspindi sėkmingą procesų valdymą </w:t>
      </w:r>
      <w:r w:rsidR="00B3182F">
        <w:rPr>
          <w:rFonts w:eastAsia="Calibri"/>
          <w:szCs w:val="24"/>
          <w:lang w:bidi="he-IL"/>
        </w:rPr>
        <w:t xml:space="preserve">ir </w:t>
      </w:r>
      <w:r w:rsidRPr="00D26788">
        <w:rPr>
          <w:rFonts w:eastAsia="Calibri"/>
          <w:szCs w:val="24"/>
          <w:lang w:bidi="he-IL"/>
        </w:rPr>
        <w:t>augantį Savivaldybės operacinį efektyvumą.</w:t>
      </w:r>
      <w:r w:rsidR="00B3182F">
        <w:rPr>
          <w:rFonts w:eastAsia="Calibri"/>
          <w:szCs w:val="24"/>
          <w:lang w:bidi="he-IL"/>
        </w:rPr>
        <w:t xml:space="preserve"> </w:t>
      </w:r>
    </w:p>
    <w:p w14:paraId="2CE6EB11" w14:textId="43129636" w:rsidR="00D26788" w:rsidRPr="00D26788" w:rsidRDefault="00D26788" w:rsidP="00D26788">
      <w:pPr>
        <w:spacing w:line="360" w:lineRule="auto"/>
        <w:ind w:firstLine="992"/>
        <w:jc w:val="both"/>
        <w:rPr>
          <w:rFonts w:eastAsia="Calibri"/>
          <w:szCs w:val="24"/>
          <w:lang w:bidi="he-IL"/>
        </w:rPr>
      </w:pPr>
      <w:r w:rsidRPr="00D26788">
        <w:rPr>
          <w:rFonts w:eastAsia="Calibri"/>
          <w:szCs w:val="24"/>
          <w:lang w:bidi="he-IL"/>
        </w:rPr>
        <w:t>Išsami informacija apie SVP atskirų programų papriemonių rodiklių 2025 metais planuotų reikšmių pasiekimą ir rodiklių vykdymo įvertinimą pateikiama šios ataskaitos 1, 2 ir 3 prieduose. Priemonių rodiklių 2025 metais planuotų ir faktiškai pasiektų reikšmių suvestinė lentelė pateikiama 4 priede.</w:t>
      </w:r>
      <w:r w:rsidR="00DC0198">
        <w:rPr>
          <w:rFonts w:eastAsia="Calibri"/>
          <w:szCs w:val="24"/>
          <w:lang w:bidi="he-IL"/>
        </w:rPr>
        <w:t xml:space="preserve"> </w:t>
      </w:r>
    </w:p>
    <w:p w14:paraId="33190987" w14:textId="61DE2746" w:rsidR="00100D0F" w:rsidRDefault="00D26788" w:rsidP="0016419B">
      <w:pPr>
        <w:spacing w:line="360" w:lineRule="auto"/>
        <w:ind w:firstLine="993"/>
        <w:jc w:val="both"/>
        <w:rPr>
          <w:rFonts w:eastAsia="Calibri"/>
          <w:szCs w:val="24"/>
          <w:lang w:bidi="he-IL"/>
        </w:rPr>
      </w:pPr>
      <w:r w:rsidRPr="00D26788">
        <w:rPr>
          <w:rFonts w:eastAsia="Calibri"/>
          <w:szCs w:val="24"/>
          <w:lang w:bidi="he-IL"/>
        </w:rPr>
        <w:t>2 lentelėje pateikiama informacija apie Savivaldybės 2025 metais SVP programoms, tikslams ir uždaviniams skirtas lėšas ir jų vykdymą (tūkst. Eur).</w:t>
      </w:r>
      <w:r w:rsidR="00DC0198">
        <w:rPr>
          <w:rFonts w:eastAsia="Calibri"/>
          <w:szCs w:val="24"/>
          <w:lang w:bidi="he-IL"/>
        </w:rPr>
        <w:t xml:space="preserve"> </w:t>
      </w:r>
    </w:p>
    <w:p w14:paraId="2295917B" w14:textId="2698CFA8" w:rsidR="00DC0198" w:rsidRDefault="00DC0198" w:rsidP="0016419B">
      <w:pPr>
        <w:spacing w:line="360" w:lineRule="auto"/>
        <w:ind w:firstLine="993"/>
        <w:jc w:val="both"/>
        <w:rPr>
          <w:rFonts w:eastAsia="Calibri"/>
          <w:szCs w:val="24"/>
          <w:lang w:bidi="he-IL"/>
        </w:rPr>
      </w:pPr>
    </w:p>
    <w:p w14:paraId="4F632DA8" w14:textId="5241994F" w:rsidR="00DC0198" w:rsidRDefault="00DC0198" w:rsidP="0016419B">
      <w:pPr>
        <w:spacing w:line="360" w:lineRule="auto"/>
        <w:ind w:firstLine="993"/>
        <w:jc w:val="both"/>
        <w:rPr>
          <w:rFonts w:eastAsia="Calibri"/>
          <w:szCs w:val="24"/>
          <w:lang w:bidi="he-IL"/>
        </w:rPr>
      </w:pPr>
    </w:p>
    <w:p w14:paraId="39A3496F" w14:textId="6F565C8C" w:rsidR="00DC0198" w:rsidRDefault="00DC0198" w:rsidP="0016419B">
      <w:pPr>
        <w:spacing w:line="360" w:lineRule="auto"/>
        <w:ind w:firstLine="993"/>
        <w:jc w:val="both"/>
        <w:rPr>
          <w:rFonts w:eastAsia="Calibri"/>
          <w:szCs w:val="24"/>
          <w:lang w:bidi="he-IL"/>
        </w:rPr>
      </w:pPr>
    </w:p>
    <w:p w14:paraId="5F294C9D" w14:textId="48501C3C" w:rsidR="00DC0198" w:rsidRDefault="00DC0198" w:rsidP="0016419B">
      <w:pPr>
        <w:spacing w:line="360" w:lineRule="auto"/>
        <w:ind w:firstLine="993"/>
        <w:jc w:val="both"/>
        <w:rPr>
          <w:rFonts w:eastAsia="Calibri"/>
          <w:szCs w:val="24"/>
          <w:lang w:bidi="he-IL"/>
        </w:rPr>
      </w:pPr>
    </w:p>
    <w:p w14:paraId="276FC977" w14:textId="328F7F67" w:rsidR="00D26788" w:rsidRDefault="00D26788" w:rsidP="00D26788">
      <w:pPr>
        <w:spacing w:line="360" w:lineRule="auto"/>
        <w:jc w:val="center"/>
        <w:rPr>
          <w:rFonts w:eastAsia="Calibri"/>
          <w:b/>
          <w:bCs/>
          <w:szCs w:val="24"/>
          <w:lang w:bidi="he-IL"/>
        </w:rPr>
      </w:pPr>
      <w:r w:rsidRPr="00D26788">
        <w:rPr>
          <w:rFonts w:eastAsia="Calibri"/>
          <w:b/>
          <w:bCs/>
          <w:szCs w:val="24"/>
          <w:lang w:bidi="he-IL"/>
        </w:rPr>
        <w:lastRenderedPageBreak/>
        <w:t>2 lentelė. SVP programoms, tikslams ir uždaviniams skirtos lėšos bei jų vykdymas (tūkst. Eur)</w:t>
      </w:r>
      <w:r w:rsidR="00DC0198">
        <w:rPr>
          <w:rFonts w:eastAsia="Calibri"/>
          <w:b/>
          <w:bCs/>
          <w:szCs w:val="24"/>
          <w:lang w:bidi="he-IL"/>
        </w:rPr>
        <w:t xml:space="preserve"> </w:t>
      </w:r>
    </w:p>
    <w:tbl>
      <w:tblPr>
        <w:tblW w:w="5123" w:type="pct"/>
        <w:tblLook w:val="04A0" w:firstRow="1" w:lastRow="0" w:firstColumn="1" w:lastColumn="0" w:noHBand="0" w:noVBand="1"/>
      </w:tblPr>
      <w:tblGrid>
        <w:gridCol w:w="911"/>
        <w:gridCol w:w="3542"/>
        <w:gridCol w:w="1780"/>
        <w:gridCol w:w="1701"/>
        <w:gridCol w:w="1697"/>
        <w:gridCol w:w="235"/>
      </w:tblGrid>
      <w:tr w:rsidR="00D26788" w:rsidRPr="00D26788" w14:paraId="5E4634F2" w14:textId="77777777" w:rsidTr="00A548C7">
        <w:trPr>
          <w:gridAfter w:val="1"/>
          <w:wAfter w:w="119" w:type="pct"/>
          <w:trHeight w:val="315"/>
          <w:tblHeader/>
        </w:trPr>
        <w:tc>
          <w:tcPr>
            <w:tcW w:w="46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9090A2" w14:textId="77777777" w:rsidR="00D26788" w:rsidRPr="00DC0198" w:rsidRDefault="00D26788" w:rsidP="00D26788">
            <w:pPr>
              <w:jc w:val="center"/>
              <w:rPr>
                <w:bCs/>
                <w:color w:val="000000"/>
                <w:szCs w:val="24"/>
              </w:rPr>
            </w:pPr>
            <w:r w:rsidRPr="00DC0198">
              <w:rPr>
                <w:bCs/>
                <w:color w:val="000000"/>
                <w:szCs w:val="24"/>
              </w:rPr>
              <w:t>SVP kodas</w:t>
            </w:r>
          </w:p>
        </w:tc>
        <w:tc>
          <w:tcPr>
            <w:tcW w:w="179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94561" w14:textId="77777777" w:rsidR="00D26788" w:rsidRPr="00DC0198" w:rsidRDefault="00D26788" w:rsidP="00D26788">
            <w:pPr>
              <w:jc w:val="center"/>
              <w:rPr>
                <w:bCs/>
                <w:color w:val="000000"/>
                <w:szCs w:val="24"/>
              </w:rPr>
            </w:pPr>
            <w:r w:rsidRPr="00DC0198">
              <w:rPr>
                <w:bCs/>
                <w:color w:val="000000"/>
                <w:szCs w:val="24"/>
              </w:rPr>
              <w:t>Plano elemento pavadinimas</w:t>
            </w:r>
          </w:p>
        </w:tc>
        <w:tc>
          <w:tcPr>
            <w:tcW w:w="90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792B9" w14:textId="77777777" w:rsidR="00D26788" w:rsidRPr="00DC0198" w:rsidRDefault="00D26788" w:rsidP="00D26788">
            <w:pPr>
              <w:jc w:val="center"/>
              <w:rPr>
                <w:bCs/>
                <w:color w:val="000000"/>
                <w:szCs w:val="24"/>
              </w:rPr>
            </w:pPr>
            <w:r w:rsidRPr="00DC0198">
              <w:rPr>
                <w:bCs/>
                <w:color w:val="000000"/>
                <w:szCs w:val="24"/>
              </w:rPr>
              <w:t xml:space="preserve">SVP skirta </w:t>
            </w:r>
          </w:p>
          <w:p w14:paraId="2E84A00B" w14:textId="77777777" w:rsidR="00D26788" w:rsidRPr="00DC0198" w:rsidRDefault="00D26788" w:rsidP="00D26788">
            <w:pPr>
              <w:jc w:val="center"/>
              <w:rPr>
                <w:bCs/>
                <w:color w:val="000000"/>
                <w:szCs w:val="24"/>
              </w:rPr>
            </w:pPr>
            <w:r w:rsidRPr="00DC0198">
              <w:rPr>
                <w:bCs/>
                <w:color w:val="000000"/>
                <w:szCs w:val="24"/>
              </w:rPr>
              <w:t>2025 m.</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FCA1DC" w14:textId="77777777" w:rsidR="00D26788" w:rsidRPr="00DC0198" w:rsidRDefault="00D26788" w:rsidP="00D26788">
            <w:pPr>
              <w:jc w:val="center"/>
              <w:rPr>
                <w:bCs/>
                <w:color w:val="000000"/>
                <w:szCs w:val="24"/>
              </w:rPr>
            </w:pPr>
            <w:r w:rsidRPr="00DC0198">
              <w:rPr>
                <w:bCs/>
                <w:color w:val="000000"/>
                <w:szCs w:val="24"/>
              </w:rPr>
              <w:t>Patikslintas 2025 m. biudžetas</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DA42EC" w14:textId="77777777" w:rsidR="00D26788" w:rsidRPr="00DC0198" w:rsidRDefault="00D26788" w:rsidP="00D26788">
            <w:pPr>
              <w:jc w:val="center"/>
              <w:rPr>
                <w:bCs/>
                <w:color w:val="000000"/>
                <w:szCs w:val="24"/>
              </w:rPr>
            </w:pPr>
            <w:r w:rsidRPr="00DC0198">
              <w:rPr>
                <w:bCs/>
                <w:color w:val="000000"/>
                <w:szCs w:val="24"/>
              </w:rPr>
              <w:t>2025 m. vykdymas</w:t>
            </w:r>
          </w:p>
        </w:tc>
      </w:tr>
      <w:tr w:rsidR="00D26788" w:rsidRPr="00D26788" w14:paraId="488C5148" w14:textId="77777777" w:rsidTr="00E76F71">
        <w:trPr>
          <w:trHeight w:val="315"/>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66A0041" w14:textId="77777777" w:rsidR="00D26788" w:rsidRPr="00D26788" w:rsidRDefault="00D26788" w:rsidP="00D26788">
            <w:pPr>
              <w:rPr>
                <w:color w:val="000000"/>
                <w:szCs w:val="24"/>
              </w:rPr>
            </w:pPr>
          </w:p>
        </w:tc>
        <w:tc>
          <w:tcPr>
            <w:tcW w:w="1795" w:type="pct"/>
            <w:vMerge/>
            <w:tcBorders>
              <w:top w:val="single" w:sz="4" w:space="0" w:color="auto"/>
              <w:left w:val="single" w:sz="4" w:space="0" w:color="auto"/>
              <w:bottom w:val="single" w:sz="4" w:space="0" w:color="auto"/>
              <w:right w:val="single" w:sz="4" w:space="0" w:color="auto"/>
            </w:tcBorders>
            <w:vAlign w:val="center"/>
            <w:hideMark/>
          </w:tcPr>
          <w:p w14:paraId="6B989D5F" w14:textId="77777777" w:rsidR="00D26788" w:rsidRPr="00D26788" w:rsidRDefault="00D26788" w:rsidP="00D26788">
            <w:pPr>
              <w:rPr>
                <w:color w:val="000000"/>
                <w:szCs w:val="24"/>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14:paraId="58DA2498" w14:textId="77777777" w:rsidR="00D26788" w:rsidRPr="00D26788" w:rsidRDefault="00D26788" w:rsidP="00D26788">
            <w:pPr>
              <w:rPr>
                <w:color w:val="000000"/>
                <w:szCs w:val="24"/>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43BAC864" w14:textId="77777777" w:rsidR="00D26788" w:rsidRPr="00D26788" w:rsidRDefault="00D26788" w:rsidP="00D26788">
            <w:pPr>
              <w:rPr>
                <w:color w:val="000000"/>
                <w:szCs w:val="24"/>
              </w:rPr>
            </w:pPr>
          </w:p>
        </w:tc>
        <w:tc>
          <w:tcPr>
            <w:tcW w:w="860" w:type="pct"/>
            <w:vMerge/>
            <w:tcBorders>
              <w:top w:val="single" w:sz="4" w:space="0" w:color="auto"/>
              <w:left w:val="single" w:sz="4" w:space="0" w:color="auto"/>
              <w:bottom w:val="single" w:sz="4" w:space="0" w:color="auto"/>
              <w:right w:val="single" w:sz="4" w:space="0" w:color="auto"/>
            </w:tcBorders>
            <w:vAlign w:val="center"/>
            <w:hideMark/>
          </w:tcPr>
          <w:p w14:paraId="6FA670C1" w14:textId="77777777" w:rsidR="00D26788" w:rsidRPr="00D26788" w:rsidRDefault="00D26788" w:rsidP="00D26788">
            <w:pPr>
              <w:rPr>
                <w:color w:val="000000"/>
                <w:szCs w:val="24"/>
              </w:rPr>
            </w:pPr>
          </w:p>
        </w:tc>
        <w:tc>
          <w:tcPr>
            <w:tcW w:w="119" w:type="pct"/>
            <w:tcBorders>
              <w:top w:val="nil"/>
              <w:left w:val="nil"/>
              <w:bottom w:val="nil"/>
              <w:right w:val="nil"/>
            </w:tcBorders>
            <w:noWrap/>
            <w:vAlign w:val="bottom"/>
            <w:hideMark/>
          </w:tcPr>
          <w:p w14:paraId="5F408071" w14:textId="77777777" w:rsidR="00D26788" w:rsidRPr="00D26788" w:rsidRDefault="00D26788" w:rsidP="00D26788">
            <w:pPr>
              <w:jc w:val="center"/>
              <w:rPr>
                <w:color w:val="000000"/>
                <w:szCs w:val="24"/>
              </w:rPr>
            </w:pPr>
          </w:p>
        </w:tc>
      </w:tr>
      <w:tr w:rsidR="00D26788" w:rsidRPr="00D26788" w14:paraId="64CC2B7F" w14:textId="77777777" w:rsidTr="00E76F71">
        <w:trPr>
          <w:trHeight w:val="315"/>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A171604" w14:textId="77777777" w:rsidR="00D26788" w:rsidRPr="00D26788" w:rsidRDefault="00D26788" w:rsidP="00D26788">
            <w:pPr>
              <w:rPr>
                <w:color w:val="000000"/>
                <w:szCs w:val="24"/>
              </w:rPr>
            </w:pPr>
          </w:p>
        </w:tc>
        <w:tc>
          <w:tcPr>
            <w:tcW w:w="1795" w:type="pct"/>
            <w:vMerge/>
            <w:tcBorders>
              <w:top w:val="single" w:sz="4" w:space="0" w:color="auto"/>
              <w:left w:val="single" w:sz="4" w:space="0" w:color="auto"/>
              <w:bottom w:val="single" w:sz="4" w:space="0" w:color="auto"/>
              <w:right w:val="single" w:sz="4" w:space="0" w:color="auto"/>
            </w:tcBorders>
            <w:vAlign w:val="center"/>
            <w:hideMark/>
          </w:tcPr>
          <w:p w14:paraId="72B46FA4" w14:textId="77777777" w:rsidR="00D26788" w:rsidRPr="00D26788" w:rsidRDefault="00D26788" w:rsidP="00D26788">
            <w:pPr>
              <w:rPr>
                <w:color w:val="000000"/>
                <w:szCs w:val="24"/>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14:paraId="0F2BDEC4" w14:textId="77777777" w:rsidR="00D26788" w:rsidRPr="00D26788" w:rsidRDefault="00D26788" w:rsidP="00D26788">
            <w:pPr>
              <w:rPr>
                <w:color w:val="000000"/>
                <w:szCs w:val="24"/>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210DC62B" w14:textId="77777777" w:rsidR="00D26788" w:rsidRPr="00D26788" w:rsidRDefault="00D26788" w:rsidP="00D26788">
            <w:pPr>
              <w:rPr>
                <w:color w:val="000000"/>
                <w:szCs w:val="24"/>
              </w:rPr>
            </w:pPr>
          </w:p>
        </w:tc>
        <w:tc>
          <w:tcPr>
            <w:tcW w:w="860" w:type="pct"/>
            <w:vMerge/>
            <w:tcBorders>
              <w:top w:val="single" w:sz="4" w:space="0" w:color="auto"/>
              <w:left w:val="single" w:sz="4" w:space="0" w:color="auto"/>
              <w:bottom w:val="single" w:sz="4" w:space="0" w:color="auto"/>
              <w:right w:val="single" w:sz="4" w:space="0" w:color="auto"/>
            </w:tcBorders>
            <w:vAlign w:val="center"/>
            <w:hideMark/>
          </w:tcPr>
          <w:p w14:paraId="2878259B" w14:textId="77777777" w:rsidR="00D26788" w:rsidRPr="00D26788" w:rsidRDefault="00D26788" w:rsidP="00D26788">
            <w:pPr>
              <w:rPr>
                <w:color w:val="000000"/>
                <w:szCs w:val="24"/>
              </w:rPr>
            </w:pPr>
          </w:p>
        </w:tc>
        <w:tc>
          <w:tcPr>
            <w:tcW w:w="119" w:type="pct"/>
            <w:tcBorders>
              <w:top w:val="nil"/>
              <w:left w:val="nil"/>
              <w:bottom w:val="nil"/>
              <w:right w:val="nil"/>
            </w:tcBorders>
            <w:noWrap/>
            <w:vAlign w:val="bottom"/>
            <w:hideMark/>
          </w:tcPr>
          <w:p w14:paraId="244777D0" w14:textId="77777777" w:rsidR="00D26788" w:rsidRPr="00D26788" w:rsidRDefault="00D26788" w:rsidP="00D26788">
            <w:pPr>
              <w:rPr>
                <w:rFonts w:ascii="Times New Roman" w:hAnsi="Times New Roman" w:cs="Times New Roman"/>
                <w:sz w:val="20"/>
              </w:rPr>
            </w:pPr>
          </w:p>
        </w:tc>
      </w:tr>
      <w:tr w:rsidR="00D26788" w:rsidRPr="00D26788" w14:paraId="0AFBC950" w14:textId="77777777" w:rsidTr="00A548C7">
        <w:trPr>
          <w:cantSplit/>
          <w:trHeight w:val="945"/>
        </w:trPr>
        <w:tc>
          <w:tcPr>
            <w:tcW w:w="462" w:type="pct"/>
            <w:tcBorders>
              <w:top w:val="nil"/>
              <w:left w:val="single" w:sz="4" w:space="0" w:color="auto"/>
              <w:bottom w:val="single" w:sz="4" w:space="0" w:color="auto"/>
              <w:right w:val="single" w:sz="4" w:space="0" w:color="auto"/>
            </w:tcBorders>
            <w:hideMark/>
          </w:tcPr>
          <w:p w14:paraId="07AD852D" w14:textId="77777777" w:rsidR="00D26788" w:rsidRPr="00D26788" w:rsidRDefault="00D26788" w:rsidP="00D26788">
            <w:pPr>
              <w:rPr>
                <w:b/>
                <w:bCs/>
                <w:color w:val="000000"/>
                <w:szCs w:val="24"/>
              </w:rPr>
            </w:pPr>
            <w:r w:rsidRPr="00D26788">
              <w:rPr>
                <w:b/>
                <w:bCs/>
                <w:color w:val="000000"/>
                <w:szCs w:val="24"/>
              </w:rPr>
              <w:t>1</w:t>
            </w:r>
          </w:p>
        </w:tc>
        <w:tc>
          <w:tcPr>
            <w:tcW w:w="1795" w:type="pct"/>
            <w:tcBorders>
              <w:top w:val="nil"/>
              <w:left w:val="nil"/>
              <w:bottom w:val="single" w:sz="4" w:space="0" w:color="auto"/>
              <w:right w:val="single" w:sz="4" w:space="0" w:color="auto"/>
            </w:tcBorders>
            <w:hideMark/>
          </w:tcPr>
          <w:p w14:paraId="26DAC140" w14:textId="77777777" w:rsidR="00D26788" w:rsidRPr="00D26788" w:rsidRDefault="00D26788" w:rsidP="00D26788">
            <w:pPr>
              <w:rPr>
                <w:b/>
                <w:bCs/>
                <w:color w:val="000000"/>
                <w:szCs w:val="24"/>
              </w:rPr>
            </w:pPr>
            <w:r w:rsidRPr="00D26788">
              <w:rPr>
                <w:b/>
                <w:bCs/>
                <w:color w:val="000000"/>
                <w:szCs w:val="24"/>
              </w:rPr>
              <w:t>Atvirumo ir bendradarbiavimo, plėtojant miesto ekonomiką, kultūrą ir turizmą, programa</w:t>
            </w:r>
          </w:p>
        </w:tc>
        <w:tc>
          <w:tcPr>
            <w:tcW w:w="902" w:type="pct"/>
            <w:tcBorders>
              <w:top w:val="nil"/>
              <w:left w:val="nil"/>
              <w:bottom w:val="single" w:sz="4" w:space="0" w:color="auto"/>
              <w:right w:val="single" w:sz="4" w:space="0" w:color="auto"/>
            </w:tcBorders>
            <w:hideMark/>
          </w:tcPr>
          <w:p w14:paraId="31348D0B" w14:textId="77777777" w:rsidR="00D26788" w:rsidRPr="00D26788" w:rsidRDefault="00D26788" w:rsidP="00D26788">
            <w:pPr>
              <w:jc w:val="right"/>
              <w:rPr>
                <w:b/>
                <w:bCs/>
                <w:color w:val="000000"/>
                <w:szCs w:val="24"/>
              </w:rPr>
            </w:pPr>
            <w:r w:rsidRPr="00D26788">
              <w:rPr>
                <w:b/>
                <w:bCs/>
                <w:color w:val="000000"/>
                <w:szCs w:val="24"/>
              </w:rPr>
              <w:t>28 960,9</w:t>
            </w:r>
          </w:p>
        </w:tc>
        <w:tc>
          <w:tcPr>
            <w:tcW w:w="862" w:type="pct"/>
            <w:tcBorders>
              <w:top w:val="nil"/>
              <w:left w:val="nil"/>
              <w:bottom w:val="single" w:sz="4" w:space="0" w:color="auto"/>
              <w:right w:val="single" w:sz="4" w:space="0" w:color="auto"/>
            </w:tcBorders>
            <w:hideMark/>
          </w:tcPr>
          <w:p w14:paraId="48139BD6" w14:textId="77777777" w:rsidR="00D26788" w:rsidRPr="00D26788" w:rsidRDefault="00D26788" w:rsidP="00D26788">
            <w:pPr>
              <w:jc w:val="right"/>
              <w:rPr>
                <w:b/>
                <w:bCs/>
                <w:color w:val="000000"/>
                <w:szCs w:val="24"/>
              </w:rPr>
            </w:pPr>
            <w:r w:rsidRPr="00D26788">
              <w:rPr>
                <w:b/>
                <w:bCs/>
                <w:color w:val="000000"/>
                <w:szCs w:val="24"/>
              </w:rPr>
              <w:t>29 393,7</w:t>
            </w:r>
          </w:p>
        </w:tc>
        <w:tc>
          <w:tcPr>
            <w:tcW w:w="860" w:type="pct"/>
            <w:tcBorders>
              <w:top w:val="nil"/>
              <w:left w:val="nil"/>
              <w:bottom w:val="single" w:sz="4" w:space="0" w:color="auto"/>
              <w:right w:val="single" w:sz="4" w:space="0" w:color="auto"/>
            </w:tcBorders>
            <w:hideMark/>
          </w:tcPr>
          <w:p w14:paraId="334E4D77" w14:textId="77777777" w:rsidR="00D26788" w:rsidRPr="00D26788" w:rsidRDefault="00D26788" w:rsidP="00D26788">
            <w:pPr>
              <w:jc w:val="right"/>
              <w:rPr>
                <w:b/>
                <w:bCs/>
                <w:color w:val="000000"/>
                <w:szCs w:val="24"/>
              </w:rPr>
            </w:pPr>
            <w:r w:rsidRPr="00D26788">
              <w:rPr>
                <w:b/>
                <w:bCs/>
                <w:color w:val="000000"/>
                <w:szCs w:val="24"/>
              </w:rPr>
              <w:t>19 672,9</w:t>
            </w:r>
          </w:p>
        </w:tc>
        <w:tc>
          <w:tcPr>
            <w:tcW w:w="119" w:type="pct"/>
            <w:vAlign w:val="center"/>
            <w:hideMark/>
          </w:tcPr>
          <w:p w14:paraId="5DFE9736" w14:textId="77777777" w:rsidR="00D26788" w:rsidRPr="00D26788" w:rsidRDefault="00D26788" w:rsidP="00D26788">
            <w:pPr>
              <w:rPr>
                <w:rFonts w:ascii="Times New Roman" w:hAnsi="Times New Roman" w:cs="Times New Roman"/>
                <w:sz w:val="20"/>
              </w:rPr>
            </w:pPr>
          </w:p>
        </w:tc>
      </w:tr>
      <w:tr w:rsidR="00D26788" w:rsidRPr="00D26788" w14:paraId="223E869B"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7866BB9B" w14:textId="77777777" w:rsidR="00D26788" w:rsidRPr="00D26788" w:rsidRDefault="00D26788" w:rsidP="00D26788">
            <w:pPr>
              <w:rPr>
                <w:color w:val="000000"/>
                <w:szCs w:val="24"/>
              </w:rPr>
            </w:pPr>
            <w:r w:rsidRPr="00D26788">
              <w:rPr>
                <w:color w:val="000000"/>
                <w:szCs w:val="24"/>
              </w:rPr>
              <w:t>1.1</w:t>
            </w:r>
          </w:p>
        </w:tc>
        <w:tc>
          <w:tcPr>
            <w:tcW w:w="1795" w:type="pct"/>
            <w:tcBorders>
              <w:top w:val="nil"/>
              <w:left w:val="nil"/>
              <w:bottom w:val="single" w:sz="4" w:space="0" w:color="auto"/>
              <w:right w:val="single" w:sz="4" w:space="0" w:color="auto"/>
            </w:tcBorders>
            <w:hideMark/>
          </w:tcPr>
          <w:p w14:paraId="18381655" w14:textId="77777777" w:rsidR="00D26788" w:rsidRPr="00D26788" w:rsidRDefault="00D26788" w:rsidP="00D26788">
            <w:pPr>
              <w:rPr>
                <w:color w:val="000000"/>
                <w:szCs w:val="24"/>
              </w:rPr>
            </w:pPr>
            <w:r w:rsidRPr="00D26788">
              <w:rPr>
                <w:color w:val="000000"/>
                <w:szCs w:val="24"/>
              </w:rPr>
              <w:t>Modernus ir aukštą pridėtinę vertę kuriantis technologijų miestas</w:t>
            </w:r>
          </w:p>
        </w:tc>
        <w:tc>
          <w:tcPr>
            <w:tcW w:w="902" w:type="pct"/>
            <w:tcBorders>
              <w:top w:val="nil"/>
              <w:left w:val="nil"/>
              <w:bottom w:val="single" w:sz="4" w:space="0" w:color="auto"/>
              <w:right w:val="single" w:sz="4" w:space="0" w:color="auto"/>
            </w:tcBorders>
            <w:hideMark/>
          </w:tcPr>
          <w:p w14:paraId="3ABD7972" w14:textId="77777777" w:rsidR="00D26788" w:rsidRPr="00D26788" w:rsidRDefault="00D26788" w:rsidP="00D26788">
            <w:pPr>
              <w:jc w:val="right"/>
              <w:rPr>
                <w:color w:val="000000"/>
                <w:szCs w:val="24"/>
              </w:rPr>
            </w:pPr>
            <w:r w:rsidRPr="00D26788">
              <w:rPr>
                <w:color w:val="000000"/>
                <w:szCs w:val="24"/>
              </w:rPr>
              <w:t>3 916,7</w:t>
            </w:r>
          </w:p>
        </w:tc>
        <w:tc>
          <w:tcPr>
            <w:tcW w:w="862" w:type="pct"/>
            <w:tcBorders>
              <w:top w:val="nil"/>
              <w:left w:val="nil"/>
              <w:bottom w:val="single" w:sz="4" w:space="0" w:color="auto"/>
              <w:right w:val="single" w:sz="4" w:space="0" w:color="auto"/>
            </w:tcBorders>
            <w:hideMark/>
          </w:tcPr>
          <w:p w14:paraId="11E8D798" w14:textId="77777777" w:rsidR="00D26788" w:rsidRPr="00D26788" w:rsidRDefault="00D26788" w:rsidP="00D26788">
            <w:pPr>
              <w:jc w:val="right"/>
              <w:rPr>
                <w:color w:val="000000"/>
                <w:szCs w:val="24"/>
              </w:rPr>
            </w:pPr>
            <w:r w:rsidRPr="00D26788">
              <w:rPr>
                <w:color w:val="000000"/>
                <w:szCs w:val="24"/>
              </w:rPr>
              <w:t>3 844,7</w:t>
            </w:r>
          </w:p>
        </w:tc>
        <w:tc>
          <w:tcPr>
            <w:tcW w:w="860" w:type="pct"/>
            <w:tcBorders>
              <w:top w:val="nil"/>
              <w:left w:val="nil"/>
              <w:bottom w:val="single" w:sz="4" w:space="0" w:color="auto"/>
              <w:right w:val="single" w:sz="4" w:space="0" w:color="auto"/>
            </w:tcBorders>
            <w:hideMark/>
          </w:tcPr>
          <w:p w14:paraId="2CA39925" w14:textId="77777777" w:rsidR="00D26788" w:rsidRPr="00D26788" w:rsidRDefault="00D26788" w:rsidP="00D26788">
            <w:pPr>
              <w:jc w:val="right"/>
              <w:rPr>
                <w:color w:val="000000"/>
                <w:szCs w:val="24"/>
              </w:rPr>
            </w:pPr>
            <w:r w:rsidRPr="00D26788">
              <w:rPr>
                <w:color w:val="000000"/>
                <w:szCs w:val="24"/>
              </w:rPr>
              <w:t>1 535,1</w:t>
            </w:r>
          </w:p>
        </w:tc>
        <w:tc>
          <w:tcPr>
            <w:tcW w:w="119" w:type="pct"/>
            <w:vAlign w:val="center"/>
            <w:hideMark/>
          </w:tcPr>
          <w:p w14:paraId="1B36D964" w14:textId="77777777" w:rsidR="00D26788" w:rsidRPr="00D26788" w:rsidRDefault="00D26788" w:rsidP="00D26788">
            <w:pPr>
              <w:rPr>
                <w:rFonts w:ascii="Times New Roman" w:hAnsi="Times New Roman" w:cs="Times New Roman"/>
                <w:sz w:val="20"/>
              </w:rPr>
            </w:pPr>
          </w:p>
        </w:tc>
      </w:tr>
      <w:tr w:rsidR="00D26788" w:rsidRPr="00D26788" w14:paraId="6284DA75"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53BEA167" w14:textId="77777777" w:rsidR="00D26788" w:rsidRPr="00D26788" w:rsidRDefault="00D26788" w:rsidP="00D26788">
            <w:pPr>
              <w:rPr>
                <w:color w:val="000000"/>
                <w:szCs w:val="24"/>
              </w:rPr>
            </w:pPr>
            <w:r w:rsidRPr="00D26788">
              <w:rPr>
                <w:color w:val="000000"/>
                <w:szCs w:val="24"/>
              </w:rPr>
              <w:t>1.1.1</w:t>
            </w:r>
          </w:p>
        </w:tc>
        <w:tc>
          <w:tcPr>
            <w:tcW w:w="1795" w:type="pct"/>
            <w:tcBorders>
              <w:top w:val="nil"/>
              <w:left w:val="nil"/>
              <w:bottom w:val="single" w:sz="4" w:space="0" w:color="auto"/>
              <w:right w:val="single" w:sz="4" w:space="0" w:color="auto"/>
            </w:tcBorders>
            <w:hideMark/>
          </w:tcPr>
          <w:p w14:paraId="5342D5FE" w14:textId="77777777" w:rsidR="00D26788" w:rsidRPr="00D26788" w:rsidRDefault="00D26788" w:rsidP="00D26788">
            <w:pPr>
              <w:rPr>
                <w:color w:val="000000"/>
                <w:szCs w:val="24"/>
              </w:rPr>
            </w:pPr>
            <w:r w:rsidRPr="00D26788">
              <w:rPr>
                <w:color w:val="000000"/>
                <w:szCs w:val="24"/>
              </w:rPr>
              <w:t>Stiprinti kryptingą ekonominę specializaciją, pritraukiant tiesiogines užsienio ir vietos investicijas</w:t>
            </w:r>
          </w:p>
        </w:tc>
        <w:tc>
          <w:tcPr>
            <w:tcW w:w="902" w:type="pct"/>
            <w:tcBorders>
              <w:top w:val="nil"/>
              <w:left w:val="nil"/>
              <w:bottom w:val="single" w:sz="4" w:space="0" w:color="auto"/>
              <w:right w:val="single" w:sz="4" w:space="0" w:color="auto"/>
            </w:tcBorders>
            <w:hideMark/>
          </w:tcPr>
          <w:p w14:paraId="4618487D" w14:textId="77777777" w:rsidR="00D26788" w:rsidRPr="00D26788" w:rsidRDefault="00D26788" w:rsidP="00D26788">
            <w:pPr>
              <w:jc w:val="right"/>
              <w:rPr>
                <w:color w:val="000000"/>
                <w:szCs w:val="24"/>
              </w:rPr>
            </w:pPr>
            <w:r w:rsidRPr="00D26788">
              <w:rPr>
                <w:color w:val="000000"/>
                <w:szCs w:val="24"/>
              </w:rPr>
              <w:t>1 333,8</w:t>
            </w:r>
          </w:p>
        </w:tc>
        <w:tc>
          <w:tcPr>
            <w:tcW w:w="862" w:type="pct"/>
            <w:tcBorders>
              <w:top w:val="nil"/>
              <w:left w:val="nil"/>
              <w:bottom w:val="single" w:sz="4" w:space="0" w:color="auto"/>
              <w:right w:val="single" w:sz="4" w:space="0" w:color="auto"/>
            </w:tcBorders>
            <w:hideMark/>
          </w:tcPr>
          <w:p w14:paraId="2CA1CDBC" w14:textId="77777777" w:rsidR="00D26788" w:rsidRPr="00D26788" w:rsidRDefault="00D26788" w:rsidP="00D26788">
            <w:pPr>
              <w:jc w:val="right"/>
              <w:rPr>
                <w:color w:val="000000"/>
                <w:szCs w:val="24"/>
              </w:rPr>
            </w:pPr>
            <w:r w:rsidRPr="00D26788">
              <w:rPr>
                <w:color w:val="000000"/>
                <w:szCs w:val="24"/>
              </w:rPr>
              <w:t>1 379,1</w:t>
            </w:r>
          </w:p>
        </w:tc>
        <w:tc>
          <w:tcPr>
            <w:tcW w:w="860" w:type="pct"/>
            <w:tcBorders>
              <w:top w:val="nil"/>
              <w:left w:val="nil"/>
              <w:bottom w:val="single" w:sz="4" w:space="0" w:color="auto"/>
              <w:right w:val="single" w:sz="4" w:space="0" w:color="auto"/>
            </w:tcBorders>
            <w:hideMark/>
          </w:tcPr>
          <w:p w14:paraId="565E7578" w14:textId="77777777" w:rsidR="00D26788" w:rsidRPr="00D26788" w:rsidRDefault="00D26788" w:rsidP="00D26788">
            <w:pPr>
              <w:jc w:val="right"/>
              <w:rPr>
                <w:color w:val="000000"/>
                <w:szCs w:val="24"/>
              </w:rPr>
            </w:pPr>
            <w:r w:rsidRPr="00D26788">
              <w:rPr>
                <w:color w:val="000000"/>
                <w:szCs w:val="24"/>
              </w:rPr>
              <w:t>1 279,9</w:t>
            </w:r>
          </w:p>
        </w:tc>
        <w:tc>
          <w:tcPr>
            <w:tcW w:w="119" w:type="pct"/>
            <w:vAlign w:val="center"/>
            <w:hideMark/>
          </w:tcPr>
          <w:p w14:paraId="00CD6413" w14:textId="77777777" w:rsidR="00D26788" w:rsidRPr="00D26788" w:rsidRDefault="00D26788" w:rsidP="00D26788">
            <w:pPr>
              <w:rPr>
                <w:rFonts w:ascii="Times New Roman" w:hAnsi="Times New Roman" w:cs="Times New Roman"/>
                <w:sz w:val="20"/>
              </w:rPr>
            </w:pPr>
          </w:p>
        </w:tc>
      </w:tr>
      <w:tr w:rsidR="00D26788" w:rsidRPr="00D26788" w14:paraId="44DC2433"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1DBDA521" w14:textId="77777777" w:rsidR="00D26788" w:rsidRPr="00D26788" w:rsidRDefault="00D26788" w:rsidP="00D26788">
            <w:pPr>
              <w:rPr>
                <w:color w:val="000000"/>
                <w:szCs w:val="24"/>
              </w:rPr>
            </w:pPr>
            <w:r w:rsidRPr="00D26788">
              <w:rPr>
                <w:color w:val="000000"/>
                <w:szCs w:val="24"/>
              </w:rPr>
              <w:t>1.1.2</w:t>
            </w:r>
          </w:p>
        </w:tc>
        <w:tc>
          <w:tcPr>
            <w:tcW w:w="1795" w:type="pct"/>
            <w:tcBorders>
              <w:top w:val="nil"/>
              <w:left w:val="nil"/>
              <w:bottom w:val="single" w:sz="4" w:space="0" w:color="auto"/>
              <w:right w:val="single" w:sz="4" w:space="0" w:color="auto"/>
            </w:tcBorders>
            <w:hideMark/>
          </w:tcPr>
          <w:p w14:paraId="0F74B424" w14:textId="77777777" w:rsidR="00D26788" w:rsidRPr="00D26788" w:rsidRDefault="00D26788" w:rsidP="00D26788">
            <w:pPr>
              <w:rPr>
                <w:color w:val="000000"/>
                <w:szCs w:val="24"/>
              </w:rPr>
            </w:pPr>
            <w:r w:rsidRPr="00D26788">
              <w:rPr>
                <w:color w:val="000000"/>
                <w:szCs w:val="24"/>
              </w:rPr>
              <w:t>Įgalinti inovacijomis grįsto verslo plėtrą</w:t>
            </w:r>
          </w:p>
        </w:tc>
        <w:tc>
          <w:tcPr>
            <w:tcW w:w="902" w:type="pct"/>
            <w:tcBorders>
              <w:top w:val="nil"/>
              <w:left w:val="nil"/>
              <w:bottom w:val="single" w:sz="4" w:space="0" w:color="auto"/>
              <w:right w:val="single" w:sz="4" w:space="0" w:color="auto"/>
            </w:tcBorders>
            <w:hideMark/>
          </w:tcPr>
          <w:p w14:paraId="0B2F71B1" w14:textId="77777777" w:rsidR="00D26788" w:rsidRPr="00D26788" w:rsidRDefault="00D26788" w:rsidP="00D26788">
            <w:pPr>
              <w:jc w:val="right"/>
              <w:rPr>
                <w:color w:val="000000"/>
                <w:szCs w:val="24"/>
              </w:rPr>
            </w:pPr>
            <w:r w:rsidRPr="00D26788">
              <w:rPr>
                <w:color w:val="000000"/>
                <w:szCs w:val="24"/>
              </w:rPr>
              <w:t>393,1</w:t>
            </w:r>
          </w:p>
        </w:tc>
        <w:tc>
          <w:tcPr>
            <w:tcW w:w="862" w:type="pct"/>
            <w:tcBorders>
              <w:top w:val="nil"/>
              <w:left w:val="nil"/>
              <w:bottom w:val="single" w:sz="4" w:space="0" w:color="auto"/>
              <w:right w:val="single" w:sz="4" w:space="0" w:color="auto"/>
            </w:tcBorders>
            <w:hideMark/>
          </w:tcPr>
          <w:p w14:paraId="36295803" w14:textId="77777777" w:rsidR="00D26788" w:rsidRPr="00D26788" w:rsidRDefault="00D26788" w:rsidP="00D26788">
            <w:pPr>
              <w:jc w:val="right"/>
              <w:rPr>
                <w:color w:val="000000"/>
                <w:szCs w:val="24"/>
              </w:rPr>
            </w:pPr>
            <w:r w:rsidRPr="00D26788">
              <w:rPr>
                <w:color w:val="000000"/>
                <w:szCs w:val="24"/>
              </w:rPr>
              <w:t>275,8</w:t>
            </w:r>
          </w:p>
        </w:tc>
        <w:tc>
          <w:tcPr>
            <w:tcW w:w="860" w:type="pct"/>
            <w:tcBorders>
              <w:top w:val="nil"/>
              <w:left w:val="nil"/>
              <w:bottom w:val="single" w:sz="4" w:space="0" w:color="auto"/>
              <w:right w:val="single" w:sz="4" w:space="0" w:color="auto"/>
            </w:tcBorders>
            <w:hideMark/>
          </w:tcPr>
          <w:p w14:paraId="6B223438" w14:textId="77777777" w:rsidR="00D26788" w:rsidRPr="00D26788" w:rsidRDefault="00D26788" w:rsidP="00D26788">
            <w:pPr>
              <w:jc w:val="right"/>
              <w:rPr>
                <w:color w:val="000000"/>
                <w:szCs w:val="24"/>
              </w:rPr>
            </w:pPr>
            <w:r w:rsidRPr="00D26788">
              <w:rPr>
                <w:color w:val="000000"/>
                <w:szCs w:val="24"/>
              </w:rPr>
              <w:t>125,6</w:t>
            </w:r>
          </w:p>
        </w:tc>
        <w:tc>
          <w:tcPr>
            <w:tcW w:w="119" w:type="pct"/>
            <w:vAlign w:val="center"/>
            <w:hideMark/>
          </w:tcPr>
          <w:p w14:paraId="1A3A2CFA" w14:textId="77777777" w:rsidR="00D26788" w:rsidRPr="00D26788" w:rsidRDefault="00D26788" w:rsidP="00D26788">
            <w:pPr>
              <w:rPr>
                <w:rFonts w:ascii="Times New Roman" w:hAnsi="Times New Roman" w:cs="Times New Roman"/>
                <w:sz w:val="20"/>
              </w:rPr>
            </w:pPr>
          </w:p>
        </w:tc>
      </w:tr>
      <w:tr w:rsidR="00D26788" w:rsidRPr="00D26788" w14:paraId="7A6045AE"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4C6586E7" w14:textId="77777777" w:rsidR="00D26788" w:rsidRPr="00D26788" w:rsidRDefault="00D26788" w:rsidP="00D26788">
            <w:pPr>
              <w:rPr>
                <w:color w:val="000000"/>
                <w:szCs w:val="24"/>
              </w:rPr>
            </w:pPr>
            <w:r w:rsidRPr="00D26788">
              <w:rPr>
                <w:color w:val="000000"/>
                <w:szCs w:val="24"/>
              </w:rPr>
              <w:t>1.1.3</w:t>
            </w:r>
          </w:p>
        </w:tc>
        <w:tc>
          <w:tcPr>
            <w:tcW w:w="1795" w:type="pct"/>
            <w:tcBorders>
              <w:top w:val="nil"/>
              <w:left w:val="nil"/>
              <w:bottom w:val="single" w:sz="4" w:space="0" w:color="auto"/>
              <w:right w:val="single" w:sz="4" w:space="0" w:color="auto"/>
            </w:tcBorders>
            <w:hideMark/>
          </w:tcPr>
          <w:p w14:paraId="6DF5259B" w14:textId="77777777" w:rsidR="00D26788" w:rsidRPr="00D26788" w:rsidRDefault="00D26788" w:rsidP="00D26788">
            <w:pPr>
              <w:rPr>
                <w:color w:val="000000"/>
                <w:szCs w:val="24"/>
              </w:rPr>
            </w:pPr>
            <w:r w:rsidRPr="00D26788">
              <w:rPr>
                <w:color w:val="000000"/>
                <w:szCs w:val="24"/>
              </w:rPr>
              <w:t>Didinti miesto patrauklumą naujiems ir augantiems verslams</w:t>
            </w:r>
          </w:p>
        </w:tc>
        <w:tc>
          <w:tcPr>
            <w:tcW w:w="902" w:type="pct"/>
            <w:tcBorders>
              <w:top w:val="nil"/>
              <w:left w:val="nil"/>
              <w:bottom w:val="single" w:sz="4" w:space="0" w:color="auto"/>
              <w:right w:val="single" w:sz="4" w:space="0" w:color="auto"/>
            </w:tcBorders>
            <w:hideMark/>
          </w:tcPr>
          <w:p w14:paraId="70B09568" w14:textId="77777777" w:rsidR="00D26788" w:rsidRPr="00D26788" w:rsidRDefault="00D26788" w:rsidP="00D26788">
            <w:pPr>
              <w:jc w:val="right"/>
              <w:rPr>
                <w:color w:val="000000"/>
                <w:szCs w:val="24"/>
              </w:rPr>
            </w:pPr>
            <w:r w:rsidRPr="00D26788">
              <w:rPr>
                <w:color w:val="000000"/>
                <w:szCs w:val="24"/>
              </w:rPr>
              <w:t>2 189,9</w:t>
            </w:r>
          </w:p>
        </w:tc>
        <w:tc>
          <w:tcPr>
            <w:tcW w:w="862" w:type="pct"/>
            <w:tcBorders>
              <w:top w:val="nil"/>
              <w:left w:val="nil"/>
              <w:bottom w:val="single" w:sz="4" w:space="0" w:color="auto"/>
              <w:right w:val="single" w:sz="4" w:space="0" w:color="auto"/>
            </w:tcBorders>
            <w:hideMark/>
          </w:tcPr>
          <w:p w14:paraId="4160986A" w14:textId="77777777" w:rsidR="00D26788" w:rsidRPr="00D26788" w:rsidRDefault="00D26788" w:rsidP="00D26788">
            <w:pPr>
              <w:jc w:val="right"/>
              <w:rPr>
                <w:color w:val="000000"/>
                <w:szCs w:val="24"/>
              </w:rPr>
            </w:pPr>
            <w:r w:rsidRPr="00D26788">
              <w:rPr>
                <w:color w:val="000000"/>
                <w:szCs w:val="24"/>
              </w:rPr>
              <w:t>2 189,9</w:t>
            </w:r>
          </w:p>
        </w:tc>
        <w:tc>
          <w:tcPr>
            <w:tcW w:w="860" w:type="pct"/>
            <w:tcBorders>
              <w:top w:val="nil"/>
              <w:left w:val="nil"/>
              <w:bottom w:val="single" w:sz="4" w:space="0" w:color="auto"/>
              <w:right w:val="single" w:sz="4" w:space="0" w:color="auto"/>
            </w:tcBorders>
            <w:hideMark/>
          </w:tcPr>
          <w:p w14:paraId="31C3E80F" w14:textId="77777777" w:rsidR="00D26788" w:rsidRPr="00D26788" w:rsidRDefault="00D26788" w:rsidP="00D26788">
            <w:pPr>
              <w:jc w:val="right"/>
              <w:rPr>
                <w:color w:val="000000"/>
                <w:szCs w:val="24"/>
              </w:rPr>
            </w:pPr>
            <w:r w:rsidRPr="00D26788">
              <w:rPr>
                <w:color w:val="000000"/>
                <w:szCs w:val="24"/>
              </w:rPr>
              <w:t>129,6</w:t>
            </w:r>
          </w:p>
        </w:tc>
        <w:tc>
          <w:tcPr>
            <w:tcW w:w="119" w:type="pct"/>
            <w:vAlign w:val="center"/>
            <w:hideMark/>
          </w:tcPr>
          <w:p w14:paraId="43AA6137" w14:textId="77777777" w:rsidR="00D26788" w:rsidRPr="00D26788" w:rsidRDefault="00D26788" w:rsidP="00D26788">
            <w:pPr>
              <w:rPr>
                <w:rFonts w:ascii="Times New Roman" w:hAnsi="Times New Roman" w:cs="Times New Roman"/>
                <w:sz w:val="20"/>
              </w:rPr>
            </w:pPr>
          </w:p>
        </w:tc>
      </w:tr>
      <w:tr w:rsidR="00D26788" w:rsidRPr="00D26788" w14:paraId="6EA57E2A"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5A5E2815" w14:textId="77777777" w:rsidR="00D26788" w:rsidRPr="00D26788" w:rsidRDefault="00D26788" w:rsidP="00D26788">
            <w:pPr>
              <w:rPr>
                <w:color w:val="000000"/>
                <w:szCs w:val="24"/>
              </w:rPr>
            </w:pPr>
            <w:r w:rsidRPr="00D26788">
              <w:rPr>
                <w:color w:val="000000"/>
                <w:szCs w:val="24"/>
              </w:rPr>
              <w:t>1.1.4</w:t>
            </w:r>
          </w:p>
        </w:tc>
        <w:tc>
          <w:tcPr>
            <w:tcW w:w="1795" w:type="pct"/>
            <w:tcBorders>
              <w:top w:val="nil"/>
              <w:left w:val="nil"/>
              <w:bottom w:val="single" w:sz="4" w:space="0" w:color="auto"/>
              <w:right w:val="single" w:sz="4" w:space="0" w:color="auto"/>
            </w:tcBorders>
            <w:hideMark/>
          </w:tcPr>
          <w:p w14:paraId="6934A1D7" w14:textId="77777777" w:rsidR="00D26788" w:rsidRPr="00D26788" w:rsidRDefault="00D26788" w:rsidP="00D26788">
            <w:pPr>
              <w:rPr>
                <w:color w:val="000000"/>
                <w:szCs w:val="24"/>
              </w:rPr>
            </w:pPr>
            <w:r w:rsidRPr="00D26788">
              <w:rPr>
                <w:color w:val="000000"/>
                <w:szCs w:val="24"/>
              </w:rPr>
              <w:t>Stiprinti miesto išorinį keleivių ir krovinių susisiekimą</w:t>
            </w:r>
          </w:p>
        </w:tc>
        <w:tc>
          <w:tcPr>
            <w:tcW w:w="902" w:type="pct"/>
            <w:tcBorders>
              <w:top w:val="nil"/>
              <w:left w:val="nil"/>
              <w:bottom w:val="single" w:sz="4" w:space="0" w:color="auto"/>
              <w:right w:val="single" w:sz="4" w:space="0" w:color="auto"/>
            </w:tcBorders>
            <w:hideMark/>
          </w:tcPr>
          <w:p w14:paraId="2331AABF" w14:textId="77777777" w:rsidR="00D26788" w:rsidRPr="00D26788" w:rsidRDefault="00D26788" w:rsidP="00D26788">
            <w:pPr>
              <w:jc w:val="right"/>
              <w:rPr>
                <w:color w:val="000000"/>
                <w:szCs w:val="24"/>
              </w:rPr>
            </w:pPr>
            <w:r w:rsidRPr="00D26788">
              <w:rPr>
                <w:color w:val="000000"/>
                <w:szCs w:val="24"/>
              </w:rPr>
              <w:t>0,0</w:t>
            </w:r>
          </w:p>
        </w:tc>
        <w:tc>
          <w:tcPr>
            <w:tcW w:w="862" w:type="pct"/>
            <w:tcBorders>
              <w:top w:val="nil"/>
              <w:left w:val="nil"/>
              <w:bottom w:val="single" w:sz="4" w:space="0" w:color="auto"/>
              <w:right w:val="single" w:sz="4" w:space="0" w:color="auto"/>
            </w:tcBorders>
            <w:hideMark/>
          </w:tcPr>
          <w:p w14:paraId="43701B9B" w14:textId="77777777" w:rsidR="00D26788" w:rsidRPr="00D26788" w:rsidRDefault="00D26788" w:rsidP="00D26788">
            <w:pPr>
              <w:jc w:val="right"/>
              <w:rPr>
                <w:color w:val="000000"/>
                <w:szCs w:val="24"/>
              </w:rPr>
            </w:pPr>
            <w:r w:rsidRPr="00D26788">
              <w:rPr>
                <w:color w:val="000000"/>
                <w:szCs w:val="24"/>
              </w:rPr>
              <w:t>0,0</w:t>
            </w:r>
          </w:p>
        </w:tc>
        <w:tc>
          <w:tcPr>
            <w:tcW w:w="860" w:type="pct"/>
            <w:tcBorders>
              <w:top w:val="nil"/>
              <w:left w:val="nil"/>
              <w:bottom w:val="single" w:sz="4" w:space="0" w:color="auto"/>
              <w:right w:val="single" w:sz="4" w:space="0" w:color="auto"/>
            </w:tcBorders>
            <w:hideMark/>
          </w:tcPr>
          <w:p w14:paraId="3EDFE851" w14:textId="77777777" w:rsidR="00D26788" w:rsidRPr="00D26788" w:rsidRDefault="00D26788" w:rsidP="00D26788">
            <w:pPr>
              <w:jc w:val="right"/>
              <w:rPr>
                <w:color w:val="000000"/>
                <w:szCs w:val="24"/>
              </w:rPr>
            </w:pPr>
            <w:r w:rsidRPr="00D26788">
              <w:rPr>
                <w:color w:val="000000"/>
                <w:szCs w:val="24"/>
              </w:rPr>
              <w:t>0,0</w:t>
            </w:r>
          </w:p>
        </w:tc>
        <w:tc>
          <w:tcPr>
            <w:tcW w:w="119" w:type="pct"/>
            <w:vAlign w:val="center"/>
            <w:hideMark/>
          </w:tcPr>
          <w:p w14:paraId="2EE0518E" w14:textId="77777777" w:rsidR="00D26788" w:rsidRPr="00D26788" w:rsidRDefault="00D26788" w:rsidP="00D26788">
            <w:pPr>
              <w:rPr>
                <w:rFonts w:ascii="Times New Roman" w:hAnsi="Times New Roman" w:cs="Times New Roman"/>
                <w:sz w:val="20"/>
              </w:rPr>
            </w:pPr>
          </w:p>
        </w:tc>
      </w:tr>
      <w:tr w:rsidR="00D26788" w:rsidRPr="00D26788" w14:paraId="58152DF1" w14:textId="77777777" w:rsidTr="00E76F71">
        <w:trPr>
          <w:trHeight w:val="1575"/>
        </w:trPr>
        <w:tc>
          <w:tcPr>
            <w:tcW w:w="462" w:type="pct"/>
            <w:tcBorders>
              <w:top w:val="nil"/>
              <w:left w:val="single" w:sz="4" w:space="0" w:color="auto"/>
              <w:bottom w:val="single" w:sz="4" w:space="0" w:color="auto"/>
              <w:right w:val="single" w:sz="4" w:space="0" w:color="auto"/>
            </w:tcBorders>
            <w:hideMark/>
          </w:tcPr>
          <w:p w14:paraId="5DE5F955" w14:textId="77777777" w:rsidR="00D26788" w:rsidRPr="00D26788" w:rsidRDefault="00D26788" w:rsidP="00D26788">
            <w:pPr>
              <w:rPr>
                <w:color w:val="000000"/>
                <w:szCs w:val="24"/>
              </w:rPr>
            </w:pPr>
            <w:r w:rsidRPr="00D26788">
              <w:rPr>
                <w:color w:val="000000"/>
                <w:szCs w:val="24"/>
              </w:rPr>
              <w:t>1.2</w:t>
            </w:r>
          </w:p>
        </w:tc>
        <w:tc>
          <w:tcPr>
            <w:tcW w:w="1795" w:type="pct"/>
            <w:tcBorders>
              <w:top w:val="nil"/>
              <w:left w:val="nil"/>
              <w:bottom w:val="single" w:sz="4" w:space="0" w:color="auto"/>
              <w:right w:val="single" w:sz="4" w:space="0" w:color="auto"/>
            </w:tcBorders>
            <w:hideMark/>
          </w:tcPr>
          <w:p w14:paraId="5A9B1741" w14:textId="77777777" w:rsidR="00D26788" w:rsidRPr="00D26788" w:rsidRDefault="00D26788" w:rsidP="00D26788">
            <w:pPr>
              <w:rPr>
                <w:color w:val="000000"/>
                <w:szCs w:val="24"/>
              </w:rPr>
            </w:pPr>
            <w:r w:rsidRPr="00D26788">
              <w:rPr>
                <w:color w:val="000000"/>
                <w:szCs w:val="24"/>
              </w:rPr>
              <w:t>Kaunas- Baltijos jūros regiono įtraukios ir inovatyvios kultūros, konkurencingas keliautojų miestas, atviras idėjų mainams ir bendradarbiavimui</w:t>
            </w:r>
          </w:p>
        </w:tc>
        <w:tc>
          <w:tcPr>
            <w:tcW w:w="902" w:type="pct"/>
            <w:tcBorders>
              <w:top w:val="nil"/>
              <w:left w:val="nil"/>
              <w:bottom w:val="single" w:sz="4" w:space="0" w:color="auto"/>
              <w:right w:val="single" w:sz="4" w:space="0" w:color="auto"/>
            </w:tcBorders>
            <w:hideMark/>
          </w:tcPr>
          <w:p w14:paraId="0AD80F9A" w14:textId="77777777" w:rsidR="00D26788" w:rsidRPr="00D26788" w:rsidRDefault="00D26788" w:rsidP="00D26788">
            <w:pPr>
              <w:jc w:val="right"/>
              <w:rPr>
                <w:color w:val="000000"/>
                <w:szCs w:val="24"/>
              </w:rPr>
            </w:pPr>
            <w:r w:rsidRPr="00D26788">
              <w:rPr>
                <w:color w:val="000000"/>
                <w:szCs w:val="24"/>
              </w:rPr>
              <w:t>25 044,1</w:t>
            </w:r>
          </w:p>
        </w:tc>
        <w:tc>
          <w:tcPr>
            <w:tcW w:w="862" w:type="pct"/>
            <w:tcBorders>
              <w:top w:val="nil"/>
              <w:left w:val="nil"/>
              <w:bottom w:val="single" w:sz="4" w:space="0" w:color="auto"/>
              <w:right w:val="single" w:sz="4" w:space="0" w:color="auto"/>
            </w:tcBorders>
            <w:hideMark/>
          </w:tcPr>
          <w:p w14:paraId="1DDB4B82" w14:textId="77777777" w:rsidR="00D26788" w:rsidRPr="00D26788" w:rsidRDefault="00D26788" w:rsidP="00D26788">
            <w:pPr>
              <w:jc w:val="right"/>
              <w:rPr>
                <w:color w:val="000000"/>
                <w:szCs w:val="24"/>
              </w:rPr>
            </w:pPr>
            <w:r w:rsidRPr="00D26788">
              <w:rPr>
                <w:color w:val="000000"/>
                <w:szCs w:val="24"/>
              </w:rPr>
              <w:t>25 549,0</w:t>
            </w:r>
          </w:p>
        </w:tc>
        <w:tc>
          <w:tcPr>
            <w:tcW w:w="860" w:type="pct"/>
            <w:tcBorders>
              <w:top w:val="nil"/>
              <w:left w:val="nil"/>
              <w:bottom w:val="single" w:sz="4" w:space="0" w:color="auto"/>
              <w:right w:val="single" w:sz="4" w:space="0" w:color="auto"/>
            </w:tcBorders>
            <w:hideMark/>
          </w:tcPr>
          <w:p w14:paraId="00EC756D" w14:textId="77777777" w:rsidR="00D26788" w:rsidRPr="00D26788" w:rsidRDefault="00D26788" w:rsidP="00D26788">
            <w:pPr>
              <w:jc w:val="right"/>
              <w:rPr>
                <w:color w:val="000000"/>
                <w:szCs w:val="24"/>
              </w:rPr>
            </w:pPr>
            <w:r w:rsidRPr="00D26788">
              <w:rPr>
                <w:color w:val="000000"/>
                <w:szCs w:val="24"/>
              </w:rPr>
              <w:t>18 137,8</w:t>
            </w:r>
          </w:p>
        </w:tc>
        <w:tc>
          <w:tcPr>
            <w:tcW w:w="119" w:type="pct"/>
            <w:vAlign w:val="center"/>
            <w:hideMark/>
          </w:tcPr>
          <w:p w14:paraId="0A6176BF" w14:textId="77777777" w:rsidR="00D26788" w:rsidRPr="00D26788" w:rsidRDefault="00D26788" w:rsidP="00D26788">
            <w:pPr>
              <w:rPr>
                <w:rFonts w:ascii="Times New Roman" w:hAnsi="Times New Roman" w:cs="Times New Roman"/>
                <w:sz w:val="20"/>
              </w:rPr>
            </w:pPr>
          </w:p>
        </w:tc>
      </w:tr>
      <w:tr w:rsidR="00D26788" w:rsidRPr="00D26788" w14:paraId="730263D8"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3F905081" w14:textId="77777777" w:rsidR="00D26788" w:rsidRPr="00D26788" w:rsidRDefault="00D26788" w:rsidP="00D26788">
            <w:pPr>
              <w:rPr>
                <w:color w:val="000000"/>
                <w:szCs w:val="24"/>
              </w:rPr>
            </w:pPr>
            <w:r w:rsidRPr="00D26788">
              <w:rPr>
                <w:color w:val="000000"/>
                <w:szCs w:val="24"/>
              </w:rPr>
              <w:t>1.2.1</w:t>
            </w:r>
          </w:p>
        </w:tc>
        <w:tc>
          <w:tcPr>
            <w:tcW w:w="1795" w:type="pct"/>
            <w:tcBorders>
              <w:top w:val="nil"/>
              <w:left w:val="nil"/>
              <w:bottom w:val="single" w:sz="4" w:space="0" w:color="auto"/>
              <w:right w:val="single" w:sz="4" w:space="0" w:color="auto"/>
            </w:tcBorders>
            <w:hideMark/>
          </w:tcPr>
          <w:p w14:paraId="1E6D2DD9" w14:textId="77777777" w:rsidR="00D26788" w:rsidRPr="00D26788" w:rsidRDefault="00D26788" w:rsidP="00D26788">
            <w:pPr>
              <w:rPr>
                <w:color w:val="000000"/>
                <w:szCs w:val="24"/>
              </w:rPr>
            </w:pPr>
            <w:r w:rsidRPr="00D26788">
              <w:rPr>
                <w:color w:val="000000"/>
                <w:szCs w:val="24"/>
              </w:rPr>
              <w:t>Užtikrinti įtraukios, prieinamos, kokybiškos kultūros plėtrą ir inovacijas</w:t>
            </w:r>
          </w:p>
        </w:tc>
        <w:tc>
          <w:tcPr>
            <w:tcW w:w="902" w:type="pct"/>
            <w:tcBorders>
              <w:top w:val="nil"/>
              <w:left w:val="nil"/>
              <w:bottom w:val="single" w:sz="4" w:space="0" w:color="auto"/>
              <w:right w:val="single" w:sz="4" w:space="0" w:color="auto"/>
            </w:tcBorders>
            <w:hideMark/>
          </w:tcPr>
          <w:p w14:paraId="5D848E29" w14:textId="77777777" w:rsidR="00D26788" w:rsidRPr="00D26788" w:rsidRDefault="00D26788" w:rsidP="00D26788">
            <w:pPr>
              <w:jc w:val="right"/>
              <w:rPr>
                <w:color w:val="000000"/>
                <w:szCs w:val="24"/>
              </w:rPr>
            </w:pPr>
            <w:r w:rsidRPr="00D26788">
              <w:rPr>
                <w:color w:val="000000"/>
                <w:szCs w:val="24"/>
              </w:rPr>
              <w:t>16 434,3</w:t>
            </w:r>
          </w:p>
        </w:tc>
        <w:tc>
          <w:tcPr>
            <w:tcW w:w="862" w:type="pct"/>
            <w:tcBorders>
              <w:top w:val="nil"/>
              <w:left w:val="nil"/>
              <w:bottom w:val="single" w:sz="4" w:space="0" w:color="auto"/>
              <w:right w:val="single" w:sz="4" w:space="0" w:color="auto"/>
            </w:tcBorders>
            <w:hideMark/>
          </w:tcPr>
          <w:p w14:paraId="414E9ACE" w14:textId="77777777" w:rsidR="00D26788" w:rsidRPr="00D26788" w:rsidRDefault="00D26788" w:rsidP="00D26788">
            <w:pPr>
              <w:jc w:val="right"/>
              <w:rPr>
                <w:color w:val="000000"/>
                <w:szCs w:val="24"/>
              </w:rPr>
            </w:pPr>
            <w:r w:rsidRPr="00D26788">
              <w:rPr>
                <w:color w:val="000000"/>
                <w:szCs w:val="24"/>
              </w:rPr>
              <w:t>17 041,3</w:t>
            </w:r>
          </w:p>
        </w:tc>
        <w:tc>
          <w:tcPr>
            <w:tcW w:w="860" w:type="pct"/>
            <w:tcBorders>
              <w:top w:val="nil"/>
              <w:left w:val="nil"/>
              <w:bottom w:val="single" w:sz="4" w:space="0" w:color="auto"/>
              <w:right w:val="single" w:sz="4" w:space="0" w:color="auto"/>
            </w:tcBorders>
            <w:hideMark/>
          </w:tcPr>
          <w:p w14:paraId="7F95977D" w14:textId="77777777" w:rsidR="00D26788" w:rsidRPr="00D26788" w:rsidRDefault="00D26788" w:rsidP="00D26788">
            <w:pPr>
              <w:jc w:val="right"/>
              <w:rPr>
                <w:color w:val="000000"/>
                <w:szCs w:val="24"/>
              </w:rPr>
            </w:pPr>
            <w:r w:rsidRPr="00D26788">
              <w:rPr>
                <w:color w:val="000000"/>
                <w:szCs w:val="24"/>
              </w:rPr>
              <w:t>15 906,7</w:t>
            </w:r>
          </w:p>
        </w:tc>
        <w:tc>
          <w:tcPr>
            <w:tcW w:w="119" w:type="pct"/>
            <w:vAlign w:val="center"/>
            <w:hideMark/>
          </w:tcPr>
          <w:p w14:paraId="28E1A1A1" w14:textId="77777777" w:rsidR="00D26788" w:rsidRPr="00D26788" w:rsidRDefault="00D26788" w:rsidP="00D26788">
            <w:pPr>
              <w:rPr>
                <w:rFonts w:ascii="Times New Roman" w:hAnsi="Times New Roman" w:cs="Times New Roman"/>
                <w:sz w:val="20"/>
              </w:rPr>
            </w:pPr>
          </w:p>
        </w:tc>
      </w:tr>
      <w:tr w:rsidR="00D26788" w:rsidRPr="00D26788" w14:paraId="6D1E32FE"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3DBD44D0" w14:textId="77777777" w:rsidR="00D26788" w:rsidRPr="00D26788" w:rsidRDefault="00D26788" w:rsidP="00D26788">
            <w:pPr>
              <w:rPr>
                <w:color w:val="000000"/>
                <w:szCs w:val="24"/>
              </w:rPr>
            </w:pPr>
            <w:r w:rsidRPr="00D26788">
              <w:rPr>
                <w:color w:val="000000"/>
                <w:szCs w:val="24"/>
              </w:rPr>
              <w:t>1.2.2</w:t>
            </w:r>
          </w:p>
        </w:tc>
        <w:tc>
          <w:tcPr>
            <w:tcW w:w="1795" w:type="pct"/>
            <w:tcBorders>
              <w:top w:val="nil"/>
              <w:left w:val="nil"/>
              <w:bottom w:val="single" w:sz="4" w:space="0" w:color="auto"/>
              <w:right w:val="single" w:sz="4" w:space="0" w:color="auto"/>
            </w:tcBorders>
            <w:hideMark/>
          </w:tcPr>
          <w:p w14:paraId="2105B668" w14:textId="77777777" w:rsidR="00D26788" w:rsidRPr="00D26788" w:rsidRDefault="00D26788" w:rsidP="00D26788">
            <w:pPr>
              <w:rPr>
                <w:color w:val="000000"/>
                <w:szCs w:val="24"/>
              </w:rPr>
            </w:pPr>
            <w:r w:rsidRPr="00D26788">
              <w:rPr>
                <w:color w:val="000000"/>
                <w:szCs w:val="24"/>
              </w:rPr>
              <w:t>Užtikrinti darnų kultūros įstaigų ir infrastruktūros valdymą, paveldo ir miesto viešųjų erdvių įveiklinimą</w:t>
            </w:r>
          </w:p>
        </w:tc>
        <w:tc>
          <w:tcPr>
            <w:tcW w:w="902" w:type="pct"/>
            <w:tcBorders>
              <w:top w:val="nil"/>
              <w:left w:val="nil"/>
              <w:bottom w:val="single" w:sz="4" w:space="0" w:color="auto"/>
              <w:right w:val="single" w:sz="4" w:space="0" w:color="auto"/>
            </w:tcBorders>
            <w:hideMark/>
          </w:tcPr>
          <w:p w14:paraId="73337B43" w14:textId="77777777" w:rsidR="00D26788" w:rsidRPr="00D26788" w:rsidRDefault="00D26788" w:rsidP="00D26788">
            <w:pPr>
              <w:jc w:val="right"/>
              <w:rPr>
                <w:color w:val="000000"/>
                <w:szCs w:val="24"/>
              </w:rPr>
            </w:pPr>
            <w:r w:rsidRPr="00D26788">
              <w:rPr>
                <w:color w:val="000000"/>
                <w:szCs w:val="24"/>
              </w:rPr>
              <w:t>8 094,8</w:t>
            </w:r>
          </w:p>
        </w:tc>
        <w:tc>
          <w:tcPr>
            <w:tcW w:w="862" w:type="pct"/>
            <w:tcBorders>
              <w:top w:val="nil"/>
              <w:left w:val="nil"/>
              <w:bottom w:val="single" w:sz="4" w:space="0" w:color="auto"/>
              <w:right w:val="single" w:sz="4" w:space="0" w:color="auto"/>
            </w:tcBorders>
            <w:hideMark/>
          </w:tcPr>
          <w:p w14:paraId="190C9E1F" w14:textId="77777777" w:rsidR="00D26788" w:rsidRPr="00D26788" w:rsidRDefault="00D26788" w:rsidP="00D26788">
            <w:pPr>
              <w:jc w:val="right"/>
              <w:rPr>
                <w:color w:val="000000"/>
                <w:szCs w:val="24"/>
              </w:rPr>
            </w:pPr>
            <w:r w:rsidRPr="00D26788">
              <w:rPr>
                <w:color w:val="000000"/>
                <w:szCs w:val="24"/>
              </w:rPr>
              <w:t>8 186,4</w:t>
            </w:r>
          </w:p>
        </w:tc>
        <w:tc>
          <w:tcPr>
            <w:tcW w:w="860" w:type="pct"/>
            <w:tcBorders>
              <w:top w:val="nil"/>
              <w:left w:val="nil"/>
              <w:bottom w:val="single" w:sz="4" w:space="0" w:color="auto"/>
              <w:right w:val="single" w:sz="4" w:space="0" w:color="auto"/>
            </w:tcBorders>
            <w:hideMark/>
          </w:tcPr>
          <w:p w14:paraId="141ACA94" w14:textId="77777777" w:rsidR="00D26788" w:rsidRPr="00D26788" w:rsidRDefault="00D26788" w:rsidP="00D26788">
            <w:pPr>
              <w:jc w:val="right"/>
              <w:rPr>
                <w:color w:val="000000"/>
                <w:szCs w:val="24"/>
              </w:rPr>
            </w:pPr>
            <w:r w:rsidRPr="00D26788">
              <w:rPr>
                <w:color w:val="000000"/>
                <w:szCs w:val="24"/>
              </w:rPr>
              <w:t>2 217,3</w:t>
            </w:r>
          </w:p>
        </w:tc>
        <w:tc>
          <w:tcPr>
            <w:tcW w:w="119" w:type="pct"/>
            <w:vAlign w:val="center"/>
            <w:hideMark/>
          </w:tcPr>
          <w:p w14:paraId="62DA55E6" w14:textId="77777777" w:rsidR="00D26788" w:rsidRPr="00D26788" w:rsidRDefault="00D26788" w:rsidP="00D26788">
            <w:pPr>
              <w:rPr>
                <w:rFonts w:ascii="Times New Roman" w:hAnsi="Times New Roman" w:cs="Times New Roman"/>
                <w:sz w:val="20"/>
              </w:rPr>
            </w:pPr>
          </w:p>
        </w:tc>
      </w:tr>
      <w:tr w:rsidR="00D26788" w:rsidRPr="00D26788" w14:paraId="5607D1C7"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3A971D54" w14:textId="77777777" w:rsidR="00D26788" w:rsidRPr="00D26788" w:rsidRDefault="00D26788" w:rsidP="00D26788">
            <w:pPr>
              <w:rPr>
                <w:color w:val="000000"/>
                <w:szCs w:val="24"/>
              </w:rPr>
            </w:pPr>
            <w:r w:rsidRPr="00D26788">
              <w:rPr>
                <w:color w:val="000000"/>
                <w:szCs w:val="24"/>
              </w:rPr>
              <w:t>1.2.3</w:t>
            </w:r>
          </w:p>
        </w:tc>
        <w:tc>
          <w:tcPr>
            <w:tcW w:w="1795" w:type="pct"/>
            <w:tcBorders>
              <w:top w:val="nil"/>
              <w:left w:val="nil"/>
              <w:bottom w:val="single" w:sz="4" w:space="0" w:color="auto"/>
              <w:right w:val="single" w:sz="4" w:space="0" w:color="auto"/>
            </w:tcBorders>
            <w:hideMark/>
          </w:tcPr>
          <w:p w14:paraId="524CFE73" w14:textId="77777777" w:rsidR="00D26788" w:rsidRPr="00D26788" w:rsidRDefault="00D26788" w:rsidP="00D26788">
            <w:pPr>
              <w:rPr>
                <w:color w:val="000000"/>
                <w:szCs w:val="24"/>
              </w:rPr>
            </w:pPr>
            <w:r w:rsidRPr="00D26788">
              <w:rPr>
                <w:color w:val="000000"/>
                <w:szCs w:val="24"/>
              </w:rPr>
              <w:t>Vystyti Kauną kaip atvirą, konkurencingą ir išskirtinę vertę kuriantį turizmo traukos centrą</w:t>
            </w:r>
          </w:p>
        </w:tc>
        <w:tc>
          <w:tcPr>
            <w:tcW w:w="902" w:type="pct"/>
            <w:tcBorders>
              <w:top w:val="nil"/>
              <w:left w:val="nil"/>
              <w:bottom w:val="single" w:sz="4" w:space="0" w:color="auto"/>
              <w:right w:val="single" w:sz="4" w:space="0" w:color="auto"/>
            </w:tcBorders>
            <w:hideMark/>
          </w:tcPr>
          <w:p w14:paraId="6ECA60EF" w14:textId="77777777" w:rsidR="00D26788" w:rsidRPr="00D26788" w:rsidRDefault="00D26788" w:rsidP="00D26788">
            <w:pPr>
              <w:jc w:val="right"/>
              <w:rPr>
                <w:color w:val="000000"/>
                <w:szCs w:val="24"/>
              </w:rPr>
            </w:pPr>
            <w:r w:rsidRPr="00D26788">
              <w:rPr>
                <w:color w:val="000000"/>
                <w:szCs w:val="24"/>
              </w:rPr>
              <w:t>515,0</w:t>
            </w:r>
          </w:p>
        </w:tc>
        <w:tc>
          <w:tcPr>
            <w:tcW w:w="862" w:type="pct"/>
            <w:tcBorders>
              <w:top w:val="nil"/>
              <w:left w:val="nil"/>
              <w:bottom w:val="single" w:sz="4" w:space="0" w:color="auto"/>
              <w:right w:val="single" w:sz="4" w:space="0" w:color="auto"/>
            </w:tcBorders>
            <w:hideMark/>
          </w:tcPr>
          <w:p w14:paraId="64F5A4E3" w14:textId="77777777" w:rsidR="00D26788" w:rsidRPr="00D26788" w:rsidRDefault="00D26788" w:rsidP="00D26788">
            <w:pPr>
              <w:jc w:val="right"/>
              <w:rPr>
                <w:color w:val="000000"/>
                <w:szCs w:val="24"/>
              </w:rPr>
            </w:pPr>
            <w:r w:rsidRPr="00D26788">
              <w:rPr>
                <w:color w:val="000000"/>
                <w:szCs w:val="24"/>
              </w:rPr>
              <w:t>321,3</w:t>
            </w:r>
          </w:p>
        </w:tc>
        <w:tc>
          <w:tcPr>
            <w:tcW w:w="860" w:type="pct"/>
            <w:tcBorders>
              <w:top w:val="nil"/>
              <w:left w:val="nil"/>
              <w:bottom w:val="single" w:sz="4" w:space="0" w:color="auto"/>
              <w:right w:val="single" w:sz="4" w:space="0" w:color="auto"/>
            </w:tcBorders>
            <w:hideMark/>
          </w:tcPr>
          <w:p w14:paraId="3EC3803E" w14:textId="77777777" w:rsidR="00D26788" w:rsidRPr="00D26788" w:rsidRDefault="00D26788" w:rsidP="00D26788">
            <w:pPr>
              <w:jc w:val="right"/>
              <w:rPr>
                <w:color w:val="000000"/>
                <w:szCs w:val="24"/>
              </w:rPr>
            </w:pPr>
            <w:r w:rsidRPr="00D26788">
              <w:rPr>
                <w:color w:val="000000"/>
                <w:szCs w:val="24"/>
              </w:rPr>
              <w:t>13,9</w:t>
            </w:r>
          </w:p>
        </w:tc>
        <w:tc>
          <w:tcPr>
            <w:tcW w:w="119" w:type="pct"/>
            <w:vAlign w:val="center"/>
            <w:hideMark/>
          </w:tcPr>
          <w:p w14:paraId="6D1B93F3" w14:textId="77777777" w:rsidR="00D26788" w:rsidRPr="00D26788" w:rsidRDefault="00D26788" w:rsidP="00D26788">
            <w:pPr>
              <w:rPr>
                <w:rFonts w:ascii="Times New Roman" w:hAnsi="Times New Roman" w:cs="Times New Roman"/>
                <w:sz w:val="20"/>
              </w:rPr>
            </w:pPr>
          </w:p>
        </w:tc>
      </w:tr>
      <w:tr w:rsidR="00D26788" w:rsidRPr="00D26788" w14:paraId="6A0CC557" w14:textId="77777777" w:rsidTr="00A548C7">
        <w:trPr>
          <w:trHeight w:val="1260"/>
        </w:trPr>
        <w:tc>
          <w:tcPr>
            <w:tcW w:w="462" w:type="pct"/>
            <w:tcBorders>
              <w:top w:val="nil"/>
              <w:left w:val="single" w:sz="4" w:space="0" w:color="auto"/>
              <w:bottom w:val="single" w:sz="4" w:space="0" w:color="auto"/>
              <w:right w:val="single" w:sz="4" w:space="0" w:color="auto"/>
            </w:tcBorders>
            <w:hideMark/>
          </w:tcPr>
          <w:p w14:paraId="0507ACEB" w14:textId="77777777" w:rsidR="00D26788" w:rsidRPr="00D26788" w:rsidRDefault="00D26788" w:rsidP="00D26788">
            <w:pPr>
              <w:rPr>
                <w:b/>
                <w:bCs/>
                <w:color w:val="000000"/>
                <w:szCs w:val="24"/>
              </w:rPr>
            </w:pPr>
            <w:r w:rsidRPr="00D26788">
              <w:rPr>
                <w:b/>
                <w:bCs/>
                <w:color w:val="000000"/>
                <w:szCs w:val="24"/>
              </w:rPr>
              <w:t>2</w:t>
            </w:r>
          </w:p>
        </w:tc>
        <w:tc>
          <w:tcPr>
            <w:tcW w:w="1795" w:type="pct"/>
            <w:tcBorders>
              <w:top w:val="nil"/>
              <w:left w:val="nil"/>
              <w:bottom w:val="single" w:sz="4" w:space="0" w:color="auto"/>
              <w:right w:val="single" w:sz="4" w:space="0" w:color="auto"/>
            </w:tcBorders>
            <w:hideMark/>
          </w:tcPr>
          <w:p w14:paraId="12815CE2" w14:textId="77777777" w:rsidR="00D26788" w:rsidRPr="00D26788" w:rsidRDefault="00D26788" w:rsidP="00D26788">
            <w:pPr>
              <w:rPr>
                <w:b/>
                <w:bCs/>
                <w:color w:val="000000"/>
                <w:szCs w:val="24"/>
              </w:rPr>
            </w:pPr>
            <w:r w:rsidRPr="00D26788">
              <w:rPr>
                <w:b/>
                <w:bCs/>
                <w:color w:val="000000"/>
                <w:szCs w:val="24"/>
              </w:rPr>
              <w:t>Gyventojo poreikius atliepianti gyvenimo kokybės sumaniam, aktyviam ir sveikam gyventojui programa</w:t>
            </w:r>
          </w:p>
        </w:tc>
        <w:tc>
          <w:tcPr>
            <w:tcW w:w="902" w:type="pct"/>
            <w:tcBorders>
              <w:top w:val="nil"/>
              <w:left w:val="nil"/>
              <w:bottom w:val="single" w:sz="4" w:space="0" w:color="auto"/>
              <w:right w:val="single" w:sz="4" w:space="0" w:color="auto"/>
            </w:tcBorders>
            <w:hideMark/>
          </w:tcPr>
          <w:p w14:paraId="07D515B5" w14:textId="77777777" w:rsidR="00D26788" w:rsidRPr="00D26788" w:rsidRDefault="00D26788" w:rsidP="00D26788">
            <w:pPr>
              <w:jc w:val="right"/>
              <w:rPr>
                <w:b/>
                <w:bCs/>
                <w:color w:val="000000"/>
                <w:szCs w:val="24"/>
              </w:rPr>
            </w:pPr>
            <w:r w:rsidRPr="00D26788">
              <w:rPr>
                <w:b/>
                <w:bCs/>
                <w:color w:val="000000"/>
                <w:szCs w:val="24"/>
              </w:rPr>
              <w:t>642 615,3</w:t>
            </w:r>
          </w:p>
        </w:tc>
        <w:tc>
          <w:tcPr>
            <w:tcW w:w="862" w:type="pct"/>
            <w:tcBorders>
              <w:top w:val="nil"/>
              <w:left w:val="nil"/>
              <w:bottom w:val="single" w:sz="4" w:space="0" w:color="auto"/>
              <w:right w:val="single" w:sz="4" w:space="0" w:color="auto"/>
            </w:tcBorders>
            <w:hideMark/>
          </w:tcPr>
          <w:p w14:paraId="14AE7ECC" w14:textId="77777777" w:rsidR="00D26788" w:rsidRPr="00D26788" w:rsidRDefault="00D26788" w:rsidP="00D26788">
            <w:pPr>
              <w:jc w:val="right"/>
              <w:rPr>
                <w:b/>
                <w:bCs/>
                <w:color w:val="000000"/>
                <w:szCs w:val="24"/>
              </w:rPr>
            </w:pPr>
            <w:r w:rsidRPr="00D26788">
              <w:rPr>
                <w:b/>
                <w:bCs/>
                <w:color w:val="000000"/>
                <w:szCs w:val="24"/>
              </w:rPr>
              <w:t>685 811,8</w:t>
            </w:r>
          </w:p>
        </w:tc>
        <w:tc>
          <w:tcPr>
            <w:tcW w:w="860" w:type="pct"/>
            <w:tcBorders>
              <w:top w:val="nil"/>
              <w:left w:val="nil"/>
              <w:bottom w:val="single" w:sz="4" w:space="0" w:color="auto"/>
              <w:right w:val="single" w:sz="4" w:space="0" w:color="auto"/>
            </w:tcBorders>
            <w:hideMark/>
          </w:tcPr>
          <w:p w14:paraId="05431AE0" w14:textId="77777777" w:rsidR="00D26788" w:rsidRPr="00D26788" w:rsidRDefault="00D26788" w:rsidP="00D26788">
            <w:pPr>
              <w:jc w:val="right"/>
              <w:rPr>
                <w:b/>
                <w:bCs/>
                <w:color w:val="000000"/>
                <w:szCs w:val="24"/>
              </w:rPr>
            </w:pPr>
            <w:r w:rsidRPr="00D26788">
              <w:rPr>
                <w:b/>
                <w:bCs/>
                <w:color w:val="000000"/>
                <w:szCs w:val="24"/>
              </w:rPr>
              <w:t>658 108,3</w:t>
            </w:r>
          </w:p>
        </w:tc>
        <w:tc>
          <w:tcPr>
            <w:tcW w:w="119" w:type="pct"/>
            <w:vAlign w:val="center"/>
            <w:hideMark/>
          </w:tcPr>
          <w:p w14:paraId="7A6AB0C7" w14:textId="77777777" w:rsidR="00D26788" w:rsidRPr="00D26788" w:rsidRDefault="00D26788" w:rsidP="00D26788">
            <w:pPr>
              <w:rPr>
                <w:rFonts w:ascii="Times New Roman" w:hAnsi="Times New Roman" w:cs="Times New Roman"/>
                <w:sz w:val="20"/>
              </w:rPr>
            </w:pPr>
          </w:p>
        </w:tc>
      </w:tr>
      <w:tr w:rsidR="00D26788" w:rsidRPr="00D26788" w14:paraId="36360E43"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06FB8EF9" w14:textId="77777777" w:rsidR="00D26788" w:rsidRPr="00D26788" w:rsidRDefault="00D26788" w:rsidP="00D26788">
            <w:pPr>
              <w:rPr>
                <w:color w:val="000000"/>
                <w:szCs w:val="24"/>
              </w:rPr>
            </w:pPr>
            <w:r w:rsidRPr="00D26788">
              <w:rPr>
                <w:color w:val="000000"/>
                <w:szCs w:val="24"/>
              </w:rPr>
              <w:t>2.1</w:t>
            </w:r>
          </w:p>
        </w:tc>
        <w:tc>
          <w:tcPr>
            <w:tcW w:w="1795" w:type="pct"/>
            <w:tcBorders>
              <w:top w:val="nil"/>
              <w:left w:val="nil"/>
              <w:bottom w:val="single" w:sz="4" w:space="0" w:color="auto"/>
              <w:right w:val="single" w:sz="4" w:space="0" w:color="auto"/>
            </w:tcBorders>
            <w:hideMark/>
          </w:tcPr>
          <w:p w14:paraId="7BA89D4D" w14:textId="77777777" w:rsidR="00D26788" w:rsidRPr="00D26788" w:rsidRDefault="00D26788" w:rsidP="00D26788">
            <w:pPr>
              <w:rPr>
                <w:color w:val="000000"/>
                <w:szCs w:val="24"/>
              </w:rPr>
            </w:pPr>
            <w:r w:rsidRPr="00D26788">
              <w:rPr>
                <w:color w:val="000000"/>
                <w:szCs w:val="24"/>
              </w:rPr>
              <w:t>Įtraukus, sumanus, besimokantis ir sportuojantis miestas</w:t>
            </w:r>
          </w:p>
        </w:tc>
        <w:tc>
          <w:tcPr>
            <w:tcW w:w="902" w:type="pct"/>
            <w:tcBorders>
              <w:top w:val="nil"/>
              <w:left w:val="nil"/>
              <w:bottom w:val="single" w:sz="4" w:space="0" w:color="auto"/>
              <w:right w:val="single" w:sz="4" w:space="0" w:color="auto"/>
            </w:tcBorders>
            <w:hideMark/>
          </w:tcPr>
          <w:p w14:paraId="0EA791AE" w14:textId="77777777" w:rsidR="00D26788" w:rsidRPr="00D26788" w:rsidRDefault="00D26788" w:rsidP="00D26788">
            <w:pPr>
              <w:jc w:val="right"/>
              <w:rPr>
                <w:color w:val="000000"/>
                <w:szCs w:val="24"/>
              </w:rPr>
            </w:pPr>
            <w:r w:rsidRPr="00D26788">
              <w:rPr>
                <w:color w:val="000000"/>
                <w:szCs w:val="24"/>
              </w:rPr>
              <w:t>414 420,7</w:t>
            </w:r>
          </w:p>
        </w:tc>
        <w:tc>
          <w:tcPr>
            <w:tcW w:w="862" w:type="pct"/>
            <w:tcBorders>
              <w:top w:val="nil"/>
              <w:left w:val="nil"/>
              <w:bottom w:val="single" w:sz="4" w:space="0" w:color="auto"/>
              <w:right w:val="single" w:sz="4" w:space="0" w:color="auto"/>
            </w:tcBorders>
            <w:hideMark/>
          </w:tcPr>
          <w:p w14:paraId="4D8C79AE" w14:textId="77777777" w:rsidR="00D26788" w:rsidRPr="00D26788" w:rsidRDefault="00D26788" w:rsidP="00D26788">
            <w:pPr>
              <w:jc w:val="right"/>
              <w:rPr>
                <w:color w:val="000000"/>
                <w:szCs w:val="24"/>
              </w:rPr>
            </w:pPr>
            <w:r w:rsidRPr="00D26788">
              <w:rPr>
                <w:color w:val="000000"/>
                <w:szCs w:val="24"/>
              </w:rPr>
              <w:t>441 359,8</w:t>
            </w:r>
          </w:p>
        </w:tc>
        <w:tc>
          <w:tcPr>
            <w:tcW w:w="860" w:type="pct"/>
            <w:tcBorders>
              <w:top w:val="nil"/>
              <w:left w:val="nil"/>
              <w:bottom w:val="single" w:sz="4" w:space="0" w:color="auto"/>
              <w:right w:val="single" w:sz="4" w:space="0" w:color="auto"/>
            </w:tcBorders>
            <w:hideMark/>
          </w:tcPr>
          <w:p w14:paraId="2124EE44" w14:textId="77777777" w:rsidR="00D26788" w:rsidRPr="00D26788" w:rsidRDefault="00D26788" w:rsidP="00D26788">
            <w:pPr>
              <w:jc w:val="right"/>
              <w:rPr>
                <w:color w:val="000000"/>
                <w:szCs w:val="24"/>
              </w:rPr>
            </w:pPr>
            <w:r w:rsidRPr="00D26788">
              <w:rPr>
                <w:color w:val="000000"/>
                <w:szCs w:val="24"/>
              </w:rPr>
              <w:t>419 075,6</w:t>
            </w:r>
          </w:p>
        </w:tc>
        <w:tc>
          <w:tcPr>
            <w:tcW w:w="119" w:type="pct"/>
            <w:vAlign w:val="center"/>
            <w:hideMark/>
          </w:tcPr>
          <w:p w14:paraId="20D56951" w14:textId="77777777" w:rsidR="00D26788" w:rsidRPr="00D26788" w:rsidRDefault="00D26788" w:rsidP="00D26788">
            <w:pPr>
              <w:rPr>
                <w:rFonts w:ascii="Times New Roman" w:hAnsi="Times New Roman" w:cs="Times New Roman"/>
                <w:sz w:val="20"/>
              </w:rPr>
            </w:pPr>
          </w:p>
        </w:tc>
      </w:tr>
      <w:tr w:rsidR="00D26788" w:rsidRPr="00D26788" w14:paraId="3D9A9E84"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52CDDEE7" w14:textId="77777777" w:rsidR="00D26788" w:rsidRPr="00D26788" w:rsidRDefault="00D26788" w:rsidP="00D26788">
            <w:pPr>
              <w:rPr>
                <w:color w:val="000000"/>
                <w:szCs w:val="24"/>
              </w:rPr>
            </w:pPr>
            <w:r w:rsidRPr="00D26788">
              <w:rPr>
                <w:color w:val="000000"/>
                <w:szCs w:val="24"/>
              </w:rPr>
              <w:t>2.1.1</w:t>
            </w:r>
          </w:p>
        </w:tc>
        <w:tc>
          <w:tcPr>
            <w:tcW w:w="1795" w:type="pct"/>
            <w:tcBorders>
              <w:top w:val="nil"/>
              <w:left w:val="nil"/>
              <w:bottom w:val="single" w:sz="4" w:space="0" w:color="auto"/>
              <w:right w:val="single" w:sz="4" w:space="0" w:color="auto"/>
            </w:tcBorders>
            <w:hideMark/>
          </w:tcPr>
          <w:p w14:paraId="3EED3775" w14:textId="77777777" w:rsidR="00D26788" w:rsidRPr="00D26788" w:rsidRDefault="00D26788" w:rsidP="00D26788">
            <w:pPr>
              <w:rPr>
                <w:color w:val="000000"/>
                <w:szCs w:val="24"/>
              </w:rPr>
            </w:pPr>
            <w:r w:rsidRPr="00D26788">
              <w:rPr>
                <w:color w:val="000000"/>
                <w:szCs w:val="24"/>
              </w:rPr>
              <w:t>Vystyti akademinį miestą su kokybiškų paslaugų prieinamumu</w:t>
            </w:r>
          </w:p>
        </w:tc>
        <w:tc>
          <w:tcPr>
            <w:tcW w:w="902" w:type="pct"/>
            <w:tcBorders>
              <w:top w:val="nil"/>
              <w:left w:val="nil"/>
              <w:bottom w:val="single" w:sz="4" w:space="0" w:color="auto"/>
              <w:right w:val="single" w:sz="4" w:space="0" w:color="auto"/>
            </w:tcBorders>
            <w:hideMark/>
          </w:tcPr>
          <w:p w14:paraId="2D7560CB" w14:textId="77777777" w:rsidR="00D26788" w:rsidRPr="00D26788" w:rsidRDefault="00D26788" w:rsidP="00D26788">
            <w:pPr>
              <w:jc w:val="right"/>
              <w:rPr>
                <w:color w:val="000000"/>
                <w:szCs w:val="24"/>
              </w:rPr>
            </w:pPr>
            <w:r w:rsidRPr="00D26788">
              <w:rPr>
                <w:color w:val="000000"/>
                <w:szCs w:val="24"/>
              </w:rPr>
              <w:t>578,3</w:t>
            </w:r>
          </w:p>
        </w:tc>
        <w:tc>
          <w:tcPr>
            <w:tcW w:w="862" w:type="pct"/>
            <w:tcBorders>
              <w:top w:val="nil"/>
              <w:left w:val="nil"/>
              <w:bottom w:val="single" w:sz="4" w:space="0" w:color="auto"/>
              <w:right w:val="single" w:sz="4" w:space="0" w:color="auto"/>
            </w:tcBorders>
            <w:hideMark/>
          </w:tcPr>
          <w:p w14:paraId="0B0F04B2" w14:textId="77777777" w:rsidR="00D26788" w:rsidRPr="00D26788" w:rsidRDefault="00D26788" w:rsidP="00D26788">
            <w:pPr>
              <w:jc w:val="right"/>
              <w:rPr>
                <w:color w:val="000000"/>
                <w:szCs w:val="24"/>
              </w:rPr>
            </w:pPr>
            <w:r w:rsidRPr="00D26788">
              <w:rPr>
                <w:color w:val="000000"/>
                <w:szCs w:val="24"/>
              </w:rPr>
              <w:t>659,6</w:t>
            </w:r>
          </w:p>
        </w:tc>
        <w:tc>
          <w:tcPr>
            <w:tcW w:w="860" w:type="pct"/>
            <w:tcBorders>
              <w:top w:val="nil"/>
              <w:left w:val="nil"/>
              <w:bottom w:val="single" w:sz="4" w:space="0" w:color="auto"/>
              <w:right w:val="single" w:sz="4" w:space="0" w:color="auto"/>
            </w:tcBorders>
            <w:hideMark/>
          </w:tcPr>
          <w:p w14:paraId="5A33D5F0" w14:textId="77777777" w:rsidR="00D26788" w:rsidRPr="00D26788" w:rsidRDefault="00D26788" w:rsidP="00D26788">
            <w:pPr>
              <w:jc w:val="right"/>
              <w:rPr>
                <w:color w:val="000000"/>
                <w:szCs w:val="24"/>
              </w:rPr>
            </w:pPr>
            <w:r w:rsidRPr="00D26788">
              <w:rPr>
                <w:color w:val="000000"/>
                <w:szCs w:val="24"/>
              </w:rPr>
              <w:t>583,7</w:t>
            </w:r>
          </w:p>
        </w:tc>
        <w:tc>
          <w:tcPr>
            <w:tcW w:w="119" w:type="pct"/>
            <w:vAlign w:val="center"/>
            <w:hideMark/>
          </w:tcPr>
          <w:p w14:paraId="11A337A6" w14:textId="77777777" w:rsidR="00D26788" w:rsidRPr="00D26788" w:rsidRDefault="00D26788" w:rsidP="00D26788">
            <w:pPr>
              <w:rPr>
                <w:rFonts w:ascii="Times New Roman" w:hAnsi="Times New Roman" w:cs="Times New Roman"/>
                <w:sz w:val="20"/>
              </w:rPr>
            </w:pPr>
          </w:p>
        </w:tc>
      </w:tr>
      <w:tr w:rsidR="00D26788" w:rsidRPr="00D26788" w14:paraId="1F2A4D09"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6FC0052B" w14:textId="77777777" w:rsidR="00D26788" w:rsidRPr="00D26788" w:rsidRDefault="00D26788" w:rsidP="00D26788">
            <w:pPr>
              <w:rPr>
                <w:color w:val="000000"/>
                <w:szCs w:val="24"/>
              </w:rPr>
            </w:pPr>
            <w:r w:rsidRPr="00D26788">
              <w:rPr>
                <w:color w:val="000000"/>
                <w:szCs w:val="24"/>
              </w:rPr>
              <w:t>2.1.2</w:t>
            </w:r>
          </w:p>
        </w:tc>
        <w:tc>
          <w:tcPr>
            <w:tcW w:w="1795" w:type="pct"/>
            <w:tcBorders>
              <w:top w:val="nil"/>
              <w:left w:val="nil"/>
              <w:bottom w:val="single" w:sz="4" w:space="0" w:color="auto"/>
              <w:right w:val="single" w:sz="4" w:space="0" w:color="auto"/>
            </w:tcBorders>
            <w:hideMark/>
          </w:tcPr>
          <w:p w14:paraId="34932CF2" w14:textId="77777777" w:rsidR="00D26788" w:rsidRPr="00D26788" w:rsidRDefault="00D26788" w:rsidP="00D26788">
            <w:pPr>
              <w:rPr>
                <w:color w:val="000000"/>
                <w:szCs w:val="24"/>
              </w:rPr>
            </w:pPr>
            <w:r w:rsidRPr="00D26788">
              <w:rPr>
                <w:color w:val="000000"/>
                <w:szCs w:val="24"/>
              </w:rPr>
              <w:t>Užtikrinti kokybiškų švietimo paslaugų prieinamumą</w:t>
            </w:r>
          </w:p>
        </w:tc>
        <w:tc>
          <w:tcPr>
            <w:tcW w:w="902" w:type="pct"/>
            <w:tcBorders>
              <w:top w:val="nil"/>
              <w:left w:val="nil"/>
              <w:bottom w:val="single" w:sz="4" w:space="0" w:color="auto"/>
              <w:right w:val="single" w:sz="4" w:space="0" w:color="auto"/>
            </w:tcBorders>
            <w:hideMark/>
          </w:tcPr>
          <w:p w14:paraId="0D30102A" w14:textId="77777777" w:rsidR="00D26788" w:rsidRPr="00D26788" w:rsidRDefault="00D26788" w:rsidP="00D26788">
            <w:pPr>
              <w:jc w:val="right"/>
              <w:rPr>
                <w:color w:val="000000"/>
                <w:szCs w:val="24"/>
              </w:rPr>
            </w:pPr>
            <w:r w:rsidRPr="00D26788">
              <w:rPr>
                <w:color w:val="000000"/>
                <w:szCs w:val="24"/>
              </w:rPr>
              <w:t>2 601,2</w:t>
            </w:r>
          </w:p>
        </w:tc>
        <w:tc>
          <w:tcPr>
            <w:tcW w:w="862" w:type="pct"/>
            <w:tcBorders>
              <w:top w:val="nil"/>
              <w:left w:val="nil"/>
              <w:bottom w:val="single" w:sz="4" w:space="0" w:color="auto"/>
              <w:right w:val="single" w:sz="4" w:space="0" w:color="auto"/>
            </w:tcBorders>
            <w:hideMark/>
          </w:tcPr>
          <w:p w14:paraId="07E8E358" w14:textId="77777777" w:rsidR="00D26788" w:rsidRPr="00D26788" w:rsidRDefault="00D26788" w:rsidP="00D26788">
            <w:pPr>
              <w:jc w:val="right"/>
              <w:rPr>
                <w:color w:val="000000"/>
                <w:szCs w:val="24"/>
              </w:rPr>
            </w:pPr>
            <w:r w:rsidRPr="00D26788">
              <w:rPr>
                <w:color w:val="000000"/>
                <w:szCs w:val="24"/>
              </w:rPr>
              <w:t>2 396,1</w:t>
            </w:r>
          </w:p>
        </w:tc>
        <w:tc>
          <w:tcPr>
            <w:tcW w:w="860" w:type="pct"/>
            <w:tcBorders>
              <w:top w:val="nil"/>
              <w:left w:val="nil"/>
              <w:bottom w:val="single" w:sz="4" w:space="0" w:color="auto"/>
              <w:right w:val="single" w:sz="4" w:space="0" w:color="auto"/>
            </w:tcBorders>
            <w:hideMark/>
          </w:tcPr>
          <w:p w14:paraId="0C665068" w14:textId="77777777" w:rsidR="00D26788" w:rsidRPr="00D26788" w:rsidRDefault="00D26788" w:rsidP="00D26788">
            <w:pPr>
              <w:jc w:val="right"/>
              <w:rPr>
                <w:color w:val="000000"/>
                <w:szCs w:val="24"/>
              </w:rPr>
            </w:pPr>
            <w:r w:rsidRPr="00D26788">
              <w:rPr>
                <w:color w:val="000000"/>
                <w:szCs w:val="24"/>
              </w:rPr>
              <w:t>2 344,5</w:t>
            </w:r>
          </w:p>
        </w:tc>
        <w:tc>
          <w:tcPr>
            <w:tcW w:w="119" w:type="pct"/>
            <w:vAlign w:val="center"/>
            <w:hideMark/>
          </w:tcPr>
          <w:p w14:paraId="4C276A6A" w14:textId="77777777" w:rsidR="00D26788" w:rsidRPr="00D26788" w:rsidRDefault="00D26788" w:rsidP="00D26788">
            <w:pPr>
              <w:rPr>
                <w:rFonts w:ascii="Times New Roman" w:hAnsi="Times New Roman" w:cs="Times New Roman"/>
                <w:sz w:val="20"/>
              </w:rPr>
            </w:pPr>
          </w:p>
        </w:tc>
      </w:tr>
      <w:tr w:rsidR="00D26788" w:rsidRPr="00D26788" w14:paraId="572AE660"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34DA14A8" w14:textId="77777777" w:rsidR="00D26788" w:rsidRPr="00D26788" w:rsidRDefault="00D26788" w:rsidP="00D26788">
            <w:pPr>
              <w:rPr>
                <w:color w:val="000000"/>
                <w:szCs w:val="24"/>
              </w:rPr>
            </w:pPr>
            <w:r w:rsidRPr="00D26788">
              <w:rPr>
                <w:color w:val="000000"/>
                <w:szCs w:val="24"/>
              </w:rPr>
              <w:lastRenderedPageBreak/>
              <w:t>2.1.3</w:t>
            </w:r>
          </w:p>
        </w:tc>
        <w:tc>
          <w:tcPr>
            <w:tcW w:w="1795" w:type="pct"/>
            <w:tcBorders>
              <w:top w:val="nil"/>
              <w:left w:val="nil"/>
              <w:bottom w:val="single" w:sz="4" w:space="0" w:color="auto"/>
              <w:right w:val="single" w:sz="4" w:space="0" w:color="auto"/>
            </w:tcBorders>
            <w:hideMark/>
          </w:tcPr>
          <w:p w14:paraId="2D574853" w14:textId="77777777" w:rsidR="00D26788" w:rsidRPr="00D26788" w:rsidRDefault="00D26788" w:rsidP="00D26788">
            <w:pPr>
              <w:rPr>
                <w:color w:val="000000"/>
                <w:szCs w:val="24"/>
              </w:rPr>
            </w:pPr>
            <w:r w:rsidRPr="00D26788">
              <w:rPr>
                <w:color w:val="000000"/>
                <w:szCs w:val="24"/>
              </w:rPr>
              <w:t>Užtikrinti kokybiškas ir prieinamas fizinio aktyvumo ir sporto paslaugas, skatinti profesionalaus sporto plėtrą</w:t>
            </w:r>
          </w:p>
        </w:tc>
        <w:tc>
          <w:tcPr>
            <w:tcW w:w="902" w:type="pct"/>
            <w:tcBorders>
              <w:top w:val="nil"/>
              <w:left w:val="nil"/>
              <w:bottom w:val="single" w:sz="4" w:space="0" w:color="auto"/>
              <w:right w:val="single" w:sz="4" w:space="0" w:color="auto"/>
            </w:tcBorders>
            <w:hideMark/>
          </w:tcPr>
          <w:p w14:paraId="087E6316" w14:textId="77777777" w:rsidR="00D26788" w:rsidRPr="00D26788" w:rsidRDefault="00D26788" w:rsidP="00D26788">
            <w:pPr>
              <w:jc w:val="right"/>
              <w:rPr>
                <w:color w:val="000000"/>
                <w:szCs w:val="24"/>
              </w:rPr>
            </w:pPr>
            <w:r w:rsidRPr="00D26788">
              <w:rPr>
                <w:color w:val="000000"/>
                <w:szCs w:val="24"/>
              </w:rPr>
              <w:t>18 453,6</w:t>
            </w:r>
          </w:p>
        </w:tc>
        <w:tc>
          <w:tcPr>
            <w:tcW w:w="862" w:type="pct"/>
            <w:tcBorders>
              <w:top w:val="nil"/>
              <w:left w:val="nil"/>
              <w:bottom w:val="single" w:sz="4" w:space="0" w:color="auto"/>
              <w:right w:val="single" w:sz="4" w:space="0" w:color="auto"/>
            </w:tcBorders>
            <w:hideMark/>
          </w:tcPr>
          <w:p w14:paraId="73ABE8AE" w14:textId="77777777" w:rsidR="00D26788" w:rsidRPr="00D26788" w:rsidRDefault="00D26788" w:rsidP="00D26788">
            <w:pPr>
              <w:jc w:val="right"/>
              <w:rPr>
                <w:color w:val="000000"/>
                <w:szCs w:val="24"/>
              </w:rPr>
            </w:pPr>
            <w:r w:rsidRPr="00D26788">
              <w:rPr>
                <w:color w:val="000000"/>
                <w:szCs w:val="24"/>
              </w:rPr>
              <w:t>19 853,1</w:t>
            </w:r>
          </w:p>
        </w:tc>
        <w:tc>
          <w:tcPr>
            <w:tcW w:w="860" w:type="pct"/>
            <w:tcBorders>
              <w:top w:val="nil"/>
              <w:left w:val="nil"/>
              <w:bottom w:val="single" w:sz="4" w:space="0" w:color="auto"/>
              <w:right w:val="single" w:sz="4" w:space="0" w:color="auto"/>
            </w:tcBorders>
            <w:hideMark/>
          </w:tcPr>
          <w:p w14:paraId="250A4310" w14:textId="77777777" w:rsidR="00D26788" w:rsidRPr="00D26788" w:rsidRDefault="00D26788" w:rsidP="00D26788">
            <w:pPr>
              <w:jc w:val="right"/>
              <w:rPr>
                <w:color w:val="000000"/>
                <w:szCs w:val="24"/>
              </w:rPr>
            </w:pPr>
            <w:r w:rsidRPr="00D26788">
              <w:rPr>
                <w:color w:val="000000"/>
                <w:szCs w:val="24"/>
              </w:rPr>
              <w:t>18 962,9</w:t>
            </w:r>
          </w:p>
        </w:tc>
        <w:tc>
          <w:tcPr>
            <w:tcW w:w="119" w:type="pct"/>
            <w:vAlign w:val="center"/>
            <w:hideMark/>
          </w:tcPr>
          <w:p w14:paraId="15BB8D5D" w14:textId="77777777" w:rsidR="00D26788" w:rsidRPr="00D26788" w:rsidRDefault="00D26788" w:rsidP="00D26788">
            <w:pPr>
              <w:rPr>
                <w:rFonts w:ascii="Times New Roman" w:hAnsi="Times New Roman" w:cs="Times New Roman"/>
                <w:sz w:val="20"/>
              </w:rPr>
            </w:pPr>
          </w:p>
        </w:tc>
      </w:tr>
      <w:tr w:rsidR="00D26788" w:rsidRPr="00D26788" w14:paraId="08C0D040"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23D4D68E" w14:textId="77777777" w:rsidR="00D26788" w:rsidRPr="00D26788" w:rsidRDefault="00D26788" w:rsidP="00D26788">
            <w:pPr>
              <w:rPr>
                <w:color w:val="000000"/>
                <w:szCs w:val="24"/>
              </w:rPr>
            </w:pPr>
            <w:r w:rsidRPr="00D26788">
              <w:rPr>
                <w:color w:val="000000"/>
                <w:szCs w:val="24"/>
              </w:rPr>
              <w:t>2.1.4</w:t>
            </w:r>
          </w:p>
        </w:tc>
        <w:tc>
          <w:tcPr>
            <w:tcW w:w="1795" w:type="pct"/>
            <w:tcBorders>
              <w:top w:val="nil"/>
              <w:left w:val="nil"/>
              <w:bottom w:val="single" w:sz="4" w:space="0" w:color="auto"/>
              <w:right w:val="single" w:sz="4" w:space="0" w:color="auto"/>
            </w:tcBorders>
            <w:hideMark/>
          </w:tcPr>
          <w:p w14:paraId="3737CBB8" w14:textId="77777777" w:rsidR="00D26788" w:rsidRPr="00D26788" w:rsidRDefault="00D26788" w:rsidP="00D26788">
            <w:pPr>
              <w:rPr>
                <w:color w:val="000000"/>
                <w:szCs w:val="24"/>
              </w:rPr>
            </w:pPr>
            <w:r w:rsidRPr="00D26788">
              <w:rPr>
                <w:color w:val="000000"/>
                <w:szCs w:val="24"/>
              </w:rPr>
              <w:t>Vystyti efektyvaus švietimo ir sporto įstaigų tinklą ir plėtoti infrastruktūrą</w:t>
            </w:r>
          </w:p>
        </w:tc>
        <w:tc>
          <w:tcPr>
            <w:tcW w:w="902" w:type="pct"/>
            <w:tcBorders>
              <w:top w:val="nil"/>
              <w:left w:val="nil"/>
              <w:bottom w:val="single" w:sz="4" w:space="0" w:color="auto"/>
              <w:right w:val="single" w:sz="4" w:space="0" w:color="auto"/>
            </w:tcBorders>
            <w:hideMark/>
          </w:tcPr>
          <w:p w14:paraId="728F2C48" w14:textId="77777777" w:rsidR="00D26788" w:rsidRPr="00D26788" w:rsidRDefault="00D26788" w:rsidP="00D26788">
            <w:pPr>
              <w:jc w:val="right"/>
              <w:rPr>
                <w:color w:val="000000"/>
                <w:szCs w:val="24"/>
              </w:rPr>
            </w:pPr>
            <w:r w:rsidRPr="00D26788">
              <w:rPr>
                <w:color w:val="000000"/>
                <w:szCs w:val="24"/>
              </w:rPr>
              <w:t>392 787,7</w:t>
            </w:r>
          </w:p>
        </w:tc>
        <w:tc>
          <w:tcPr>
            <w:tcW w:w="862" w:type="pct"/>
            <w:tcBorders>
              <w:top w:val="nil"/>
              <w:left w:val="nil"/>
              <w:bottom w:val="single" w:sz="4" w:space="0" w:color="auto"/>
              <w:right w:val="single" w:sz="4" w:space="0" w:color="auto"/>
            </w:tcBorders>
            <w:hideMark/>
          </w:tcPr>
          <w:p w14:paraId="79A2A935" w14:textId="77777777" w:rsidR="00D26788" w:rsidRPr="00D26788" w:rsidRDefault="00D26788" w:rsidP="00D26788">
            <w:pPr>
              <w:jc w:val="right"/>
              <w:rPr>
                <w:color w:val="000000"/>
                <w:szCs w:val="24"/>
              </w:rPr>
            </w:pPr>
            <w:r w:rsidRPr="00D26788">
              <w:rPr>
                <w:color w:val="000000"/>
                <w:szCs w:val="24"/>
              </w:rPr>
              <w:t>418 450,9</w:t>
            </w:r>
          </w:p>
        </w:tc>
        <w:tc>
          <w:tcPr>
            <w:tcW w:w="860" w:type="pct"/>
            <w:tcBorders>
              <w:top w:val="nil"/>
              <w:left w:val="nil"/>
              <w:bottom w:val="single" w:sz="4" w:space="0" w:color="auto"/>
              <w:right w:val="single" w:sz="4" w:space="0" w:color="auto"/>
            </w:tcBorders>
            <w:hideMark/>
          </w:tcPr>
          <w:p w14:paraId="70425B8C" w14:textId="77777777" w:rsidR="00D26788" w:rsidRPr="00D26788" w:rsidRDefault="00D26788" w:rsidP="00D26788">
            <w:pPr>
              <w:jc w:val="right"/>
              <w:rPr>
                <w:color w:val="000000"/>
                <w:szCs w:val="24"/>
              </w:rPr>
            </w:pPr>
            <w:r w:rsidRPr="00D26788">
              <w:rPr>
                <w:color w:val="000000"/>
                <w:szCs w:val="24"/>
              </w:rPr>
              <w:t>397 184,5</w:t>
            </w:r>
          </w:p>
        </w:tc>
        <w:tc>
          <w:tcPr>
            <w:tcW w:w="119" w:type="pct"/>
            <w:vAlign w:val="center"/>
            <w:hideMark/>
          </w:tcPr>
          <w:p w14:paraId="3CBF0F75" w14:textId="77777777" w:rsidR="00D26788" w:rsidRPr="00D26788" w:rsidRDefault="00D26788" w:rsidP="00D26788">
            <w:pPr>
              <w:rPr>
                <w:rFonts w:ascii="Times New Roman" w:hAnsi="Times New Roman" w:cs="Times New Roman"/>
                <w:sz w:val="20"/>
              </w:rPr>
            </w:pPr>
          </w:p>
        </w:tc>
      </w:tr>
      <w:tr w:rsidR="00D26788" w:rsidRPr="00D26788" w14:paraId="676DE6DA"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6801EB6F" w14:textId="77777777" w:rsidR="00D26788" w:rsidRPr="00D26788" w:rsidRDefault="00D26788" w:rsidP="00D26788">
            <w:pPr>
              <w:rPr>
                <w:color w:val="000000"/>
                <w:szCs w:val="24"/>
              </w:rPr>
            </w:pPr>
            <w:r w:rsidRPr="00D26788">
              <w:rPr>
                <w:color w:val="000000"/>
                <w:szCs w:val="24"/>
              </w:rPr>
              <w:t>2.2</w:t>
            </w:r>
          </w:p>
        </w:tc>
        <w:tc>
          <w:tcPr>
            <w:tcW w:w="1795" w:type="pct"/>
            <w:tcBorders>
              <w:top w:val="nil"/>
              <w:left w:val="nil"/>
              <w:bottom w:val="single" w:sz="4" w:space="0" w:color="auto"/>
              <w:right w:val="single" w:sz="4" w:space="0" w:color="auto"/>
            </w:tcBorders>
            <w:hideMark/>
          </w:tcPr>
          <w:p w14:paraId="2CB1E667" w14:textId="77777777" w:rsidR="00D26788" w:rsidRPr="00D26788" w:rsidRDefault="00D26788" w:rsidP="00D26788">
            <w:pPr>
              <w:rPr>
                <w:color w:val="000000"/>
                <w:szCs w:val="24"/>
              </w:rPr>
            </w:pPr>
            <w:r w:rsidRPr="00D26788">
              <w:rPr>
                <w:color w:val="000000"/>
                <w:szCs w:val="24"/>
              </w:rPr>
              <w:t>Sveikai, socialiai aktyviai ir kokybiškai gyvenantis kaunietis</w:t>
            </w:r>
          </w:p>
        </w:tc>
        <w:tc>
          <w:tcPr>
            <w:tcW w:w="902" w:type="pct"/>
            <w:tcBorders>
              <w:top w:val="nil"/>
              <w:left w:val="nil"/>
              <w:bottom w:val="single" w:sz="4" w:space="0" w:color="auto"/>
              <w:right w:val="single" w:sz="4" w:space="0" w:color="auto"/>
            </w:tcBorders>
            <w:hideMark/>
          </w:tcPr>
          <w:p w14:paraId="3FE0D888" w14:textId="77777777" w:rsidR="00D26788" w:rsidRPr="00D26788" w:rsidRDefault="00D26788" w:rsidP="00D26788">
            <w:pPr>
              <w:jc w:val="right"/>
              <w:rPr>
                <w:color w:val="000000"/>
                <w:szCs w:val="24"/>
              </w:rPr>
            </w:pPr>
            <w:r w:rsidRPr="00D26788">
              <w:rPr>
                <w:color w:val="000000"/>
                <w:szCs w:val="24"/>
              </w:rPr>
              <w:t>228 194,5</w:t>
            </w:r>
          </w:p>
        </w:tc>
        <w:tc>
          <w:tcPr>
            <w:tcW w:w="862" w:type="pct"/>
            <w:tcBorders>
              <w:top w:val="nil"/>
              <w:left w:val="nil"/>
              <w:bottom w:val="single" w:sz="4" w:space="0" w:color="auto"/>
              <w:right w:val="single" w:sz="4" w:space="0" w:color="auto"/>
            </w:tcBorders>
            <w:hideMark/>
          </w:tcPr>
          <w:p w14:paraId="2FDFAE74" w14:textId="77777777" w:rsidR="00D26788" w:rsidRPr="00D26788" w:rsidRDefault="00D26788" w:rsidP="00D26788">
            <w:pPr>
              <w:jc w:val="right"/>
              <w:rPr>
                <w:color w:val="000000"/>
                <w:szCs w:val="24"/>
              </w:rPr>
            </w:pPr>
            <w:r w:rsidRPr="00D26788">
              <w:rPr>
                <w:color w:val="000000"/>
                <w:szCs w:val="24"/>
              </w:rPr>
              <w:t>244 452,1</w:t>
            </w:r>
          </w:p>
        </w:tc>
        <w:tc>
          <w:tcPr>
            <w:tcW w:w="860" w:type="pct"/>
            <w:tcBorders>
              <w:top w:val="nil"/>
              <w:left w:val="nil"/>
              <w:bottom w:val="single" w:sz="4" w:space="0" w:color="auto"/>
              <w:right w:val="single" w:sz="4" w:space="0" w:color="auto"/>
            </w:tcBorders>
            <w:hideMark/>
          </w:tcPr>
          <w:p w14:paraId="333451D6" w14:textId="77777777" w:rsidR="00D26788" w:rsidRPr="00D26788" w:rsidRDefault="00D26788" w:rsidP="00D26788">
            <w:pPr>
              <w:jc w:val="right"/>
              <w:rPr>
                <w:color w:val="000000"/>
                <w:szCs w:val="24"/>
              </w:rPr>
            </w:pPr>
            <w:r w:rsidRPr="00D26788">
              <w:rPr>
                <w:color w:val="000000"/>
                <w:szCs w:val="24"/>
              </w:rPr>
              <w:t>239 032,8</w:t>
            </w:r>
          </w:p>
        </w:tc>
        <w:tc>
          <w:tcPr>
            <w:tcW w:w="119" w:type="pct"/>
            <w:vAlign w:val="center"/>
            <w:hideMark/>
          </w:tcPr>
          <w:p w14:paraId="79345355" w14:textId="77777777" w:rsidR="00D26788" w:rsidRPr="00D26788" w:rsidRDefault="00D26788" w:rsidP="00D26788">
            <w:pPr>
              <w:rPr>
                <w:rFonts w:ascii="Times New Roman" w:hAnsi="Times New Roman" w:cs="Times New Roman"/>
                <w:sz w:val="20"/>
              </w:rPr>
            </w:pPr>
          </w:p>
        </w:tc>
      </w:tr>
      <w:tr w:rsidR="00D26788" w:rsidRPr="00D26788" w14:paraId="0D5C0B07"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7E3E2683" w14:textId="77777777" w:rsidR="00D26788" w:rsidRPr="00D26788" w:rsidRDefault="00D26788" w:rsidP="00D26788">
            <w:pPr>
              <w:rPr>
                <w:color w:val="000000"/>
                <w:szCs w:val="24"/>
              </w:rPr>
            </w:pPr>
            <w:r w:rsidRPr="00D26788">
              <w:rPr>
                <w:color w:val="000000"/>
                <w:szCs w:val="24"/>
              </w:rPr>
              <w:t>2.2.1</w:t>
            </w:r>
          </w:p>
        </w:tc>
        <w:tc>
          <w:tcPr>
            <w:tcW w:w="1795" w:type="pct"/>
            <w:tcBorders>
              <w:top w:val="nil"/>
              <w:left w:val="nil"/>
              <w:bottom w:val="single" w:sz="4" w:space="0" w:color="auto"/>
              <w:right w:val="single" w:sz="4" w:space="0" w:color="auto"/>
            </w:tcBorders>
            <w:hideMark/>
          </w:tcPr>
          <w:p w14:paraId="31587051" w14:textId="77777777" w:rsidR="00D26788" w:rsidRPr="00D26788" w:rsidRDefault="00D26788" w:rsidP="00D26788">
            <w:pPr>
              <w:rPr>
                <w:color w:val="000000"/>
                <w:szCs w:val="24"/>
              </w:rPr>
            </w:pPr>
            <w:r w:rsidRPr="00D26788">
              <w:rPr>
                <w:color w:val="000000"/>
                <w:szCs w:val="24"/>
              </w:rPr>
              <w:t>Didinti sveikos gyvensenos galimybių plėtrą kauniečiams</w:t>
            </w:r>
          </w:p>
        </w:tc>
        <w:tc>
          <w:tcPr>
            <w:tcW w:w="902" w:type="pct"/>
            <w:tcBorders>
              <w:top w:val="nil"/>
              <w:left w:val="nil"/>
              <w:bottom w:val="single" w:sz="4" w:space="0" w:color="auto"/>
              <w:right w:val="single" w:sz="4" w:space="0" w:color="auto"/>
            </w:tcBorders>
            <w:hideMark/>
          </w:tcPr>
          <w:p w14:paraId="28D9AFAA" w14:textId="77777777" w:rsidR="00D26788" w:rsidRPr="00D26788" w:rsidRDefault="00D26788" w:rsidP="00D26788">
            <w:pPr>
              <w:jc w:val="right"/>
              <w:rPr>
                <w:color w:val="000000"/>
                <w:szCs w:val="24"/>
              </w:rPr>
            </w:pPr>
            <w:r w:rsidRPr="00D26788">
              <w:rPr>
                <w:color w:val="000000"/>
                <w:szCs w:val="24"/>
              </w:rPr>
              <w:t>4 090,5</w:t>
            </w:r>
          </w:p>
        </w:tc>
        <w:tc>
          <w:tcPr>
            <w:tcW w:w="862" w:type="pct"/>
            <w:tcBorders>
              <w:top w:val="nil"/>
              <w:left w:val="nil"/>
              <w:bottom w:val="single" w:sz="4" w:space="0" w:color="auto"/>
              <w:right w:val="single" w:sz="4" w:space="0" w:color="auto"/>
            </w:tcBorders>
            <w:hideMark/>
          </w:tcPr>
          <w:p w14:paraId="4234D73D" w14:textId="77777777" w:rsidR="00D26788" w:rsidRPr="00D26788" w:rsidRDefault="00D26788" w:rsidP="00D26788">
            <w:pPr>
              <w:jc w:val="right"/>
              <w:rPr>
                <w:color w:val="000000"/>
                <w:szCs w:val="24"/>
              </w:rPr>
            </w:pPr>
            <w:r w:rsidRPr="00D26788">
              <w:rPr>
                <w:color w:val="000000"/>
                <w:szCs w:val="24"/>
              </w:rPr>
              <w:t>4 157,4</w:t>
            </w:r>
          </w:p>
        </w:tc>
        <w:tc>
          <w:tcPr>
            <w:tcW w:w="860" w:type="pct"/>
            <w:tcBorders>
              <w:top w:val="nil"/>
              <w:left w:val="nil"/>
              <w:bottom w:val="single" w:sz="4" w:space="0" w:color="auto"/>
              <w:right w:val="single" w:sz="4" w:space="0" w:color="auto"/>
            </w:tcBorders>
            <w:hideMark/>
          </w:tcPr>
          <w:p w14:paraId="003207C5" w14:textId="77777777" w:rsidR="00D26788" w:rsidRPr="00D26788" w:rsidRDefault="00D26788" w:rsidP="00D26788">
            <w:pPr>
              <w:jc w:val="right"/>
              <w:rPr>
                <w:color w:val="000000"/>
                <w:szCs w:val="24"/>
              </w:rPr>
            </w:pPr>
            <w:r w:rsidRPr="00D26788">
              <w:rPr>
                <w:color w:val="000000"/>
                <w:szCs w:val="24"/>
              </w:rPr>
              <w:t>3 845,6</w:t>
            </w:r>
          </w:p>
        </w:tc>
        <w:tc>
          <w:tcPr>
            <w:tcW w:w="119" w:type="pct"/>
            <w:vAlign w:val="center"/>
            <w:hideMark/>
          </w:tcPr>
          <w:p w14:paraId="1A60C46B" w14:textId="77777777" w:rsidR="00D26788" w:rsidRPr="00D26788" w:rsidRDefault="00D26788" w:rsidP="00D26788">
            <w:pPr>
              <w:rPr>
                <w:rFonts w:ascii="Times New Roman" w:hAnsi="Times New Roman" w:cs="Times New Roman"/>
                <w:sz w:val="20"/>
              </w:rPr>
            </w:pPr>
          </w:p>
        </w:tc>
      </w:tr>
      <w:tr w:rsidR="00D26788" w:rsidRPr="00D26788" w14:paraId="1365F7CB"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1F1FB855" w14:textId="77777777" w:rsidR="00D26788" w:rsidRPr="00D26788" w:rsidRDefault="00D26788" w:rsidP="00D26788">
            <w:pPr>
              <w:rPr>
                <w:color w:val="000000"/>
                <w:szCs w:val="24"/>
              </w:rPr>
            </w:pPr>
            <w:r w:rsidRPr="00D26788">
              <w:rPr>
                <w:color w:val="000000"/>
                <w:szCs w:val="24"/>
              </w:rPr>
              <w:t>2.2.2</w:t>
            </w:r>
          </w:p>
        </w:tc>
        <w:tc>
          <w:tcPr>
            <w:tcW w:w="1795" w:type="pct"/>
            <w:tcBorders>
              <w:top w:val="nil"/>
              <w:left w:val="nil"/>
              <w:bottom w:val="single" w:sz="4" w:space="0" w:color="auto"/>
              <w:right w:val="single" w:sz="4" w:space="0" w:color="auto"/>
            </w:tcBorders>
            <w:hideMark/>
          </w:tcPr>
          <w:p w14:paraId="1EEF6808" w14:textId="77777777" w:rsidR="00D26788" w:rsidRPr="00D26788" w:rsidRDefault="00D26788" w:rsidP="00D26788">
            <w:pPr>
              <w:rPr>
                <w:color w:val="000000"/>
                <w:szCs w:val="24"/>
              </w:rPr>
            </w:pPr>
            <w:r w:rsidRPr="00D26788">
              <w:rPr>
                <w:color w:val="000000"/>
                <w:szCs w:val="24"/>
              </w:rPr>
              <w:t>Užtikrinti kokybiškas sveikatos ir socialines paslaugas, plėtojant inovatyvią ir efektyvią pagalbos paslaugų sistemą</w:t>
            </w:r>
          </w:p>
        </w:tc>
        <w:tc>
          <w:tcPr>
            <w:tcW w:w="902" w:type="pct"/>
            <w:tcBorders>
              <w:top w:val="nil"/>
              <w:left w:val="nil"/>
              <w:bottom w:val="single" w:sz="4" w:space="0" w:color="auto"/>
              <w:right w:val="single" w:sz="4" w:space="0" w:color="auto"/>
            </w:tcBorders>
            <w:hideMark/>
          </w:tcPr>
          <w:p w14:paraId="6176CE13" w14:textId="77777777" w:rsidR="00D26788" w:rsidRPr="00D26788" w:rsidRDefault="00D26788" w:rsidP="00D26788">
            <w:pPr>
              <w:jc w:val="right"/>
              <w:rPr>
                <w:color w:val="000000"/>
                <w:szCs w:val="24"/>
              </w:rPr>
            </w:pPr>
            <w:r w:rsidRPr="00D26788">
              <w:rPr>
                <w:color w:val="000000"/>
                <w:szCs w:val="24"/>
              </w:rPr>
              <w:t>223 989,4</w:t>
            </w:r>
          </w:p>
        </w:tc>
        <w:tc>
          <w:tcPr>
            <w:tcW w:w="862" w:type="pct"/>
            <w:tcBorders>
              <w:top w:val="nil"/>
              <w:left w:val="nil"/>
              <w:bottom w:val="single" w:sz="4" w:space="0" w:color="auto"/>
              <w:right w:val="single" w:sz="4" w:space="0" w:color="auto"/>
            </w:tcBorders>
            <w:hideMark/>
          </w:tcPr>
          <w:p w14:paraId="25CCA092" w14:textId="77777777" w:rsidR="00D26788" w:rsidRPr="00D26788" w:rsidRDefault="00D26788" w:rsidP="00D26788">
            <w:pPr>
              <w:jc w:val="right"/>
              <w:rPr>
                <w:color w:val="000000"/>
                <w:szCs w:val="24"/>
              </w:rPr>
            </w:pPr>
            <w:r w:rsidRPr="00D26788">
              <w:rPr>
                <w:color w:val="000000"/>
                <w:szCs w:val="24"/>
              </w:rPr>
              <w:t>240 180,2</w:t>
            </w:r>
          </w:p>
        </w:tc>
        <w:tc>
          <w:tcPr>
            <w:tcW w:w="860" w:type="pct"/>
            <w:tcBorders>
              <w:top w:val="nil"/>
              <w:left w:val="nil"/>
              <w:bottom w:val="single" w:sz="4" w:space="0" w:color="auto"/>
              <w:right w:val="single" w:sz="4" w:space="0" w:color="auto"/>
            </w:tcBorders>
            <w:hideMark/>
          </w:tcPr>
          <w:p w14:paraId="3638C992" w14:textId="77777777" w:rsidR="00D26788" w:rsidRPr="00D26788" w:rsidRDefault="00D26788" w:rsidP="00D26788">
            <w:pPr>
              <w:jc w:val="right"/>
              <w:rPr>
                <w:color w:val="000000"/>
                <w:szCs w:val="24"/>
              </w:rPr>
            </w:pPr>
            <w:r w:rsidRPr="00D26788">
              <w:rPr>
                <w:color w:val="000000"/>
                <w:szCs w:val="24"/>
              </w:rPr>
              <w:t>235 072,7</w:t>
            </w:r>
          </w:p>
        </w:tc>
        <w:tc>
          <w:tcPr>
            <w:tcW w:w="119" w:type="pct"/>
            <w:vAlign w:val="center"/>
            <w:hideMark/>
          </w:tcPr>
          <w:p w14:paraId="3B99B949" w14:textId="77777777" w:rsidR="00D26788" w:rsidRPr="00D26788" w:rsidRDefault="00D26788" w:rsidP="00D26788">
            <w:pPr>
              <w:rPr>
                <w:rFonts w:ascii="Times New Roman" w:hAnsi="Times New Roman" w:cs="Times New Roman"/>
                <w:sz w:val="20"/>
              </w:rPr>
            </w:pPr>
          </w:p>
        </w:tc>
      </w:tr>
      <w:tr w:rsidR="00D26788" w:rsidRPr="00D26788" w14:paraId="37EC4AB8"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49DFEB28" w14:textId="77777777" w:rsidR="00D26788" w:rsidRPr="00D26788" w:rsidRDefault="00D26788" w:rsidP="00D26788">
            <w:pPr>
              <w:rPr>
                <w:color w:val="000000"/>
                <w:szCs w:val="24"/>
              </w:rPr>
            </w:pPr>
            <w:r w:rsidRPr="00D26788">
              <w:rPr>
                <w:color w:val="000000"/>
                <w:szCs w:val="24"/>
              </w:rPr>
              <w:t>2.2.3</w:t>
            </w:r>
          </w:p>
        </w:tc>
        <w:tc>
          <w:tcPr>
            <w:tcW w:w="1795" w:type="pct"/>
            <w:tcBorders>
              <w:top w:val="nil"/>
              <w:left w:val="nil"/>
              <w:bottom w:val="single" w:sz="4" w:space="0" w:color="auto"/>
              <w:right w:val="single" w:sz="4" w:space="0" w:color="auto"/>
            </w:tcBorders>
            <w:hideMark/>
          </w:tcPr>
          <w:p w14:paraId="2E4D3127" w14:textId="77777777" w:rsidR="00D26788" w:rsidRPr="00D26788" w:rsidRDefault="00D26788" w:rsidP="00D26788">
            <w:pPr>
              <w:rPr>
                <w:color w:val="000000"/>
                <w:szCs w:val="24"/>
              </w:rPr>
            </w:pPr>
            <w:r w:rsidRPr="00D26788">
              <w:rPr>
                <w:color w:val="000000"/>
                <w:szCs w:val="24"/>
              </w:rPr>
              <w:t>Įveiklinti bendruomenes sveikatinimo ir socialinėje srityse</w:t>
            </w:r>
          </w:p>
        </w:tc>
        <w:tc>
          <w:tcPr>
            <w:tcW w:w="902" w:type="pct"/>
            <w:tcBorders>
              <w:top w:val="nil"/>
              <w:left w:val="nil"/>
              <w:bottom w:val="single" w:sz="4" w:space="0" w:color="auto"/>
              <w:right w:val="single" w:sz="4" w:space="0" w:color="auto"/>
            </w:tcBorders>
            <w:hideMark/>
          </w:tcPr>
          <w:p w14:paraId="626373EA" w14:textId="77777777" w:rsidR="00D26788" w:rsidRPr="00D26788" w:rsidRDefault="00D26788" w:rsidP="00D26788">
            <w:pPr>
              <w:jc w:val="right"/>
              <w:rPr>
                <w:color w:val="000000"/>
                <w:szCs w:val="24"/>
              </w:rPr>
            </w:pPr>
            <w:r w:rsidRPr="00D26788">
              <w:rPr>
                <w:color w:val="000000"/>
                <w:szCs w:val="24"/>
              </w:rPr>
              <w:t>114,5</w:t>
            </w:r>
          </w:p>
        </w:tc>
        <w:tc>
          <w:tcPr>
            <w:tcW w:w="862" w:type="pct"/>
            <w:tcBorders>
              <w:top w:val="nil"/>
              <w:left w:val="nil"/>
              <w:bottom w:val="single" w:sz="4" w:space="0" w:color="auto"/>
              <w:right w:val="single" w:sz="4" w:space="0" w:color="auto"/>
            </w:tcBorders>
            <w:hideMark/>
          </w:tcPr>
          <w:p w14:paraId="1C62D48B" w14:textId="77777777" w:rsidR="00D26788" w:rsidRPr="00D26788" w:rsidRDefault="00D26788" w:rsidP="00D26788">
            <w:pPr>
              <w:jc w:val="right"/>
              <w:rPr>
                <w:color w:val="000000"/>
                <w:szCs w:val="24"/>
              </w:rPr>
            </w:pPr>
            <w:r w:rsidRPr="00D26788">
              <w:rPr>
                <w:color w:val="000000"/>
                <w:szCs w:val="24"/>
              </w:rPr>
              <w:t>114,5</w:t>
            </w:r>
          </w:p>
        </w:tc>
        <w:tc>
          <w:tcPr>
            <w:tcW w:w="860" w:type="pct"/>
            <w:tcBorders>
              <w:top w:val="nil"/>
              <w:left w:val="nil"/>
              <w:bottom w:val="single" w:sz="4" w:space="0" w:color="auto"/>
              <w:right w:val="single" w:sz="4" w:space="0" w:color="auto"/>
            </w:tcBorders>
            <w:hideMark/>
          </w:tcPr>
          <w:p w14:paraId="168087A1" w14:textId="77777777" w:rsidR="00D26788" w:rsidRPr="00D26788" w:rsidRDefault="00D26788" w:rsidP="00D26788">
            <w:pPr>
              <w:jc w:val="right"/>
              <w:rPr>
                <w:color w:val="000000"/>
                <w:szCs w:val="24"/>
              </w:rPr>
            </w:pPr>
            <w:r w:rsidRPr="00D26788">
              <w:rPr>
                <w:color w:val="000000"/>
                <w:szCs w:val="24"/>
              </w:rPr>
              <w:t>114,5</w:t>
            </w:r>
          </w:p>
        </w:tc>
        <w:tc>
          <w:tcPr>
            <w:tcW w:w="119" w:type="pct"/>
            <w:vAlign w:val="center"/>
            <w:hideMark/>
          </w:tcPr>
          <w:p w14:paraId="5BDFE8A1" w14:textId="77777777" w:rsidR="00D26788" w:rsidRPr="00D26788" w:rsidRDefault="00D26788" w:rsidP="00D26788">
            <w:pPr>
              <w:rPr>
                <w:rFonts w:ascii="Times New Roman" w:hAnsi="Times New Roman" w:cs="Times New Roman"/>
                <w:sz w:val="20"/>
              </w:rPr>
            </w:pPr>
          </w:p>
        </w:tc>
      </w:tr>
      <w:tr w:rsidR="00D26788" w:rsidRPr="00D26788" w14:paraId="5446090D" w14:textId="77777777" w:rsidTr="00A548C7">
        <w:trPr>
          <w:trHeight w:val="945"/>
        </w:trPr>
        <w:tc>
          <w:tcPr>
            <w:tcW w:w="462" w:type="pct"/>
            <w:tcBorders>
              <w:top w:val="nil"/>
              <w:left w:val="single" w:sz="4" w:space="0" w:color="auto"/>
              <w:bottom w:val="single" w:sz="4" w:space="0" w:color="auto"/>
              <w:right w:val="single" w:sz="4" w:space="0" w:color="auto"/>
            </w:tcBorders>
            <w:hideMark/>
          </w:tcPr>
          <w:p w14:paraId="7EFB53B3" w14:textId="77777777" w:rsidR="00D26788" w:rsidRPr="00D26788" w:rsidRDefault="00D26788" w:rsidP="00D26788">
            <w:pPr>
              <w:rPr>
                <w:b/>
                <w:bCs/>
                <w:color w:val="000000"/>
                <w:szCs w:val="24"/>
              </w:rPr>
            </w:pPr>
            <w:r w:rsidRPr="00D26788">
              <w:rPr>
                <w:b/>
                <w:bCs/>
                <w:color w:val="000000"/>
                <w:szCs w:val="24"/>
              </w:rPr>
              <w:t>3</w:t>
            </w:r>
          </w:p>
        </w:tc>
        <w:tc>
          <w:tcPr>
            <w:tcW w:w="1795" w:type="pct"/>
            <w:tcBorders>
              <w:top w:val="nil"/>
              <w:left w:val="nil"/>
              <w:bottom w:val="single" w:sz="4" w:space="0" w:color="auto"/>
              <w:right w:val="single" w:sz="4" w:space="0" w:color="auto"/>
            </w:tcBorders>
            <w:hideMark/>
          </w:tcPr>
          <w:p w14:paraId="0AC6F896" w14:textId="77777777" w:rsidR="00D26788" w:rsidRPr="00D26788" w:rsidRDefault="00D26788" w:rsidP="00D26788">
            <w:pPr>
              <w:rPr>
                <w:b/>
                <w:bCs/>
                <w:color w:val="000000"/>
                <w:szCs w:val="24"/>
              </w:rPr>
            </w:pPr>
            <w:r w:rsidRPr="00D26788">
              <w:rPr>
                <w:b/>
                <w:bCs/>
                <w:color w:val="000000"/>
                <w:szCs w:val="24"/>
              </w:rPr>
              <w:t>Tvarumo bei žaliojo kurso principais tvariai valdomo miesto programa</w:t>
            </w:r>
          </w:p>
        </w:tc>
        <w:tc>
          <w:tcPr>
            <w:tcW w:w="902" w:type="pct"/>
            <w:tcBorders>
              <w:top w:val="nil"/>
              <w:left w:val="nil"/>
              <w:bottom w:val="single" w:sz="4" w:space="0" w:color="auto"/>
              <w:right w:val="single" w:sz="4" w:space="0" w:color="auto"/>
            </w:tcBorders>
            <w:hideMark/>
          </w:tcPr>
          <w:p w14:paraId="0E3B3E07" w14:textId="77777777" w:rsidR="00D26788" w:rsidRPr="00D26788" w:rsidRDefault="00D26788" w:rsidP="00D26788">
            <w:pPr>
              <w:jc w:val="right"/>
              <w:rPr>
                <w:b/>
                <w:bCs/>
                <w:color w:val="000000"/>
                <w:szCs w:val="24"/>
              </w:rPr>
            </w:pPr>
            <w:r w:rsidRPr="00D26788">
              <w:rPr>
                <w:b/>
                <w:bCs/>
                <w:color w:val="000000"/>
                <w:szCs w:val="24"/>
              </w:rPr>
              <w:t>252 760,6</w:t>
            </w:r>
          </w:p>
        </w:tc>
        <w:tc>
          <w:tcPr>
            <w:tcW w:w="862" w:type="pct"/>
            <w:tcBorders>
              <w:top w:val="nil"/>
              <w:left w:val="nil"/>
              <w:bottom w:val="single" w:sz="4" w:space="0" w:color="auto"/>
              <w:right w:val="single" w:sz="4" w:space="0" w:color="auto"/>
            </w:tcBorders>
            <w:hideMark/>
          </w:tcPr>
          <w:p w14:paraId="11C75A7A" w14:textId="77777777" w:rsidR="00D26788" w:rsidRPr="00D26788" w:rsidRDefault="00D26788" w:rsidP="00D26788">
            <w:pPr>
              <w:jc w:val="right"/>
              <w:rPr>
                <w:b/>
                <w:bCs/>
                <w:color w:val="000000"/>
                <w:szCs w:val="24"/>
              </w:rPr>
            </w:pPr>
            <w:r w:rsidRPr="00D26788">
              <w:rPr>
                <w:b/>
                <w:bCs/>
                <w:color w:val="000000"/>
                <w:szCs w:val="24"/>
              </w:rPr>
              <w:t>266 801,3</w:t>
            </w:r>
          </w:p>
        </w:tc>
        <w:tc>
          <w:tcPr>
            <w:tcW w:w="860" w:type="pct"/>
            <w:tcBorders>
              <w:top w:val="nil"/>
              <w:left w:val="nil"/>
              <w:bottom w:val="single" w:sz="4" w:space="0" w:color="auto"/>
              <w:right w:val="single" w:sz="4" w:space="0" w:color="auto"/>
            </w:tcBorders>
            <w:hideMark/>
          </w:tcPr>
          <w:p w14:paraId="27E6BC2F" w14:textId="77777777" w:rsidR="00D26788" w:rsidRPr="00D26788" w:rsidRDefault="00D26788" w:rsidP="00D26788">
            <w:pPr>
              <w:jc w:val="right"/>
              <w:rPr>
                <w:b/>
                <w:bCs/>
                <w:color w:val="000000"/>
                <w:szCs w:val="24"/>
              </w:rPr>
            </w:pPr>
            <w:r w:rsidRPr="00D26788">
              <w:rPr>
                <w:b/>
                <w:bCs/>
                <w:color w:val="000000"/>
                <w:szCs w:val="24"/>
              </w:rPr>
              <w:t>251 680,0</w:t>
            </w:r>
          </w:p>
        </w:tc>
        <w:tc>
          <w:tcPr>
            <w:tcW w:w="119" w:type="pct"/>
            <w:vAlign w:val="center"/>
            <w:hideMark/>
          </w:tcPr>
          <w:p w14:paraId="59CE23F3" w14:textId="77777777" w:rsidR="00D26788" w:rsidRPr="00D26788" w:rsidRDefault="00D26788" w:rsidP="00D26788">
            <w:pPr>
              <w:rPr>
                <w:rFonts w:ascii="Times New Roman" w:hAnsi="Times New Roman" w:cs="Times New Roman"/>
                <w:sz w:val="20"/>
              </w:rPr>
            </w:pPr>
          </w:p>
        </w:tc>
      </w:tr>
      <w:tr w:rsidR="00D26788" w:rsidRPr="00D26788" w14:paraId="30D61675"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1DD62785" w14:textId="77777777" w:rsidR="00D26788" w:rsidRPr="00D26788" w:rsidRDefault="00D26788" w:rsidP="00D26788">
            <w:pPr>
              <w:rPr>
                <w:color w:val="000000"/>
                <w:szCs w:val="24"/>
              </w:rPr>
            </w:pPr>
            <w:r w:rsidRPr="00D26788">
              <w:rPr>
                <w:color w:val="000000"/>
                <w:szCs w:val="24"/>
              </w:rPr>
              <w:t>3.1</w:t>
            </w:r>
          </w:p>
        </w:tc>
        <w:tc>
          <w:tcPr>
            <w:tcW w:w="1795" w:type="pct"/>
            <w:tcBorders>
              <w:top w:val="nil"/>
              <w:left w:val="nil"/>
              <w:bottom w:val="single" w:sz="4" w:space="0" w:color="auto"/>
              <w:right w:val="single" w:sz="4" w:space="0" w:color="auto"/>
            </w:tcBorders>
            <w:hideMark/>
          </w:tcPr>
          <w:p w14:paraId="3BB6CD18" w14:textId="77777777" w:rsidR="00D26788" w:rsidRPr="00D26788" w:rsidRDefault="00D26788" w:rsidP="00D26788">
            <w:pPr>
              <w:rPr>
                <w:color w:val="000000"/>
                <w:szCs w:val="24"/>
              </w:rPr>
            </w:pPr>
            <w:r w:rsidRPr="00D26788">
              <w:rPr>
                <w:color w:val="000000"/>
                <w:szCs w:val="24"/>
              </w:rPr>
              <w:t>Tvari, nuolat tobulėjanti organizacija patogiam miestiečių gyvenimui</w:t>
            </w:r>
          </w:p>
        </w:tc>
        <w:tc>
          <w:tcPr>
            <w:tcW w:w="902" w:type="pct"/>
            <w:tcBorders>
              <w:top w:val="nil"/>
              <w:left w:val="nil"/>
              <w:bottom w:val="single" w:sz="4" w:space="0" w:color="auto"/>
              <w:right w:val="single" w:sz="4" w:space="0" w:color="auto"/>
            </w:tcBorders>
            <w:hideMark/>
          </w:tcPr>
          <w:p w14:paraId="6EE6D8E6" w14:textId="77777777" w:rsidR="00D26788" w:rsidRPr="00D26788" w:rsidRDefault="00D26788" w:rsidP="00D26788">
            <w:pPr>
              <w:jc w:val="right"/>
              <w:rPr>
                <w:color w:val="000000"/>
                <w:szCs w:val="24"/>
              </w:rPr>
            </w:pPr>
            <w:r w:rsidRPr="00D26788">
              <w:rPr>
                <w:color w:val="000000"/>
                <w:szCs w:val="24"/>
              </w:rPr>
              <w:t>57 349,0</w:t>
            </w:r>
          </w:p>
        </w:tc>
        <w:tc>
          <w:tcPr>
            <w:tcW w:w="862" w:type="pct"/>
            <w:tcBorders>
              <w:top w:val="nil"/>
              <w:left w:val="nil"/>
              <w:bottom w:val="single" w:sz="4" w:space="0" w:color="auto"/>
              <w:right w:val="single" w:sz="4" w:space="0" w:color="auto"/>
            </w:tcBorders>
            <w:hideMark/>
          </w:tcPr>
          <w:p w14:paraId="291BDED3" w14:textId="77777777" w:rsidR="00D26788" w:rsidRPr="00D26788" w:rsidRDefault="00D26788" w:rsidP="00D26788">
            <w:pPr>
              <w:jc w:val="right"/>
              <w:rPr>
                <w:color w:val="000000"/>
                <w:szCs w:val="24"/>
              </w:rPr>
            </w:pPr>
            <w:r w:rsidRPr="00D26788">
              <w:rPr>
                <w:color w:val="000000"/>
                <w:szCs w:val="24"/>
              </w:rPr>
              <w:t>54 932,1</w:t>
            </w:r>
          </w:p>
        </w:tc>
        <w:tc>
          <w:tcPr>
            <w:tcW w:w="860" w:type="pct"/>
            <w:tcBorders>
              <w:top w:val="nil"/>
              <w:left w:val="nil"/>
              <w:bottom w:val="single" w:sz="4" w:space="0" w:color="auto"/>
              <w:right w:val="single" w:sz="4" w:space="0" w:color="auto"/>
            </w:tcBorders>
            <w:hideMark/>
          </w:tcPr>
          <w:p w14:paraId="2D401474" w14:textId="77777777" w:rsidR="00D26788" w:rsidRPr="00D26788" w:rsidRDefault="00D26788" w:rsidP="00D26788">
            <w:pPr>
              <w:jc w:val="right"/>
              <w:rPr>
                <w:color w:val="000000"/>
                <w:szCs w:val="24"/>
              </w:rPr>
            </w:pPr>
            <w:r w:rsidRPr="00D26788">
              <w:rPr>
                <w:color w:val="000000"/>
                <w:szCs w:val="24"/>
              </w:rPr>
              <w:t>52 125,1</w:t>
            </w:r>
          </w:p>
        </w:tc>
        <w:tc>
          <w:tcPr>
            <w:tcW w:w="119" w:type="pct"/>
            <w:vAlign w:val="center"/>
            <w:hideMark/>
          </w:tcPr>
          <w:p w14:paraId="0E5D6AC7" w14:textId="77777777" w:rsidR="00D26788" w:rsidRPr="00D26788" w:rsidRDefault="00D26788" w:rsidP="00D26788">
            <w:pPr>
              <w:rPr>
                <w:rFonts w:ascii="Times New Roman" w:hAnsi="Times New Roman" w:cs="Times New Roman"/>
                <w:sz w:val="20"/>
              </w:rPr>
            </w:pPr>
          </w:p>
        </w:tc>
      </w:tr>
      <w:tr w:rsidR="00D26788" w:rsidRPr="00D26788" w14:paraId="4F65177F"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202848E5" w14:textId="77777777" w:rsidR="00D26788" w:rsidRPr="00D26788" w:rsidRDefault="00D26788" w:rsidP="00D26788">
            <w:pPr>
              <w:rPr>
                <w:color w:val="000000"/>
                <w:szCs w:val="24"/>
              </w:rPr>
            </w:pPr>
            <w:r w:rsidRPr="00D26788">
              <w:rPr>
                <w:color w:val="000000"/>
                <w:szCs w:val="24"/>
              </w:rPr>
              <w:t>3.1.1</w:t>
            </w:r>
          </w:p>
        </w:tc>
        <w:tc>
          <w:tcPr>
            <w:tcW w:w="1795" w:type="pct"/>
            <w:tcBorders>
              <w:top w:val="nil"/>
              <w:left w:val="nil"/>
              <w:bottom w:val="single" w:sz="4" w:space="0" w:color="auto"/>
              <w:right w:val="single" w:sz="4" w:space="0" w:color="auto"/>
            </w:tcBorders>
            <w:hideMark/>
          </w:tcPr>
          <w:p w14:paraId="44812A1F" w14:textId="77777777" w:rsidR="00D26788" w:rsidRPr="00D26788" w:rsidRDefault="00D26788" w:rsidP="00D26788">
            <w:pPr>
              <w:rPr>
                <w:color w:val="000000"/>
                <w:szCs w:val="24"/>
              </w:rPr>
            </w:pPr>
            <w:r w:rsidRPr="00D26788">
              <w:rPr>
                <w:color w:val="000000"/>
                <w:szCs w:val="24"/>
              </w:rPr>
              <w:t>Tapti pirmaujančia organizacija, efektyviai naudojančia pažangius skaitmeninius sprendimus</w:t>
            </w:r>
          </w:p>
        </w:tc>
        <w:tc>
          <w:tcPr>
            <w:tcW w:w="902" w:type="pct"/>
            <w:tcBorders>
              <w:top w:val="nil"/>
              <w:left w:val="nil"/>
              <w:bottom w:val="single" w:sz="4" w:space="0" w:color="auto"/>
              <w:right w:val="single" w:sz="4" w:space="0" w:color="auto"/>
            </w:tcBorders>
            <w:hideMark/>
          </w:tcPr>
          <w:p w14:paraId="2A39B231" w14:textId="77777777" w:rsidR="00D26788" w:rsidRPr="00D26788" w:rsidRDefault="00D26788" w:rsidP="00D26788">
            <w:pPr>
              <w:jc w:val="right"/>
              <w:rPr>
                <w:color w:val="000000"/>
                <w:szCs w:val="24"/>
              </w:rPr>
            </w:pPr>
            <w:r w:rsidRPr="00D26788">
              <w:rPr>
                <w:color w:val="000000"/>
                <w:szCs w:val="24"/>
              </w:rPr>
              <w:t>48 935,9</w:t>
            </w:r>
          </w:p>
        </w:tc>
        <w:tc>
          <w:tcPr>
            <w:tcW w:w="862" w:type="pct"/>
            <w:tcBorders>
              <w:top w:val="nil"/>
              <w:left w:val="nil"/>
              <w:bottom w:val="single" w:sz="4" w:space="0" w:color="auto"/>
              <w:right w:val="single" w:sz="4" w:space="0" w:color="auto"/>
            </w:tcBorders>
            <w:hideMark/>
          </w:tcPr>
          <w:p w14:paraId="0275CDDB" w14:textId="77777777" w:rsidR="00D26788" w:rsidRPr="00D26788" w:rsidRDefault="00D26788" w:rsidP="00D26788">
            <w:pPr>
              <w:jc w:val="right"/>
              <w:rPr>
                <w:color w:val="000000"/>
                <w:szCs w:val="24"/>
              </w:rPr>
            </w:pPr>
            <w:r w:rsidRPr="00D26788">
              <w:rPr>
                <w:color w:val="000000"/>
                <w:szCs w:val="24"/>
              </w:rPr>
              <w:t>46 848,8</w:t>
            </w:r>
          </w:p>
        </w:tc>
        <w:tc>
          <w:tcPr>
            <w:tcW w:w="860" w:type="pct"/>
            <w:tcBorders>
              <w:top w:val="nil"/>
              <w:left w:val="nil"/>
              <w:bottom w:val="single" w:sz="4" w:space="0" w:color="auto"/>
              <w:right w:val="single" w:sz="4" w:space="0" w:color="auto"/>
            </w:tcBorders>
            <w:hideMark/>
          </w:tcPr>
          <w:p w14:paraId="7C670C0B" w14:textId="77777777" w:rsidR="00D26788" w:rsidRPr="00D26788" w:rsidRDefault="00D26788" w:rsidP="00D26788">
            <w:pPr>
              <w:jc w:val="right"/>
              <w:rPr>
                <w:color w:val="000000"/>
                <w:szCs w:val="24"/>
              </w:rPr>
            </w:pPr>
            <w:r w:rsidRPr="00D26788">
              <w:rPr>
                <w:color w:val="000000"/>
                <w:szCs w:val="24"/>
              </w:rPr>
              <w:t>44 261,9</w:t>
            </w:r>
          </w:p>
        </w:tc>
        <w:tc>
          <w:tcPr>
            <w:tcW w:w="119" w:type="pct"/>
            <w:vAlign w:val="center"/>
            <w:hideMark/>
          </w:tcPr>
          <w:p w14:paraId="1845F8C3" w14:textId="77777777" w:rsidR="00D26788" w:rsidRPr="00D26788" w:rsidRDefault="00D26788" w:rsidP="00D26788">
            <w:pPr>
              <w:rPr>
                <w:rFonts w:ascii="Times New Roman" w:hAnsi="Times New Roman" w:cs="Times New Roman"/>
                <w:sz w:val="20"/>
              </w:rPr>
            </w:pPr>
          </w:p>
        </w:tc>
      </w:tr>
      <w:tr w:rsidR="00D26788" w:rsidRPr="00D26788" w14:paraId="415C61BD"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744347FD" w14:textId="77777777" w:rsidR="00D26788" w:rsidRPr="00D26788" w:rsidRDefault="00D26788" w:rsidP="00D26788">
            <w:pPr>
              <w:rPr>
                <w:color w:val="000000"/>
                <w:szCs w:val="24"/>
              </w:rPr>
            </w:pPr>
            <w:r w:rsidRPr="00D26788">
              <w:rPr>
                <w:color w:val="000000"/>
                <w:szCs w:val="24"/>
              </w:rPr>
              <w:t>3.1.2</w:t>
            </w:r>
          </w:p>
        </w:tc>
        <w:tc>
          <w:tcPr>
            <w:tcW w:w="1795" w:type="pct"/>
            <w:tcBorders>
              <w:top w:val="nil"/>
              <w:left w:val="nil"/>
              <w:bottom w:val="single" w:sz="4" w:space="0" w:color="auto"/>
              <w:right w:val="single" w:sz="4" w:space="0" w:color="auto"/>
            </w:tcBorders>
            <w:hideMark/>
          </w:tcPr>
          <w:p w14:paraId="542DA17B" w14:textId="77777777" w:rsidR="00D26788" w:rsidRPr="00D26788" w:rsidRDefault="00D26788" w:rsidP="00D26788">
            <w:pPr>
              <w:rPr>
                <w:color w:val="000000"/>
                <w:szCs w:val="24"/>
              </w:rPr>
            </w:pPr>
            <w:r w:rsidRPr="00D26788">
              <w:rPr>
                <w:color w:val="000000"/>
                <w:szCs w:val="24"/>
              </w:rPr>
              <w:t>Skatinti tvarų, visą organizaciją apjungiantį paslaugų kūrimo ir tobulinimo procesą</w:t>
            </w:r>
          </w:p>
        </w:tc>
        <w:tc>
          <w:tcPr>
            <w:tcW w:w="902" w:type="pct"/>
            <w:tcBorders>
              <w:top w:val="nil"/>
              <w:left w:val="nil"/>
              <w:bottom w:val="single" w:sz="4" w:space="0" w:color="auto"/>
              <w:right w:val="single" w:sz="4" w:space="0" w:color="auto"/>
            </w:tcBorders>
            <w:hideMark/>
          </w:tcPr>
          <w:p w14:paraId="7598CD2A" w14:textId="77777777" w:rsidR="00D26788" w:rsidRPr="00D26788" w:rsidRDefault="00D26788" w:rsidP="00D26788">
            <w:pPr>
              <w:jc w:val="right"/>
              <w:rPr>
                <w:color w:val="000000"/>
                <w:szCs w:val="24"/>
              </w:rPr>
            </w:pPr>
            <w:r w:rsidRPr="00D26788">
              <w:rPr>
                <w:color w:val="000000"/>
                <w:szCs w:val="24"/>
              </w:rPr>
              <w:t>5 026,8</w:t>
            </w:r>
          </w:p>
        </w:tc>
        <w:tc>
          <w:tcPr>
            <w:tcW w:w="862" w:type="pct"/>
            <w:tcBorders>
              <w:top w:val="nil"/>
              <w:left w:val="nil"/>
              <w:bottom w:val="single" w:sz="4" w:space="0" w:color="auto"/>
              <w:right w:val="single" w:sz="4" w:space="0" w:color="auto"/>
            </w:tcBorders>
            <w:hideMark/>
          </w:tcPr>
          <w:p w14:paraId="0203AA2A" w14:textId="77777777" w:rsidR="00D26788" w:rsidRPr="00D26788" w:rsidRDefault="00D26788" w:rsidP="00D26788">
            <w:pPr>
              <w:jc w:val="right"/>
              <w:rPr>
                <w:color w:val="000000"/>
                <w:szCs w:val="24"/>
              </w:rPr>
            </w:pPr>
            <w:r w:rsidRPr="00D26788">
              <w:rPr>
                <w:color w:val="000000"/>
                <w:szCs w:val="24"/>
              </w:rPr>
              <w:t>4 903,1</w:t>
            </w:r>
          </w:p>
        </w:tc>
        <w:tc>
          <w:tcPr>
            <w:tcW w:w="860" w:type="pct"/>
            <w:tcBorders>
              <w:top w:val="nil"/>
              <w:left w:val="nil"/>
              <w:bottom w:val="single" w:sz="4" w:space="0" w:color="auto"/>
              <w:right w:val="single" w:sz="4" w:space="0" w:color="auto"/>
            </w:tcBorders>
            <w:hideMark/>
          </w:tcPr>
          <w:p w14:paraId="61A3C1EE" w14:textId="77777777" w:rsidR="00D26788" w:rsidRPr="00D26788" w:rsidRDefault="00D26788" w:rsidP="00D26788">
            <w:pPr>
              <w:jc w:val="right"/>
              <w:rPr>
                <w:color w:val="000000"/>
                <w:szCs w:val="24"/>
              </w:rPr>
            </w:pPr>
            <w:r w:rsidRPr="00D26788">
              <w:rPr>
                <w:color w:val="000000"/>
                <w:szCs w:val="24"/>
              </w:rPr>
              <w:t>4 869,7</w:t>
            </w:r>
          </w:p>
        </w:tc>
        <w:tc>
          <w:tcPr>
            <w:tcW w:w="119" w:type="pct"/>
            <w:vAlign w:val="center"/>
            <w:hideMark/>
          </w:tcPr>
          <w:p w14:paraId="6253BBE6" w14:textId="77777777" w:rsidR="00D26788" w:rsidRPr="00D26788" w:rsidRDefault="00D26788" w:rsidP="00D26788">
            <w:pPr>
              <w:rPr>
                <w:rFonts w:ascii="Times New Roman" w:hAnsi="Times New Roman" w:cs="Times New Roman"/>
                <w:sz w:val="20"/>
              </w:rPr>
            </w:pPr>
          </w:p>
        </w:tc>
      </w:tr>
      <w:tr w:rsidR="00D26788" w:rsidRPr="00D26788" w14:paraId="0B6C87AE"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101E5AD1" w14:textId="77777777" w:rsidR="00D26788" w:rsidRPr="00D26788" w:rsidRDefault="00D26788" w:rsidP="00D26788">
            <w:pPr>
              <w:rPr>
                <w:color w:val="000000"/>
                <w:szCs w:val="24"/>
              </w:rPr>
            </w:pPr>
            <w:r w:rsidRPr="00D26788">
              <w:rPr>
                <w:color w:val="000000"/>
                <w:szCs w:val="24"/>
              </w:rPr>
              <w:t>3.1.3</w:t>
            </w:r>
          </w:p>
        </w:tc>
        <w:tc>
          <w:tcPr>
            <w:tcW w:w="1795" w:type="pct"/>
            <w:tcBorders>
              <w:top w:val="nil"/>
              <w:left w:val="nil"/>
              <w:bottom w:val="single" w:sz="4" w:space="0" w:color="auto"/>
              <w:right w:val="single" w:sz="4" w:space="0" w:color="auto"/>
            </w:tcBorders>
            <w:hideMark/>
          </w:tcPr>
          <w:p w14:paraId="778EBE84" w14:textId="77777777" w:rsidR="00D26788" w:rsidRPr="00D26788" w:rsidRDefault="00D26788" w:rsidP="00D26788">
            <w:pPr>
              <w:rPr>
                <w:color w:val="000000"/>
                <w:szCs w:val="24"/>
              </w:rPr>
            </w:pPr>
            <w:r w:rsidRPr="00D26788">
              <w:rPr>
                <w:color w:val="000000"/>
                <w:szCs w:val="24"/>
              </w:rPr>
              <w:t>Didinti įtraukų bendradarbiavimą su suinteresuotomis šalimis, tapti lydere regione</w:t>
            </w:r>
          </w:p>
        </w:tc>
        <w:tc>
          <w:tcPr>
            <w:tcW w:w="902" w:type="pct"/>
            <w:tcBorders>
              <w:top w:val="nil"/>
              <w:left w:val="nil"/>
              <w:bottom w:val="single" w:sz="4" w:space="0" w:color="auto"/>
              <w:right w:val="single" w:sz="4" w:space="0" w:color="auto"/>
            </w:tcBorders>
            <w:hideMark/>
          </w:tcPr>
          <w:p w14:paraId="3A2FCFCE" w14:textId="77777777" w:rsidR="00D26788" w:rsidRPr="00D26788" w:rsidRDefault="00D26788" w:rsidP="00D26788">
            <w:pPr>
              <w:jc w:val="right"/>
              <w:rPr>
                <w:color w:val="000000"/>
                <w:szCs w:val="24"/>
              </w:rPr>
            </w:pPr>
            <w:r w:rsidRPr="00D26788">
              <w:rPr>
                <w:color w:val="000000"/>
                <w:szCs w:val="24"/>
              </w:rPr>
              <w:t>3 386,3</w:t>
            </w:r>
          </w:p>
        </w:tc>
        <w:tc>
          <w:tcPr>
            <w:tcW w:w="862" w:type="pct"/>
            <w:tcBorders>
              <w:top w:val="nil"/>
              <w:left w:val="nil"/>
              <w:bottom w:val="single" w:sz="4" w:space="0" w:color="auto"/>
              <w:right w:val="single" w:sz="4" w:space="0" w:color="auto"/>
            </w:tcBorders>
            <w:hideMark/>
          </w:tcPr>
          <w:p w14:paraId="5743E36F" w14:textId="77777777" w:rsidR="00D26788" w:rsidRPr="00D26788" w:rsidRDefault="00D26788" w:rsidP="00D26788">
            <w:pPr>
              <w:jc w:val="right"/>
              <w:rPr>
                <w:color w:val="000000"/>
                <w:szCs w:val="24"/>
              </w:rPr>
            </w:pPr>
            <w:r w:rsidRPr="00D26788">
              <w:rPr>
                <w:color w:val="000000"/>
                <w:szCs w:val="24"/>
              </w:rPr>
              <w:t>3 180,2</w:t>
            </w:r>
          </w:p>
        </w:tc>
        <w:tc>
          <w:tcPr>
            <w:tcW w:w="860" w:type="pct"/>
            <w:tcBorders>
              <w:top w:val="nil"/>
              <w:left w:val="nil"/>
              <w:bottom w:val="single" w:sz="4" w:space="0" w:color="auto"/>
              <w:right w:val="single" w:sz="4" w:space="0" w:color="auto"/>
            </w:tcBorders>
            <w:hideMark/>
          </w:tcPr>
          <w:p w14:paraId="6278EBBE" w14:textId="77777777" w:rsidR="00D26788" w:rsidRPr="00D26788" w:rsidRDefault="00D26788" w:rsidP="00D26788">
            <w:pPr>
              <w:jc w:val="right"/>
              <w:rPr>
                <w:color w:val="000000"/>
                <w:szCs w:val="24"/>
              </w:rPr>
            </w:pPr>
            <w:r w:rsidRPr="00D26788">
              <w:rPr>
                <w:color w:val="000000"/>
                <w:szCs w:val="24"/>
              </w:rPr>
              <w:t>2 993,5</w:t>
            </w:r>
          </w:p>
        </w:tc>
        <w:tc>
          <w:tcPr>
            <w:tcW w:w="119" w:type="pct"/>
            <w:vAlign w:val="center"/>
            <w:hideMark/>
          </w:tcPr>
          <w:p w14:paraId="53F8D0BB" w14:textId="77777777" w:rsidR="00D26788" w:rsidRPr="00D26788" w:rsidRDefault="00D26788" w:rsidP="00D26788">
            <w:pPr>
              <w:rPr>
                <w:rFonts w:ascii="Times New Roman" w:hAnsi="Times New Roman" w:cs="Times New Roman"/>
                <w:sz w:val="20"/>
              </w:rPr>
            </w:pPr>
          </w:p>
        </w:tc>
      </w:tr>
      <w:tr w:rsidR="00D26788" w:rsidRPr="00D26788" w14:paraId="61DBED1E"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5D9DC758" w14:textId="77777777" w:rsidR="00D26788" w:rsidRPr="00D26788" w:rsidRDefault="00D26788" w:rsidP="00D26788">
            <w:pPr>
              <w:rPr>
                <w:color w:val="000000"/>
                <w:szCs w:val="24"/>
              </w:rPr>
            </w:pPr>
            <w:r w:rsidRPr="00D26788">
              <w:rPr>
                <w:color w:val="000000"/>
                <w:szCs w:val="24"/>
              </w:rPr>
              <w:t>3.2</w:t>
            </w:r>
          </w:p>
        </w:tc>
        <w:tc>
          <w:tcPr>
            <w:tcW w:w="1795" w:type="pct"/>
            <w:tcBorders>
              <w:top w:val="nil"/>
              <w:left w:val="nil"/>
              <w:bottom w:val="single" w:sz="4" w:space="0" w:color="auto"/>
              <w:right w:val="single" w:sz="4" w:space="0" w:color="auto"/>
            </w:tcBorders>
            <w:hideMark/>
          </w:tcPr>
          <w:p w14:paraId="08F57076" w14:textId="77777777" w:rsidR="00D26788" w:rsidRPr="00D26788" w:rsidRDefault="00D26788" w:rsidP="00D26788">
            <w:pPr>
              <w:rPr>
                <w:color w:val="000000"/>
                <w:szCs w:val="24"/>
              </w:rPr>
            </w:pPr>
            <w:r w:rsidRPr="00D26788">
              <w:rPr>
                <w:color w:val="000000"/>
                <w:szCs w:val="24"/>
              </w:rPr>
              <w:t>Saugus visų eismo dalyvių susisiekimas, didinant tvarių kelionių dalį ir mažinant transporto keliamą taršą</w:t>
            </w:r>
          </w:p>
        </w:tc>
        <w:tc>
          <w:tcPr>
            <w:tcW w:w="902" w:type="pct"/>
            <w:tcBorders>
              <w:top w:val="nil"/>
              <w:left w:val="nil"/>
              <w:bottom w:val="single" w:sz="4" w:space="0" w:color="auto"/>
              <w:right w:val="single" w:sz="4" w:space="0" w:color="auto"/>
            </w:tcBorders>
            <w:hideMark/>
          </w:tcPr>
          <w:p w14:paraId="4AE80B26" w14:textId="77777777" w:rsidR="00D26788" w:rsidRPr="00D26788" w:rsidRDefault="00D26788" w:rsidP="00D26788">
            <w:pPr>
              <w:jc w:val="right"/>
              <w:rPr>
                <w:color w:val="000000"/>
                <w:szCs w:val="24"/>
              </w:rPr>
            </w:pPr>
            <w:r w:rsidRPr="00D26788">
              <w:rPr>
                <w:color w:val="000000"/>
                <w:szCs w:val="24"/>
              </w:rPr>
              <w:t>149 353,9</w:t>
            </w:r>
          </w:p>
        </w:tc>
        <w:tc>
          <w:tcPr>
            <w:tcW w:w="862" w:type="pct"/>
            <w:tcBorders>
              <w:top w:val="nil"/>
              <w:left w:val="nil"/>
              <w:bottom w:val="single" w:sz="4" w:space="0" w:color="auto"/>
              <w:right w:val="single" w:sz="4" w:space="0" w:color="auto"/>
            </w:tcBorders>
            <w:hideMark/>
          </w:tcPr>
          <w:p w14:paraId="4300980E" w14:textId="77777777" w:rsidR="00D26788" w:rsidRPr="00D26788" w:rsidRDefault="00D26788" w:rsidP="00D26788">
            <w:pPr>
              <w:jc w:val="right"/>
              <w:rPr>
                <w:color w:val="000000"/>
                <w:szCs w:val="24"/>
              </w:rPr>
            </w:pPr>
            <w:r w:rsidRPr="00D26788">
              <w:rPr>
                <w:color w:val="000000"/>
                <w:szCs w:val="24"/>
              </w:rPr>
              <w:t>155 226,8</w:t>
            </w:r>
          </w:p>
        </w:tc>
        <w:tc>
          <w:tcPr>
            <w:tcW w:w="860" w:type="pct"/>
            <w:tcBorders>
              <w:top w:val="nil"/>
              <w:left w:val="nil"/>
              <w:bottom w:val="single" w:sz="4" w:space="0" w:color="auto"/>
              <w:right w:val="single" w:sz="4" w:space="0" w:color="auto"/>
            </w:tcBorders>
            <w:hideMark/>
          </w:tcPr>
          <w:p w14:paraId="08D63678" w14:textId="77777777" w:rsidR="00D26788" w:rsidRPr="00D26788" w:rsidRDefault="00D26788" w:rsidP="00D26788">
            <w:pPr>
              <w:jc w:val="right"/>
              <w:rPr>
                <w:color w:val="000000"/>
                <w:szCs w:val="24"/>
              </w:rPr>
            </w:pPr>
            <w:r w:rsidRPr="00D26788">
              <w:rPr>
                <w:color w:val="000000"/>
                <w:szCs w:val="24"/>
              </w:rPr>
              <w:t>150 963,5</w:t>
            </w:r>
          </w:p>
        </w:tc>
        <w:tc>
          <w:tcPr>
            <w:tcW w:w="119" w:type="pct"/>
            <w:vAlign w:val="center"/>
            <w:hideMark/>
          </w:tcPr>
          <w:p w14:paraId="1CF443DB" w14:textId="77777777" w:rsidR="00D26788" w:rsidRPr="00D26788" w:rsidRDefault="00D26788" w:rsidP="00D26788">
            <w:pPr>
              <w:rPr>
                <w:rFonts w:ascii="Times New Roman" w:hAnsi="Times New Roman" w:cs="Times New Roman"/>
                <w:sz w:val="20"/>
              </w:rPr>
            </w:pPr>
          </w:p>
        </w:tc>
      </w:tr>
      <w:tr w:rsidR="00D26788" w:rsidRPr="00D26788" w14:paraId="0956039E"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4D247974" w14:textId="77777777" w:rsidR="00D26788" w:rsidRPr="00D26788" w:rsidRDefault="00D26788" w:rsidP="00D26788">
            <w:pPr>
              <w:rPr>
                <w:color w:val="000000"/>
                <w:szCs w:val="24"/>
              </w:rPr>
            </w:pPr>
            <w:r w:rsidRPr="00D26788">
              <w:rPr>
                <w:color w:val="000000"/>
                <w:szCs w:val="24"/>
              </w:rPr>
              <w:t>3.2.1</w:t>
            </w:r>
          </w:p>
        </w:tc>
        <w:tc>
          <w:tcPr>
            <w:tcW w:w="1795" w:type="pct"/>
            <w:tcBorders>
              <w:top w:val="nil"/>
              <w:left w:val="nil"/>
              <w:bottom w:val="single" w:sz="4" w:space="0" w:color="auto"/>
              <w:right w:val="single" w:sz="4" w:space="0" w:color="auto"/>
            </w:tcBorders>
            <w:hideMark/>
          </w:tcPr>
          <w:p w14:paraId="0B544404" w14:textId="77777777" w:rsidR="00D26788" w:rsidRPr="00D26788" w:rsidRDefault="00D26788" w:rsidP="00D26788">
            <w:pPr>
              <w:rPr>
                <w:color w:val="000000"/>
                <w:szCs w:val="24"/>
              </w:rPr>
            </w:pPr>
            <w:r w:rsidRPr="00D26788">
              <w:rPr>
                <w:color w:val="000000"/>
                <w:szCs w:val="24"/>
              </w:rPr>
              <w:t>Vystyti ir palaikyti saugią judumo infrastruktūrą Kauno mieste</w:t>
            </w:r>
          </w:p>
        </w:tc>
        <w:tc>
          <w:tcPr>
            <w:tcW w:w="902" w:type="pct"/>
            <w:tcBorders>
              <w:top w:val="nil"/>
              <w:left w:val="nil"/>
              <w:bottom w:val="single" w:sz="4" w:space="0" w:color="auto"/>
              <w:right w:val="single" w:sz="4" w:space="0" w:color="auto"/>
            </w:tcBorders>
            <w:hideMark/>
          </w:tcPr>
          <w:p w14:paraId="3AC1FE02" w14:textId="77777777" w:rsidR="00D26788" w:rsidRPr="00D26788" w:rsidRDefault="00D26788" w:rsidP="00D26788">
            <w:pPr>
              <w:jc w:val="right"/>
              <w:rPr>
                <w:color w:val="000000"/>
                <w:szCs w:val="24"/>
              </w:rPr>
            </w:pPr>
            <w:r w:rsidRPr="00D26788">
              <w:rPr>
                <w:color w:val="000000"/>
                <w:szCs w:val="24"/>
              </w:rPr>
              <w:t>114 747,5</w:t>
            </w:r>
          </w:p>
        </w:tc>
        <w:tc>
          <w:tcPr>
            <w:tcW w:w="862" w:type="pct"/>
            <w:tcBorders>
              <w:top w:val="nil"/>
              <w:left w:val="nil"/>
              <w:bottom w:val="single" w:sz="4" w:space="0" w:color="auto"/>
              <w:right w:val="single" w:sz="4" w:space="0" w:color="auto"/>
            </w:tcBorders>
            <w:hideMark/>
          </w:tcPr>
          <w:p w14:paraId="3F3A612D" w14:textId="77777777" w:rsidR="00D26788" w:rsidRPr="00D26788" w:rsidRDefault="00D26788" w:rsidP="00D26788">
            <w:pPr>
              <w:jc w:val="right"/>
              <w:rPr>
                <w:color w:val="000000"/>
                <w:szCs w:val="24"/>
              </w:rPr>
            </w:pPr>
            <w:r w:rsidRPr="00D26788">
              <w:rPr>
                <w:color w:val="000000"/>
                <w:szCs w:val="24"/>
              </w:rPr>
              <w:t>116 229,9</w:t>
            </w:r>
          </w:p>
        </w:tc>
        <w:tc>
          <w:tcPr>
            <w:tcW w:w="860" w:type="pct"/>
            <w:tcBorders>
              <w:top w:val="nil"/>
              <w:left w:val="nil"/>
              <w:bottom w:val="single" w:sz="4" w:space="0" w:color="auto"/>
              <w:right w:val="single" w:sz="4" w:space="0" w:color="auto"/>
            </w:tcBorders>
            <w:hideMark/>
          </w:tcPr>
          <w:p w14:paraId="3DAEDC01" w14:textId="77777777" w:rsidR="00D26788" w:rsidRPr="00D26788" w:rsidRDefault="00D26788" w:rsidP="00D26788">
            <w:pPr>
              <w:jc w:val="right"/>
              <w:rPr>
                <w:color w:val="000000"/>
                <w:szCs w:val="24"/>
              </w:rPr>
            </w:pPr>
            <w:r w:rsidRPr="00D26788">
              <w:rPr>
                <w:color w:val="000000"/>
                <w:szCs w:val="24"/>
              </w:rPr>
              <w:t>113 151,9</w:t>
            </w:r>
          </w:p>
        </w:tc>
        <w:tc>
          <w:tcPr>
            <w:tcW w:w="119" w:type="pct"/>
            <w:vAlign w:val="center"/>
            <w:hideMark/>
          </w:tcPr>
          <w:p w14:paraId="783AF856" w14:textId="77777777" w:rsidR="00D26788" w:rsidRPr="00D26788" w:rsidRDefault="00D26788" w:rsidP="00D26788">
            <w:pPr>
              <w:rPr>
                <w:rFonts w:ascii="Times New Roman" w:hAnsi="Times New Roman" w:cs="Times New Roman"/>
                <w:sz w:val="20"/>
              </w:rPr>
            </w:pPr>
          </w:p>
        </w:tc>
      </w:tr>
      <w:tr w:rsidR="00D26788" w:rsidRPr="00D26788" w14:paraId="1A8EF80C"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43D567FD" w14:textId="77777777" w:rsidR="00D26788" w:rsidRPr="00D26788" w:rsidRDefault="00D26788" w:rsidP="00D26788">
            <w:pPr>
              <w:rPr>
                <w:color w:val="000000"/>
                <w:szCs w:val="24"/>
              </w:rPr>
            </w:pPr>
            <w:r w:rsidRPr="00D26788">
              <w:rPr>
                <w:color w:val="000000"/>
                <w:szCs w:val="24"/>
              </w:rPr>
              <w:t>3.2.2</w:t>
            </w:r>
          </w:p>
        </w:tc>
        <w:tc>
          <w:tcPr>
            <w:tcW w:w="1795" w:type="pct"/>
            <w:tcBorders>
              <w:top w:val="nil"/>
              <w:left w:val="nil"/>
              <w:bottom w:val="single" w:sz="4" w:space="0" w:color="auto"/>
              <w:right w:val="single" w:sz="4" w:space="0" w:color="auto"/>
            </w:tcBorders>
            <w:hideMark/>
          </w:tcPr>
          <w:p w14:paraId="6D033976" w14:textId="77777777" w:rsidR="00D26788" w:rsidRPr="00D26788" w:rsidRDefault="00D26788" w:rsidP="00D26788">
            <w:pPr>
              <w:rPr>
                <w:color w:val="000000"/>
                <w:szCs w:val="24"/>
              </w:rPr>
            </w:pPr>
            <w:r w:rsidRPr="00D26788">
              <w:rPr>
                <w:color w:val="000000"/>
                <w:szCs w:val="24"/>
              </w:rPr>
              <w:t>Didinti darnių kelionių dalį Kauno mieste</w:t>
            </w:r>
          </w:p>
        </w:tc>
        <w:tc>
          <w:tcPr>
            <w:tcW w:w="902" w:type="pct"/>
            <w:tcBorders>
              <w:top w:val="nil"/>
              <w:left w:val="nil"/>
              <w:bottom w:val="single" w:sz="4" w:space="0" w:color="auto"/>
              <w:right w:val="single" w:sz="4" w:space="0" w:color="auto"/>
            </w:tcBorders>
            <w:hideMark/>
          </w:tcPr>
          <w:p w14:paraId="2FC05AEE" w14:textId="77777777" w:rsidR="00D26788" w:rsidRPr="00D26788" w:rsidRDefault="00D26788" w:rsidP="00D26788">
            <w:pPr>
              <w:jc w:val="right"/>
              <w:rPr>
                <w:color w:val="000000"/>
                <w:szCs w:val="24"/>
              </w:rPr>
            </w:pPr>
            <w:r w:rsidRPr="00D26788">
              <w:rPr>
                <w:color w:val="000000"/>
                <w:szCs w:val="24"/>
              </w:rPr>
              <w:t>30 646,3</w:t>
            </w:r>
          </w:p>
        </w:tc>
        <w:tc>
          <w:tcPr>
            <w:tcW w:w="862" w:type="pct"/>
            <w:tcBorders>
              <w:top w:val="nil"/>
              <w:left w:val="nil"/>
              <w:bottom w:val="single" w:sz="4" w:space="0" w:color="auto"/>
              <w:right w:val="single" w:sz="4" w:space="0" w:color="auto"/>
            </w:tcBorders>
            <w:hideMark/>
          </w:tcPr>
          <w:p w14:paraId="016D2811" w14:textId="77777777" w:rsidR="00D26788" w:rsidRPr="00D26788" w:rsidRDefault="00D26788" w:rsidP="00D26788">
            <w:pPr>
              <w:jc w:val="right"/>
              <w:rPr>
                <w:color w:val="000000"/>
                <w:szCs w:val="24"/>
              </w:rPr>
            </w:pPr>
            <w:r w:rsidRPr="00D26788">
              <w:rPr>
                <w:color w:val="000000"/>
                <w:szCs w:val="24"/>
              </w:rPr>
              <w:t>34 702,0</w:t>
            </w:r>
          </w:p>
        </w:tc>
        <w:tc>
          <w:tcPr>
            <w:tcW w:w="860" w:type="pct"/>
            <w:tcBorders>
              <w:top w:val="nil"/>
              <w:left w:val="nil"/>
              <w:bottom w:val="single" w:sz="4" w:space="0" w:color="auto"/>
              <w:right w:val="single" w:sz="4" w:space="0" w:color="auto"/>
            </w:tcBorders>
            <w:hideMark/>
          </w:tcPr>
          <w:p w14:paraId="53A6D237" w14:textId="77777777" w:rsidR="00D26788" w:rsidRPr="00D26788" w:rsidRDefault="00D26788" w:rsidP="00D26788">
            <w:pPr>
              <w:jc w:val="right"/>
              <w:rPr>
                <w:color w:val="000000"/>
                <w:szCs w:val="24"/>
              </w:rPr>
            </w:pPr>
            <w:r w:rsidRPr="00D26788">
              <w:rPr>
                <w:color w:val="000000"/>
                <w:szCs w:val="24"/>
              </w:rPr>
              <w:t>33 832,2</w:t>
            </w:r>
          </w:p>
        </w:tc>
        <w:tc>
          <w:tcPr>
            <w:tcW w:w="119" w:type="pct"/>
            <w:vAlign w:val="center"/>
            <w:hideMark/>
          </w:tcPr>
          <w:p w14:paraId="41DB711B" w14:textId="77777777" w:rsidR="00D26788" w:rsidRPr="00D26788" w:rsidRDefault="00D26788" w:rsidP="00D26788">
            <w:pPr>
              <w:rPr>
                <w:rFonts w:ascii="Times New Roman" w:hAnsi="Times New Roman" w:cs="Times New Roman"/>
                <w:sz w:val="20"/>
              </w:rPr>
            </w:pPr>
          </w:p>
        </w:tc>
      </w:tr>
      <w:tr w:rsidR="00D26788" w:rsidRPr="00D26788" w14:paraId="3094C8DB"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79CE92A9" w14:textId="77777777" w:rsidR="00D26788" w:rsidRPr="00D26788" w:rsidRDefault="00D26788" w:rsidP="00D26788">
            <w:pPr>
              <w:rPr>
                <w:color w:val="000000"/>
                <w:szCs w:val="24"/>
              </w:rPr>
            </w:pPr>
            <w:r w:rsidRPr="00D26788">
              <w:rPr>
                <w:color w:val="000000"/>
                <w:szCs w:val="24"/>
              </w:rPr>
              <w:t>3.2.3</w:t>
            </w:r>
          </w:p>
        </w:tc>
        <w:tc>
          <w:tcPr>
            <w:tcW w:w="1795" w:type="pct"/>
            <w:tcBorders>
              <w:top w:val="nil"/>
              <w:left w:val="nil"/>
              <w:bottom w:val="single" w:sz="4" w:space="0" w:color="auto"/>
              <w:right w:val="single" w:sz="4" w:space="0" w:color="auto"/>
            </w:tcBorders>
            <w:hideMark/>
          </w:tcPr>
          <w:p w14:paraId="04DD6757" w14:textId="77777777" w:rsidR="00D26788" w:rsidRPr="00D26788" w:rsidRDefault="00D26788" w:rsidP="00D26788">
            <w:pPr>
              <w:rPr>
                <w:color w:val="000000"/>
                <w:szCs w:val="24"/>
              </w:rPr>
            </w:pPr>
            <w:r w:rsidRPr="00D26788">
              <w:rPr>
                <w:color w:val="000000"/>
                <w:szCs w:val="24"/>
              </w:rPr>
              <w:t>Taikyti inovacijomis paremtus transporto sprendimus</w:t>
            </w:r>
          </w:p>
        </w:tc>
        <w:tc>
          <w:tcPr>
            <w:tcW w:w="902" w:type="pct"/>
            <w:tcBorders>
              <w:top w:val="nil"/>
              <w:left w:val="nil"/>
              <w:bottom w:val="single" w:sz="4" w:space="0" w:color="auto"/>
              <w:right w:val="single" w:sz="4" w:space="0" w:color="auto"/>
            </w:tcBorders>
            <w:hideMark/>
          </w:tcPr>
          <w:p w14:paraId="3CD23784" w14:textId="77777777" w:rsidR="00D26788" w:rsidRPr="00D26788" w:rsidRDefault="00D26788" w:rsidP="00D26788">
            <w:pPr>
              <w:jc w:val="right"/>
              <w:rPr>
                <w:color w:val="000000"/>
                <w:szCs w:val="24"/>
              </w:rPr>
            </w:pPr>
            <w:r w:rsidRPr="00D26788">
              <w:rPr>
                <w:color w:val="000000"/>
                <w:szCs w:val="24"/>
              </w:rPr>
              <w:t>3 960,1</w:t>
            </w:r>
          </w:p>
        </w:tc>
        <w:tc>
          <w:tcPr>
            <w:tcW w:w="862" w:type="pct"/>
            <w:tcBorders>
              <w:top w:val="nil"/>
              <w:left w:val="nil"/>
              <w:bottom w:val="single" w:sz="4" w:space="0" w:color="auto"/>
              <w:right w:val="single" w:sz="4" w:space="0" w:color="auto"/>
            </w:tcBorders>
            <w:hideMark/>
          </w:tcPr>
          <w:p w14:paraId="67A8A4A8" w14:textId="77777777" w:rsidR="00D26788" w:rsidRPr="00D26788" w:rsidRDefault="00D26788" w:rsidP="00D26788">
            <w:pPr>
              <w:jc w:val="right"/>
              <w:rPr>
                <w:color w:val="000000"/>
                <w:szCs w:val="24"/>
              </w:rPr>
            </w:pPr>
            <w:r w:rsidRPr="00D26788">
              <w:rPr>
                <w:color w:val="000000"/>
                <w:szCs w:val="24"/>
              </w:rPr>
              <w:t>4 294,9</w:t>
            </w:r>
          </w:p>
        </w:tc>
        <w:tc>
          <w:tcPr>
            <w:tcW w:w="860" w:type="pct"/>
            <w:tcBorders>
              <w:top w:val="nil"/>
              <w:left w:val="nil"/>
              <w:bottom w:val="single" w:sz="4" w:space="0" w:color="auto"/>
              <w:right w:val="single" w:sz="4" w:space="0" w:color="auto"/>
            </w:tcBorders>
            <w:hideMark/>
          </w:tcPr>
          <w:p w14:paraId="4BC1BBD7" w14:textId="77777777" w:rsidR="00D26788" w:rsidRPr="00D26788" w:rsidRDefault="00D26788" w:rsidP="00D26788">
            <w:pPr>
              <w:jc w:val="right"/>
              <w:rPr>
                <w:color w:val="000000"/>
                <w:szCs w:val="24"/>
              </w:rPr>
            </w:pPr>
            <w:r w:rsidRPr="00D26788">
              <w:rPr>
                <w:color w:val="000000"/>
                <w:szCs w:val="24"/>
              </w:rPr>
              <w:t>3 979,5</w:t>
            </w:r>
          </w:p>
        </w:tc>
        <w:tc>
          <w:tcPr>
            <w:tcW w:w="119" w:type="pct"/>
            <w:vAlign w:val="center"/>
            <w:hideMark/>
          </w:tcPr>
          <w:p w14:paraId="624FF5C7" w14:textId="77777777" w:rsidR="00D26788" w:rsidRPr="00D26788" w:rsidRDefault="00D26788" w:rsidP="00D26788">
            <w:pPr>
              <w:rPr>
                <w:rFonts w:ascii="Times New Roman" w:hAnsi="Times New Roman" w:cs="Times New Roman"/>
                <w:sz w:val="20"/>
              </w:rPr>
            </w:pPr>
          </w:p>
        </w:tc>
      </w:tr>
      <w:tr w:rsidR="00D26788" w:rsidRPr="00D26788" w14:paraId="2C16D731"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56EA532C" w14:textId="77777777" w:rsidR="00D26788" w:rsidRPr="00D26788" w:rsidRDefault="00D26788" w:rsidP="00D26788">
            <w:pPr>
              <w:rPr>
                <w:color w:val="000000"/>
                <w:szCs w:val="24"/>
              </w:rPr>
            </w:pPr>
            <w:r w:rsidRPr="00D26788">
              <w:rPr>
                <w:color w:val="000000"/>
                <w:szCs w:val="24"/>
              </w:rPr>
              <w:lastRenderedPageBreak/>
              <w:t>3.3</w:t>
            </w:r>
          </w:p>
        </w:tc>
        <w:tc>
          <w:tcPr>
            <w:tcW w:w="1795" w:type="pct"/>
            <w:tcBorders>
              <w:top w:val="nil"/>
              <w:left w:val="nil"/>
              <w:bottom w:val="single" w:sz="4" w:space="0" w:color="auto"/>
              <w:right w:val="single" w:sz="4" w:space="0" w:color="auto"/>
            </w:tcBorders>
            <w:hideMark/>
          </w:tcPr>
          <w:p w14:paraId="7685A21D" w14:textId="77777777" w:rsidR="00D26788" w:rsidRPr="00D26788" w:rsidRDefault="00D26788" w:rsidP="00D26788">
            <w:pPr>
              <w:rPr>
                <w:color w:val="000000"/>
                <w:szCs w:val="24"/>
              </w:rPr>
            </w:pPr>
            <w:r w:rsidRPr="00D26788">
              <w:rPr>
                <w:color w:val="000000"/>
                <w:szCs w:val="24"/>
              </w:rPr>
              <w:t>Tvarus ir įtraukus teritorijų vystymas, orientuotas į kasdienius kiekvieno žmogaus poreikius ir kokybišką miesto aplinką</w:t>
            </w:r>
          </w:p>
        </w:tc>
        <w:tc>
          <w:tcPr>
            <w:tcW w:w="902" w:type="pct"/>
            <w:tcBorders>
              <w:top w:val="nil"/>
              <w:left w:val="nil"/>
              <w:bottom w:val="single" w:sz="4" w:space="0" w:color="auto"/>
              <w:right w:val="single" w:sz="4" w:space="0" w:color="auto"/>
            </w:tcBorders>
            <w:hideMark/>
          </w:tcPr>
          <w:p w14:paraId="7FA91849" w14:textId="77777777" w:rsidR="00D26788" w:rsidRPr="00D26788" w:rsidRDefault="00D26788" w:rsidP="00D26788">
            <w:pPr>
              <w:jc w:val="right"/>
              <w:rPr>
                <w:color w:val="000000"/>
                <w:szCs w:val="24"/>
              </w:rPr>
            </w:pPr>
            <w:r w:rsidRPr="00D26788">
              <w:rPr>
                <w:color w:val="000000"/>
                <w:szCs w:val="24"/>
              </w:rPr>
              <w:t>27 939,4</w:t>
            </w:r>
          </w:p>
        </w:tc>
        <w:tc>
          <w:tcPr>
            <w:tcW w:w="862" w:type="pct"/>
            <w:tcBorders>
              <w:top w:val="nil"/>
              <w:left w:val="nil"/>
              <w:bottom w:val="single" w:sz="4" w:space="0" w:color="auto"/>
              <w:right w:val="single" w:sz="4" w:space="0" w:color="auto"/>
            </w:tcBorders>
            <w:hideMark/>
          </w:tcPr>
          <w:p w14:paraId="15159C23" w14:textId="77777777" w:rsidR="00D26788" w:rsidRPr="00D26788" w:rsidRDefault="00D26788" w:rsidP="00D26788">
            <w:pPr>
              <w:jc w:val="right"/>
              <w:rPr>
                <w:color w:val="000000"/>
                <w:szCs w:val="24"/>
              </w:rPr>
            </w:pPr>
            <w:r w:rsidRPr="00D26788">
              <w:rPr>
                <w:color w:val="000000"/>
                <w:szCs w:val="24"/>
              </w:rPr>
              <w:t>34 953,5</w:t>
            </w:r>
          </w:p>
        </w:tc>
        <w:tc>
          <w:tcPr>
            <w:tcW w:w="860" w:type="pct"/>
            <w:tcBorders>
              <w:top w:val="nil"/>
              <w:left w:val="nil"/>
              <w:bottom w:val="single" w:sz="4" w:space="0" w:color="auto"/>
              <w:right w:val="single" w:sz="4" w:space="0" w:color="auto"/>
            </w:tcBorders>
            <w:hideMark/>
          </w:tcPr>
          <w:p w14:paraId="7913A8AD" w14:textId="77777777" w:rsidR="00D26788" w:rsidRPr="00D26788" w:rsidRDefault="00D26788" w:rsidP="00D26788">
            <w:pPr>
              <w:jc w:val="right"/>
              <w:rPr>
                <w:color w:val="000000"/>
                <w:szCs w:val="24"/>
              </w:rPr>
            </w:pPr>
            <w:r w:rsidRPr="00D26788">
              <w:rPr>
                <w:color w:val="000000"/>
                <w:szCs w:val="24"/>
              </w:rPr>
              <w:t>31 594,6</w:t>
            </w:r>
          </w:p>
        </w:tc>
        <w:tc>
          <w:tcPr>
            <w:tcW w:w="119" w:type="pct"/>
            <w:vAlign w:val="center"/>
            <w:hideMark/>
          </w:tcPr>
          <w:p w14:paraId="023AFD5F" w14:textId="77777777" w:rsidR="00D26788" w:rsidRPr="00D26788" w:rsidRDefault="00D26788" w:rsidP="00D26788">
            <w:pPr>
              <w:rPr>
                <w:rFonts w:ascii="Times New Roman" w:hAnsi="Times New Roman" w:cs="Times New Roman"/>
                <w:sz w:val="20"/>
              </w:rPr>
            </w:pPr>
          </w:p>
        </w:tc>
      </w:tr>
      <w:tr w:rsidR="00D26788" w:rsidRPr="00D26788" w14:paraId="343AAB6C"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034A36B1" w14:textId="77777777" w:rsidR="00D26788" w:rsidRPr="00D26788" w:rsidRDefault="00D26788" w:rsidP="00D26788">
            <w:pPr>
              <w:rPr>
                <w:color w:val="000000"/>
                <w:szCs w:val="24"/>
              </w:rPr>
            </w:pPr>
            <w:r w:rsidRPr="00D26788">
              <w:rPr>
                <w:color w:val="000000"/>
                <w:szCs w:val="24"/>
              </w:rPr>
              <w:t>3.3.1</w:t>
            </w:r>
          </w:p>
        </w:tc>
        <w:tc>
          <w:tcPr>
            <w:tcW w:w="1795" w:type="pct"/>
            <w:tcBorders>
              <w:top w:val="nil"/>
              <w:left w:val="nil"/>
              <w:bottom w:val="single" w:sz="4" w:space="0" w:color="auto"/>
              <w:right w:val="single" w:sz="4" w:space="0" w:color="auto"/>
            </w:tcBorders>
            <w:hideMark/>
          </w:tcPr>
          <w:p w14:paraId="5120DE25" w14:textId="77777777" w:rsidR="00D26788" w:rsidRPr="00D26788" w:rsidRDefault="00D26788" w:rsidP="00D26788">
            <w:pPr>
              <w:rPr>
                <w:color w:val="000000"/>
                <w:szCs w:val="24"/>
              </w:rPr>
            </w:pPr>
            <w:r w:rsidRPr="00D26788">
              <w:rPr>
                <w:color w:val="000000"/>
                <w:szCs w:val="24"/>
              </w:rPr>
              <w:t>Vystyti aukštos kokybės, naujojo Europinio bauhauzo principus atitinkančias miesto teritorijas</w:t>
            </w:r>
          </w:p>
        </w:tc>
        <w:tc>
          <w:tcPr>
            <w:tcW w:w="902" w:type="pct"/>
            <w:tcBorders>
              <w:top w:val="nil"/>
              <w:left w:val="nil"/>
              <w:bottom w:val="single" w:sz="4" w:space="0" w:color="auto"/>
              <w:right w:val="single" w:sz="4" w:space="0" w:color="auto"/>
            </w:tcBorders>
            <w:hideMark/>
          </w:tcPr>
          <w:p w14:paraId="74F713F9" w14:textId="77777777" w:rsidR="00D26788" w:rsidRPr="00D26788" w:rsidRDefault="00D26788" w:rsidP="00D26788">
            <w:pPr>
              <w:jc w:val="right"/>
              <w:rPr>
                <w:color w:val="000000"/>
                <w:szCs w:val="24"/>
              </w:rPr>
            </w:pPr>
            <w:r w:rsidRPr="00D26788">
              <w:rPr>
                <w:color w:val="000000"/>
                <w:szCs w:val="24"/>
              </w:rPr>
              <w:t>17 636,7</w:t>
            </w:r>
          </w:p>
        </w:tc>
        <w:tc>
          <w:tcPr>
            <w:tcW w:w="862" w:type="pct"/>
            <w:tcBorders>
              <w:top w:val="nil"/>
              <w:left w:val="nil"/>
              <w:bottom w:val="single" w:sz="4" w:space="0" w:color="auto"/>
              <w:right w:val="single" w:sz="4" w:space="0" w:color="auto"/>
            </w:tcBorders>
            <w:hideMark/>
          </w:tcPr>
          <w:p w14:paraId="45C622D4" w14:textId="77777777" w:rsidR="00D26788" w:rsidRPr="00D26788" w:rsidRDefault="00D26788" w:rsidP="00D26788">
            <w:pPr>
              <w:jc w:val="right"/>
              <w:rPr>
                <w:color w:val="000000"/>
                <w:szCs w:val="24"/>
              </w:rPr>
            </w:pPr>
            <w:r w:rsidRPr="00D26788">
              <w:rPr>
                <w:color w:val="000000"/>
                <w:szCs w:val="24"/>
              </w:rPr>
              <w:t>22 793,9</w:t>
            </w:r>
          </w:p>
        </w:tc>
        <w:tc>
          <w:tcPr>
            <w:tcW w:w="860" w:type="pct"/>
            <w:tcBorders>
              <w:top w:val="nil"/>
              <w:left w:val="nil"/>
              <w:bottom w:val="single" w:sz="4" w:space="0" w:color="auto"/>
              <w:right w:val="single" w:sz="4" w:space="0" w:color="auto"/>
            </w:tcBorders>
            <w:hideMark/>
          </w:tcPr>
          <w:p w14:paraId="5D330418" w14:textId="77777777" w:rsidR="00D26788" w:rsidRPr="00D26788" w:rsidRDefault="00D26788" w:rsidP="00D26788">
            <w:pPr>
              <w:jc w:val="right"/>
              <w:rPr>
                <w:color w:val="000000"/>
                <w:szCs w:val="24"/>
              </w:rPr>
            </w:pPr>
            <w:r w:rsidRPr="00D26788">
              <w:rPr>
                <w:color w:val="000000"/>
                <w:szCs w:val="24"/>
              </w:rPr>
              <w:t>21 903,0</w:t>
            </w:r>
          </w:p>
        </w:tc>
        <w:tc>
          <w:tcPr>
            <w:tcW w:w="119" w:type="pct"/>
            <w:vAlign w:val="center"/>
            <w:hideMark/>
          </w:tcPr>
          <w:p w14:paraId="0930E7D6" w14:textId="77777777" w:rsidR="00D26788" w:rsidRPr="00D26788" w:rsidRDefault="00D26788" w:rsidP="00D26788">
            <w:pPr>
              <w:rPr>
                <w:rFonts w:ascii="Times New Roman" w:hAnsi="Times New Roman" w:cs="Times New Roman"/>
                <w:sz w:val="20"/>
              </w:rPr>
            </w:pPr>
          </w:p>
        </w:tc>
      </w:tr>
      <w:tr w:rsidR="00D26788" w:rsidRPr="00D26788" w14:paraId="0F36AEED"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49CF2E4B" w14:textId="77777777" w:rsidR="00D26788" w:rsidRPr="00D26788" w:rsidRDefault="00D26788" w:rsidP="00D26788">
            <w:pPr>
              <w:rPr>
                <w:color w:val="000000"/>
                <w:szCs w:val="24"/>
              </w:rPr>
            </w:pPr>
            <w:r w:rsidRPr="00D26788">
              <w:rPr>
                <w:color w:val="000000"/>
                <w:szCs w:val="24"/>
              </w:rPr>
              <w:t>3.3.2</w:t>
            </w:r>
          </w:p>
        </w:tc>
        <w:tc>
          <w:tcPr>
            <w:tcW w:w="1795" w:type="pct"/>
            <w:tcBorders>
              <w:top w:val="nil"/>
              <w:left w:val="nil"/>
              <w:bottom w:val="single" w:sz="4" w:space="0" w:color="auto"/>
              <w:right w:val="single" w:sz="4" w:space="0" w:color="auto"/>
            </w:tcBorders>
            <w:hideMark/>
          </w:tcPr>
          <w:p w14:paraId="2C2FC7D7" w14:textId="77777777" w:rsidR="00D26788" w:rsidRPr="00D26788" w:rsidRDefault="00D26788" w:rsidP="00D26788">
            <w:pPr>
              <w:rPr>
                <w:color w:val="000000"/>
                <w:szCs w:val="24"/>
              </w:rPr>
            </w:pPr>
            <w:r w:rsidRPr="00D26788">
              <w:rPr>
                <w:color w:val="000000"/>
                <w:szCs w:val="24"/>
              </w:rPr>
              <w:t>Sudaryti sąlygas miesto teritorijų, socialinės ir inžinerinės infrastruktūros plėtros planavimo sinergijai</w:t>
            </w:r>
          </w:p>
        </w:tc>
        <w:tc>
          <w:tcPr>
            <w:tcW w:w="902" w:type="pct"/>
            <w:tcBorders>
              <w:top w:val="nil"/>
              <w:left w:val="nil"/>
              <w:bottom w:val="single" w:sz="4" w:space="0" w:color="auto"/>
              <w:right w:val="single" w:sz="4" w:space="0" w:color="auto"/>
            </w:tcBorders>
            <w:hideMark/>
          </w:tcPr>
          <w:p w14:paraId="40125FB8" w14:textId="77777777" w:rsidR="00D26788" w:rsidRPr="00D26788" w:rsidRDefault="00D26788" w:rsidP="00D26788">
            <w:pPr>
              <w:jc w:val="right"/>
              <w:rPr>
                <w:color w:val="000000"/>
                <w:szCs w:val="24"/>
              </w:rPr>
            </w:pPr>
            <w:r w:rsidRPr="00D26788">
              <w:rPr>
                <w:color w:val="000000"/>
                <w:szCs w:val="24"/>
              </w:rPr>
              <w:t>6 855,7</w:t>
            </w:r>
          </w:p>
        </w:tc>
        <w:tc>
          <w:tcPr>
            <w:tcW w:w="862" w:type="pct"/>
            <w:tcBorders>
              <w:top w:val="nil"/>
              <w:left w:val="nil"/>
              <w:bottom w:val="single" w:sz="4" w:space="0" w:color="auto"/>
              <w:right w:val="single" w:sz="4" w:space="0" w:color="auto"/>
            </w:tcBorders>
            <w:hideMark/>
          </w:tcPr>
          <w:p w14:paraId="1BEEDCCE" w14:textId="77777777" w:rsidR="00D26788" w:rsidRPr="00D26788" w:rsidRDefault="00D26788" w:rsidP="00D26788">
            <w:pPr>
              <w:jc w:val="right"/>
              <w:rPr>
                <w:color w:val="000000"/>
                <w:szCs w:val="24"/>
              </w:rPr>
            </w:pPr>
            <w:r w:rsidRPr="00D26788">
              <w:rPr>
                <w:color w:val="000000"/>
                <w:szCs w:val="24"/>
              </w:rPr>
              <w:t>7 753,5</w:t>
            </w:r>
          </w:p>
        </w:tc>
        <w:tc>
          <w:tcPr>
            <w:tcW w:w="860" w:type="pct"/>
            <w:tcBorders>
              <w:top w:val="nil"/>
              <w:left w:val="nil"/>
              <w:bottom w:val="single" w:sz="4" w:space="0" w:color="auto"/>
              <w:right w:val="single" w:sz="4" w:space="0" w:color="auto"/>
            </w:tcBorders>
            <w:hideMark/>
          </w:tcPr>
          <w:p w14:paraId="35997ED6" w14:textId="77777777" w:rsidR="00D26788" w:rsidRPr="00D26788" w:rsidRDefault="00D26788" w:rsidP="00D26788">
            <w:pPr>
              <w:jc w:val="right"/>
              <w:rPr>
                <w:color w:val="000000"/>
                <w:szCs w:val="24"/>
              </w:rPr>
            </w:pPr>
            <w:r w:rsidRPr="00D26788">
              <w:rPr>
                <w:color w:val="000000"/>
                <w:szCs w:val="24"/>
              </w:rPr>
              <w:t>6 221,9</w:t>
            </w:r>
          </w:p>
        </w:tc>
        <w:tc>
          <w:tcPr>
            <w:tcW w:w="119" w:type="pct"/>
            <w:vAlign w:val="center"/>
            <w:hideMark/>
          </w:tcPr>
          <w:p w14:paraId="5CA3B3D4" w14:textId="77777777" w:rsidR="00D26788" w:rsidRPr="00D26788" w:rsidRDefault="00D26788" w:rsidP="00D26788">
            <w:pPr>
              <w:rPr>
                <w:rFonts w:ascii="Times New Roman" w:hAnsi="Times New Roman" w:cs="Times New Roman"/>
                <w:sz w:val="20"/>
              </w:rPr>
            </w:pPr>
          </w:p>
        </w:tc>
      </w:tr>
      <w:tr w:rsidR="00D26788" w:rsidRPr="00D26788" w14:paraId="71831910"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3FE16495" w14:textId="77777777" w:rsidR="00D26788" w:rsidRPr="00D26788" w:rsidRDefault="00D26788" w:rsidP="00D26788">
            <w:pPr>
              <w:rPr>
                <w:color w:val="000000"/>
                <w:szCs w:val="24"/>
              </w:rPr>
            </w:pPr>
            <w:r w:rsidRPr="00D26788">
              <w:rPr>
                <w:color w:val="000000"/>
                <w:szCs w:val="24"/>
              </w:rPr>
              <w:t>3.3.3</w:t>
            </w:r>
          </w:p>
        </w:tc>
        <w:tc>
          <w:tcPr>
            <w:tcW w:w="1795" w:type="pct"/>
            <w:tcBorders>
              <w:top w:val="nil"/>
              <w:left w:val="nil"/>
              <w:bottom w:val="single" w:sz="4" w:space="0" w:color="auto"/>
              <w:right w:val="single" w:sz="4" w:space="0" w:color="auto"/>
            </w:tcBorders>
            <w:hideMark/>
          </w:tcPr>
          <w:p w14:paraId="44DC8198" w14:textId="77777777" w:rsidR="00D26788" w:rsidRPr="00D26788" w:rsidRDefault="00D26788" w:rsidP="00D26788">
            <w:pPr>
              <w:rPr>
                <w:color w:val="000000"/>
                <w:szCs w:val="24"/>
              </w:rPr>
            </w:pPr>
            <w:r w:rsidRPr="00D26788">
              <w:rPr>
                <w:color w:val="000000"/>
                <w:szCs w:val="24"/>
              </w:rPr>
              <w:t>Užtikrinti gamybinės, komercinės ir gyvenamosios aplinkos dermę, skatinant mišrios paskirties teritorijų vystymą</w:t>
            </w:r>
          </w:p>
        </w:tc>
        <w:tc>
          <w:tcPr>
            <w:tcW w:w="902" w:type="pct"/>
            <w:tcBorders>
              <w:top w:val="nil"/>
              <w:left w:val="nil"/>
              <w:bottom w:val="single" w:sz="4" w:space="0" w:color="auto"/>
              <w:right w:val="single" w:sz="4" w:space="0" w:color="auto"/>
            </w:tcBorders>
            <w:hideMark/>
          </w:tcPr>
          <w:p w14:paraId="5A647969" w14:textId="77777777" w:rsidR="00D26788" w:rsidRPr="00D26788" w:rsidRDefault="00D26788" w:rsidP="00D26788">
            <w:pPr>
              <w:jc w:val="right"/>
              <w:rPr>
                <w:color w:val="000000"/>
                <w:szCs w:val="24"/>
              </w:rPr>
            </w:pPr>
            <w:r w:rsidRPr="00D26788">
              <w:rPr>
                <w:color w:val="000000"/>
                <w:szCs w:val="24"/>
              </w:rPr>
              <w:t>0,0</w:t>
            </w:r>
          </w:p>
        </w:tc>
        <w:tc>
          <w:tcPr>
            <w:tcW w:w="862" w:type="pct"/>
            <w:tcBorders>
              <w:top w:val="nil"/>
              <w:left w:val="nil"/>
              <w:bottom w:val="single" w:sz="4" w:space="0" w:color="auto"/>
              <w:right w:val="single" w:sz="4" w:space="0" w:color="auto"/>
            </w:tcBorders>
            <w:hideMark/>
          </w:tcPr>
          <w:p w14:paraId="5B929F23" w14:textId="77777777" w:rsidR="00D26788" w:rsidRPr="00D26788" w:rsidRDefault="00D26788" w:rsidP="00D26788">
            <w:pPr>
              <w:jc w:val="right"/>
              <w:rPr>
                <w:color w:val="000000"/>
                <w:szCs w:val="24"/>
              </w:rPr>
            </w:pPr>
            <w:r w:rsidRPr="00D26788">
              <w:rPr>
                <w:color w:val="000000"/>
                <w:szCs w:val="24"/>
              </w:rPr>
              <w:t>0,0</w:t>
            </w:r>
          </w:p>
        </w:tc>
        <w:tc>
          <w:tcPr>
            <w:tcW w:w="860" w:type="pct"/>
            <w:tcBorders>
              <w:top w:val="nil"/>
              <w:left w:val="nil"/>
              <w:bottom w:val="single" w:sz="4" w:space="0" w:color="auto"/>
              <w:right w:val="single" w:sz="4" w:space="0" w:color="auto"/>
            </w:tcBorders>
            <w:hideMark/>
          </w:tcPr>
          <w:p w14:paraId="22EFF46F" w14:textId="77777777" w:rsidR="00D26788" w:rsidRPr="00D26788" w:rsidRDefault="00D26788" w:rsidP="00D26788">
            <w:pPr>
              <w:jc w:val="right"/>
              <w:rPr>
                <w:color w:val="000000"/>
                <w:szCs w:val="24"/>
              </w:rPr>
            </w:pPr>
            <w:r w:rsidRPr="00D26788">
              <w:rPr>
                <w:color w:val="000000"/>
                <w:szCs w:val="24"/>
              </w:rPr>
              <w:t>0,0</w:t>
            </w:r>
          </w:p>
        </w:tc>
        <w:tc>
          <w:tcPr>
            <w:tcW w:w="119" w:type="pct"/>
            <w:vAlign w:val="center"/>
            <w:hideMark/>
          </w:tcPr>
          <w:p w14:paraId="6A80FD52" w14:textId="77777777" w:rsidR="00D26788" w:rsidRPr="00D26788" w:rsidRDefault="00D26788" w:rsidP="00D26788">
            <w:pPr>
              <w:rPr>
                <w:rFonts w:ascii="Times New Roman" w:hAnsi="Times New Roman" w:cs="Times New Roman"/>
                <w:sz w:val="20"/>
              </w:rPr>
            </w:pPr>
          </w:p>
        </w:tc>
      </w:tr>
      <w:tr w:rsidR="00D26788" w:rsidRPr="00D26788" w14:paraId="604006D9"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4D6578B1" w14:textId="77777777" w:rsidR="00D26788" w:rsidRPr="00D26788" w:rsidRDefault="00D26788" w:rsidP="00D26788">
            <w:pPr>
              <w:rPr>
                <w:color w:val="000000"/>
                <w:szCs w:val="24"/>
              </w:rPr>
            </w:pPr>
            <w:r w:rsidRPr="00D26788">
              <w:rPr>
                <w:color w:val="000000"/>
                <w:szCs w:val="24"/>
              </w:rPr>
              <w:t>3.3.4</w:t>
            </w:r>
          </w:p>
        </w:tc>
        <w:tc>
          <w:tcPr>
            <w:tcW w:w="1795" w:type="pct"/>
            <w:tcBorders>
              <w:top w:val="nil"/>
              <w:left w:val="nil"/>
              <w:bottom w:val="single" w:sz="4" w:space="0" w:color="auto"/>
              <w:right w:val="single" w:sz="4" w:space="0" w:color="auto"/>
            </w:tcBorders>
            <w:hideMark/>
          </w:tcPr>
          <w:p w14:paraId="48D3FE22" w14:textId="77777777" w:rsidR="00D26788" w:rsidRPr="00D26788" w:rsidRDefault="00D26788" w:rsidP="00D26788">
            <w:pPr>
              <w:rPr>
                <w:color w:val="000000"/>
                <w:szCs w:val="24"/>
              </w:rPr>
            </w:pPr>
            <w:r w:rsidRPr="00D26788">
              <w:rPr>
                <w:color w:val="000000"/>
                <w:szCs w:val="24"/>
              </w:rPr>
              <w:t>Puoselėti ir saugoti miesto savitumo sluoksnius</w:t>
            </w:r>
          </w:p>
        </w:tc>
        <w:tc>
          <w:tcPr>
            <w:tcW w:w="902" w:type="pct"/>
            <w:tcBorders>
              <w:top w:val="nil"/>
              <w:left w:val="nil"/>
              <w:bottom w:val="single" w:sz="4" w:space="0" w:color="auto"/>
              <w:right w:val="single" w:sz="4" w:space="0" w:color="auto"/>
            </w:tcBorders>
            <w:hideMark/>
          </w:tcPr>
          <w:p w14:paraId="07C94468" w14:textId="77777777" w:rsidR="00D26788" w:rsidRPr="00D26788" w:rsidRDefault="00D26788" w:rsidP="00D26788">
            <w:pPr>
              <w:jc w:val="right"/>
              <w:rPr>
                <w:color w:val="000000"/>
                <w:szCs w:val="24"/>
              </w:rPr>
            </w:pPr>
            <w:r w:rsidRPr="00D26788">
              <w:rPr>
                <w:color w:val="000000"/>
                <w:szCs w:val="24"/>
              </w:rPr>
              <w:t>3 447,0</w:t>
            </w:r>
          </w:p>
        </w:tc>
        <w:tc>
          <w:tcPr>
            <w:tcW w:w="862" w:type="pct"/>
            <w:tcBorders>
              <w:top w:val="nil"/>
              <w:left w:val="nil"/>
              <w:bottom w:val="single" w:sz="4" w:space="0" w:color="auto"/>
              <w:right w:val="single" w:sz="4" w:space="0" w:color="auto"/>
            </w:tcBorders>
            <w:hideMark/>
          </w:tcPr>
          <w:p w14:paraId="4F520C64" w14:textId="77777777" w:rsidR="00D26788" w:rsidRPr="00D26788" w:rsidRDefault="00D26788" w:rsidP="00D26788">
            <w:pPr>
              <w:jc w:val="right"/>
              <w:rPr>
                <w:color w:val="000000"/>
                <w:szCs w:val="24"/>
              </w:rPr>
            </w:pPr>
            <w:r w:rsidRPr="00D26788">
              <w:rPr>
                <w:color w:val="000000"/>
                <w:szCs w:val="24"/>
              </w:rPr>
              <w:t>4 406,0</w:t>
            </w:r>
          </w:p>
        </w:tc>
        <w:tc>
          <w:tcPr>
            <w:tcW w:w="860" w:type="pct"/>
            <w:tcBorders>
              <w:top w:val="nil"/>
              <w:left w:val="nil"/>
              <w:bottom w:val="single" w:sz="4" w:space="0" w:color="auto"/>
              <w:right w:val="single" w:sz="4" w:space="0" w:color="auto"/>
            </w:tcBorders>
            <w:hideMark/>
          </w:tcPr>
          <w:p w14:paraId="19B24487" w14:textId="77777777" w:rsidR="00D26788" w:rsidRPr="00D26788" w:rsidRDefault="00D26788" w:rsidP="00D26788">
            <w:pPr>
              <w:jc w:val="right"/>
              <w:rPr>
                <w:color w:val="000000"/>
                <w:szCs w:val="24"/>
              </w:rPr>
            </w:pPr>
            <w:r w:rsidRPr="00D26788">
              <w:rPr>
                <w:color w:val="000000"/>
                <w:szCs w:val="24"/>
              </w:rPr>
              <w:t>3 469,7</w:t>
            </w:r>
          </w:p>
        </w:tc>
        <w:tc>
          <w:tcPr>
            <w:tcW w:w="119" w:type="pct"/>
            <w:vAlign w:val="center"/>
            <w:hideMark/>
          </w:tcPr>
          <w:p w14:paraId="66FBAD9B" w14:textId="77777777" w:rsidR="00D26788" w:rsidRPr="00D26788" w:rsidRDefault="00D26788" w:rsidP="00D26788">
            <w:pPr>
              <w:rPr>
                <w:rFonts w:ascii="Times New Roman" w:hAnsi="Times New Roman" w:cs="Times New Roman"/>
                <w:sz w:val="20"/>
              </w:rPr>
            </w:pPr>
          </w:p>
        </w:tc>
      </w:tr>
      <w:tr w:rsidR="00D26788" w:rsidRPr="00D26788" w14:paraId="345E0C26" w14:textId="77777777" w:rsidTr="00E76F71">
        <w:trPr>
          <w:trHeight w:val="1575"/>
        </w:trPr>
        <w:tc>
          <w:tcPr>
            <w:tcW w:w="462" w:type="pct"/>
            <w:tcBorders>
              <w:top w:val="nil"/>
              <w:left w:val="single" w:sz="4" w:space="0" w:color="auto"/>
              <w:bottom w:val="single" w:sz="4" w:space="0" w:color="auto"/>
              <w:right w:val="single" w:sz="4" w:space="0" w:color="auto"/>
            </w:tcBorders>
            <w:hideMark/>
          </w:tcPr>
          <w:p w14:paraId="1353901F" w14:textId="77777777" w:rsidR="00D26788" w:rsidRPr="00D26788" w:rsidRDefault="00D26788" w:rsidP="00D26788">
            <w:pPr>
              <w:rPr>
                <w:color w:val="000000"/>
                <w:szCs w:val="24"/>
              </w:rPr>
            </w:pPr>
            <w:r w:rsidRPr="00D26788">
              <w:rPr>
                <w:color w:val="000000"/>
                <w:szCs w:val="24"/>
              </w:rPr>
              <w:t>3.4</w:t>
            </w:r>
          </w:p>
        </w:tc>
        <w:tc>
          <w:tcPr>
            <w:tcW w:w="1795" w:type="pct"/>
            <w:tcBorders>
              <w:top w:val="nil"/>
              <w:left w:val="nil"/>
              <w:bottom w:val="single" w:sz="4" w:space="0" w:color="auto"/>
              <w:right w:val="single" w:sz="4" w:space="0" w:color="auto"/>
            </w:tcBorders>
            <w:hideMark/>
          </w:tcPr>
          <w:p w14:paraId="07CCAE36" w14:textId="77777777" w:rsidR="00D26788" w:rsidRPr="00D26788" w:rsidRDefault="00D26788" w:rsidP="00D26788">
            <w:pPr>
              <w:rPr>
                <w:color w:val="000000"/>
                <w:szCs w:val="24"/>
              </w:rPr>
            </w:pPr>
            <w:r w:rsidRPr="00D26788">
              <w:rPr>
                <w:color w:val="000000"/>
                <w:szCs w:val="24"/>
              </w:rPr>
              <w:t>Žaliojo kurso principais paremtas modernus, efektyviai išteklius naudojantis, klimato kaitą švelninantis ir konkurencingas miestas</w:t>
            </w:r>
          </w:p>
        </w:tc>
        <w:tc>
          <w:tcPr>
            <w:tcW w:w="902" w:type="pct"/>
            <w:tcBorders>
              <w:top w:val="nil"/>
              <w:left w:val="nil"/>
              <w:bottom w:val="single" w:sz="4" w:space="0" w:color="auto"/>
              <w:right w:val="single" w:sz="4" w:space="0" w:color="auto"/>
            </w:tcBorders>
            <w:hideMark/>
          </w:tcPr>
          <w:p w14:paraId="524402E4" w14:textId="77777777" w:rsidR="00D26788" w:rsidRPr="00D26788" w:rsidRDefault="00D26788" w:rsidP="00D26788">
            <w:pPr>
              <w:jc w:val="right"/>
              <w:rPr>
                <w:color w:val="000000"/>
                <w:szCs w:val="24"/>
              </w:rPr>
            </w:pPr>
            <w:r w:rsidRPr="00D26788">
              <w:rPr>
                <w:color w:val="000000"/>
                <w:szCs w:val="24"/>
              </w:rPr>
              <w:t>18 118,3</w:t>
            </w:r>
          </w:p>
        </w:tc>
        <w:tc>
          <w:tcPr>
            <w:tcW w:w="862" w:type="pct"/>
            <w:tcBorders>
              <w:top w:val="nil"/>
              <w:left w:val="nil"/>
              <w:bottom w:val="single" w:sz="4" w:space="0" w:color="auto"/>
              <w:right w:val="single" w:sz="4" w:space="0" w:color="auto"/>
            </w:tcBorders>
            <w:hideMark/>
          </w:tcPr>
          <w:p w14:paraId="162FC44A" w14:textId="77777777" w:rsidR="00D26788" w:rsidRPr="00D26788" w:rsidRDefault="00D26788" w:rsidP="00D26788">
            <w:pPr>
              <w:jc w:val="right"/>
              <w:rPr>
                <w:color w:val="000000"/>
                <w:szCs w:val="24"/>
              </w:rPr>
            </w:pPr>
            <w:r w:rsidRPr="00D26788">
              <w:rPr>
                <w:color w:val="000000"/>
                <w:szCs w:val="24"/>
              </w:rPr>
              <w:t>21 688,8</w:t>
            </w:r>
          </w:p>
        </w:tc>
        <w:tc>
          <w:tcPr>
            <w:tcW w:w="860" w:type="pct"/>
            <w:tcBorders>
              <w:top w:val="nil"/>
              <w:left w:val="nil"/>
              <w:bottom w:val="single" w:sz="4" w:space="0" w:color="auto"/>
              <w:right w:val="single" w:sz="4" w:space="0" w:color="auto"/>
            </w:tcBorders>
            <w:hideMark/>
          </w:tcPr>
          <w:p w14:paraId="418A0E18" w14:textId="77777777" w:rsidR="00D26788" w:rsidRPr="00D26788" w:rsidRDefault="00D26788" w:rsidP="00D26788">
            <w:pPr>
              <w:jc w:val="right"/>
              <w:rPr>
                <w:color w:val="000000"/>
                <w:szCs w:val="24"/>
              </w:rPr>
            </w:pPr>
            <w:r w:rsidRPr="00D26788">
              <w:rPr>
                <w:color w:val="000000"/>
                <w:szCs w:val="24"/>
              </w:rPr>
              <w:t>16 996,8</w:t>
            </w:r>
          </w:p>
        </w:tc>
        <w:tc>
          <w:tcPr>
            <w:tcW w:w="119" w:type="pct"/>
            <w:vAlign w:val="center"/>
            <w:hideMark/>
          </w:tcPr>
          <w:p w14:paraId="684B85EF" w14:textId="77777777" w:rsidR="00D26788" w:rsidRPr="00D26788" w:rsidRDefault="00D26788" w:rsidP="00D26788">
            <w:pPr>
              <w:rPr>
                <w:rFonts w:ascii="Times New Roman" w:hAnsi="Times New Roman" w:cs="Times New Roman"/>
                <w:sz w:val="20"/>
              </w:rPr>
            </w:pPr>
          </w:p>
        </w:tc>
      </w:tr>
      <w:tr w:rsidR="00D26788" w:rsidRPr="00D26788" w14:paraId="3A3A5BBB" w14:textId="77777777" w:rsidTr="00E76F71">
        <w:trPr>
          <w:trHeight w:val="630"/>
        </w:trPr>
        <w:tc>
          <w:tcPr>
            <w:tcW w:w="462" w:type="pct"/>
            <w:tcBorders>
              <w:top w:val="nil"/>
              <w:left w:val="single" w:sz="4" w:space="0" w:color="auto"/>
              <w:bottom w:val="single" w:sz="4" w:space="0" w:color="auto"/>
              <w:right w:val="single" w:sz="4" w:space="0" w:color="auto"/>
            </w:tcBorders>
            <w:hideMark/>
          </w:tcPr>
          <w:p w14:paraId="1704DDFB" w14:textId="77777777" w:rsidR="00D26788" w:rsidRPr="00D26788" w:rsidRDefault="00D26788" w:rsidP="00D26788">
            <w:pPr>
              <w:rPr>
                <w:color w:val="000000"/>
                <w:szCs w:val="24"/>
              </w:rPr>
            </w:pPr>
            <w:r w:rsidRPr="00D26788">
              <w:rPr>
                <w:color w:val="000000"/>
                <w:szCs w:val="24"/>
              </w:rPr>
              <w:t>3.4.1</w:t>
            </w:r>
          </w:p>
        </w:tc>
        <w:tc>
          <w:tcPr>
            <w:tcW w:w="1795" w:type="pct"/>
            <w:tcBorders>
              <w:top w:val="nil"/>
              <w:left w:val="nil"/>
              <w:bottom w:val="single" w:sz="4" w:space="0" w:color="auto"/>
              <w:right w:val="single" w:sz="4" w:space="0" w:color="auto"/>
            </w:tcBorders>
            <w:hideMark/>
          </w:tcPr>
          <w:p w14:paraId="30C4A74C" w14:textId="77777777" w:rsidR="00D26788" w:rsidRPr="00D26788" w:rsidRDefault="00D26788" w:rsidP="00D26788">
            <w:pPr>
              <w:rPr>
                <w:color w:val="000000"/>
                <w:szCs w:val="24"/>
              </w:rPr>
            </w:pPr>
            <w:r w:rsidRPr="00D26788">
              <w:rPr>
                <w:color w:val="000000"/>
                <w:szCs w:val="24"/>
              </w:rPr>
              <w:t>Skatinti efektyvų išteklių valdymą ir atliekų prevenciją</w:t>
            </w:r>
          </w:p>
        </w:tc>
        <w:tc>
          <w:tcPr>
            <w:tcW w:w="902" w:type="pct"/>
            <w:tcBorders>
              <w:top w:val="nil"/>
              <w:left w:val="nil"/>
              <w:bottom w:val="single" w:sz="4" w:space="0" w:color="auto"/>
              <w:right w:val="single" w:sz="4" w:space="0" w:color="auto"/>
            </w:tcBorders>
            <w:hideMark/>
          </w:tcPr>
          <w:p w14:paraId="0352E288" w14:textId="77777777" w:rsidR="00D26788" w:rsidRPr="00D26788" w:rsidRDefault="00D26788" w:rsidP="00D26788">
            <w:pPr>
              <w:jc w:val="right"/>
              <w:rPr>
                <w:color w:val="000000"/>
                <w:szCs w:val="24"/>
              </w:rPr>
            </w:pPr>
            <w:r w:rsidRPr="00D26788">
              <w:rPr>
                <w:color w:val="000000"/>
                <w:szCs w:val="24"/>
              </w:rPr>
              <w:t>996,6</w:t>
            </w:r>
          </w:p>
        </w:tc>
        <w:tc>
          <w:tcPr>
            <w:tcW w:w="862" w:type="pct"/>
            <w:tcBorders>
              <w:top w:val="nil"/>
              <w:left w:val="nil"/>
              <w:bottom w:val="single" w:sz="4" w:space="0" w:color="auto"/>
              <w:right w:val="single" w:sz="4" w:space="0" w:color="auto"/>
            </w:tcBorders>
            <w:hideMark/>
          </w:tcPr>
          <w:p w14:paraId="1DC93FAB" w14:textId="77777777" w:rsidR="00D26788" w:rsidRPr="00D26788" w:rsidRDefault="00D26788" w:rsidP="00D26788">
            <w:pPr>
              <w:jc w:val="right"/>
              <w:rPr>
                <w:color w:val="000000"/>
                <w:szCs w:val="24"/>
              </w:rPr>
            </w:pPr>
            <w:r w:rsidRPr="00D26788">
              <w:rPr>
                <w:color w:val="000000"/>
                <w:szCs w:val="24"/>
              </w:rPr>
              <w:t>815,6</w:t>
            </w:r>
          </w:p>
        </w:tc>
        <w:tc>
          <w:tcPr>
            <w:tcW w:w="860" w:type="pct"/>
            <w:tcBorders>
              <w:top w:val="nil"/>
              <w:left w:val="nil"/>
              <w:bottom w:val="single" w:sz="4" w:space="0" w:color="auto"/>
              <w:right w:val="single" w:sz="4" w:space="0" w:color="auto"/>
            </w:tcBorders>
            <w:hideMark/>
          </w:tcPr>
          <w:p w14:paraId="4C9C48CE" w14:textId="77777777" w:rsidR="00D26788" w:rsidRPr="00D26788" w:rsidRDefault="00D26788" w:rsidP="00D26788">
            <w:pPr>
              <w:jc w:val="right"/>
              <w:rPr>
                <w:color w:val="000000"/>
                <w:szCs w:val="24"/>
              </w:rPr>
            </w:pPr>
            <w:r w:rsidRPr="00D26788">
              <w:rPr>
                <w:color w:val="000000"/>
                <w:szCs w:val="24"/>
              </w:rPr>
              <w:t>494,1</w:t>
            </w:r>
          </w:p>
        </w:tc>
        <w:tc>
          <w:tcPr>
            <w:tcW w:w="119" w:type="pct"/>
            <w:vAlign w:val="center"/>
            <w:hideMark/>
          </w:tcPr>
          <w:p w14:paraId="22A1F4D5" w14:textId="77777777" w:rsidR="00D26788" w:rsidRPr="00D26788" w:rsidRDefault="00D26788" w:rsidP="00D26788">
            <w:pPr>
              <w:rPr>
                <w:rFonts w:ascii="Times New Roman" w:hAnsi="Times New Roman" w:cs="Times New Roman"/>
                <w:sz w:val="20"/>
              </w:rPr>
            </w:pPr>
          </w:p>
        </w:tc>
      </w:tr>
      <w:tr w:rsidR="00D26788" w:rsidRPr="00D26788" w14:paraId="7ACE585B" w14:textId="77777777" w:rsidTr="00E76F71">
        <w:trPr>
          <w:trHeight w:val="1260"/>
        </w:trPr>
        <w:tc>
          <w:tcPr>
            <w:tcW w:w="462" w:type="pct"/>
            <w:tcBorders>
              <w:top w:val="nil"/>
              <w:left w:val="single" w:sz="4" w:space="0" w:color="auto"/>
              <w:bottom w:val="single" w:sz="4" w:space="0" w:color="auto"/>
              <w:right w:val="single" w:sz="4" w:space="0" w:color="auto"/>
            </w:tcBorders>
            <w:hideMark/>
          </w:tcPr>
          <w:p w14:paraId="6BDDF24B" w14:textId="77777777" w:rsidR="00D26788" w:rsidRPr="00D26788" w:rsidRDefault="00D26788" w:rsidP="00D26788">
            <w:pPr>
              <w:rPr>
                <w:color w:val="000000"/>
                <w:szCs w:val="24"/>
              </w:rPr>
            </w:pPr>
            <w:r w:rsidRPr="00D26788">
              <w:rPr>
                <w:color w:val="000000"/>
                <w:szCs w:val="24"/>
              </w:rPr>
              <w:t>3.4.2</w:t>
            </w:r>
          </w:p>
        </w:tc>
        <w:tc>
          <w:tcPr>
            <w:tcW w:w="1795" w:type="pct"/>
            <w:tcBorders>
              <w:top w:val="nil"/>
              <w:left w:val="nil"/>
              <w:bottom w:val="single" w:sz="4" w:space="0" w:color="auto"/>
              <w:right w:val="single" w:sz="4" w:space="0" w:color="auto"/>
            </w:tcBorders>
            <w:hideMark/>
          </w:tcPr>
          <w:p w14:paraId="3CA50D86" w14:textId="77777777" w:rsidR="00D26788" w:rsidRPr="00D26788" w:rsidRDefault="00D26788" w:rsidP="00D26788">
            <w:pPr>
              <w:rPr>
                <w:color w:val="000000"/>
                <w:szCs w:val="24"/>
              </w:rPr>
            </w:pPr>
            <w:r w:rsidRPr="00D26788">
              <w:rPr>
                <w:color w:val="000000"/>
                <w:szCs w:val="24"/>
              </w:rPr>
              <w:t>Mažinti aplinkos taršą ir kurti miesto ekosistemą, siekiant didinti atsparumą klimato kaitos padariniams</w:t>
            </w:r>
          </w:p>
        </w:tc>
        <w:tc>
          <w:tcPr>
            <w:tcW w:w="902" w:type="pct"/>
            <w:tcBorders>
              <w:top w:val="nil"/>
              <w:left w:val="nil"/>
              <w:bottom w:val="single" w:sz="4" w:space="0" w:color="auto"/>
              <w:right w:val="single" w:sz="4" w:space="0" w:color="auto"/>
            </w:tcBorders>
            <w:hideMark/>
          </w:tcPr>
          <w:p w14:paraId="2304A546" w14:textId="77777777" w:rsidR="00D26788" w:rsidRPr="00D26788" w:rsidRDefault="00D26788" w:rsidP="00D26788">
            <w:pPr>
              <w:jc w:val="right"/>
              <w:rPr>
                <w:color w:val="000000"/>
                <w:szCs w:val="24"/>
              </w:rPr>
            </w:pPr>
            <w:r w:rsidRPr="00D26788">
              <w:rPr>
                <w:color w:val="000000"/>
                <w:szCs w:val="24"/>
              </w:rPr>
              <w:t>16 016,1</w:t>
            </w:r>
          </w:p>
        </w:tc>
        <w:tc>
          <w:tcPr>
            <w:tcW w:w="862" w:type="pct"/>
            <w:tcBorders>
              <w:top w:val="nil"/>
              <w:left w:val="nil"/>
              <w:bottom w:val="single" w:sz="4" w:space="0" w:color="auto"/>
              <w:right w:val="single" w:sz="4" w:space="0" w:color="auto"/>
            </w:tcBorders>
            <w:hideMark/>
          </w:tcPr>
          <w:p w14:paraId="04452EDF" w14:textId="77777777" w:rsidR="00D26788" w:rsidRPr="00D26788" w:rsidRDefault="00D26788" w:rsidP="00D26788">
            <w:pPr>
              <w:jc w:val="right"/>
              <w:rPr>
                <w:color w:val="000000"/>
                <w:szCs w:val="24"/>
              </w:rPr>
            </w:pPr>
            <w:r w:rsidRPr="00D26788">
              <w:rPr>
                <w:color w:val="000000"/>
                <w:szCs w:val="24"/>
              </w:rPr>
              <w:t>20 000,4</w:t>
            </w:r>
          </w:p>
        </w:tc>
        <w:tc>
          <w:tcPr>
            <w:tcW w:w="860" w:type="pct"/>
            <w:tcBorders>
              <w:top w:val="nil"/>
              <w:left w:val="nil"/>
              <w:bottom w:val="single" w:sz="4" w:space="0" w:color="auto"/>
              <w:right w:val="single" w:sz="4" w:space="0" w:color="auto"/>
            </w:tcBorders>
            <w:hideMark/>
          </w:tcPr>
          <w:p w14:paraId="6D23DC94" w14:textId="77777777" w:rsidR="00D26788" w:rsidRPr="00D26788" w:rsidRDefault="00D26788" w:rsidP="00D26788">
            <w:pPr>
              <w:jc w:val="right"/>
              <w:rPr>
                <w:color w:val="000000"/>
                <w:szCs w:val="24"/>
              </w:rPr>
            </w:pPr>
            <w:r w:rsidRPr="00D26788">
              <w:rPr>
                <w:color w:val="000000"/>
                <w:szCs w:val="24"/>
              </w:rPr>
              <w:t>15 780,4</w:t>
            </w:r>
          </w:p>
        </w:tc>
        <w:tc>
          <w:tcPr>
            <w:tcW w:w="119" w:type="pct"/>
            <w:vAlign w:val="center"/>
            <w:hideMark/>
          </w:tcPr>
          <w:p w14:paraId="13D2031E" w14:textId="77777777" w:rsidR="00D26788" w:rsidRPr="00D26788" w:rsidRDefault="00D26788" w:rsidP="00D26788">
            <w:pPr>
              <w:rPr>
                <w:rFonts w:ascii="Times New Roman" w:hAnsi="Times New Roman" w:cs="Times New Roman"/>
                <w:sz w:val="20"/>
              </w:rPr>
            </w:pPr>
          </w:p>
        </w:tc>
      </w:tr>
      <w:tr w:rsidR="00D26788" w:rsidRPr="00D26788" w14:paraId="48D2DA9B" w14:textId="77777777" w:rsidTr="00E76F71">
        <w:trPr>
          <w:trHeight w:val="945"/>
        </w:trPr>
        <w:tc>
          <w:tcPr>
            <w:tcW w:w="462" w:type="pct"/>
            <w:tcBorders>
              <w:top w:val="nil"/>
              <w:left w:val="single" w:sz="4" w:space="0" w:color="auto"/>
              <w:bottom w:val="single" w:sz="4" w:space="0" w:color="auto"/>
              <w:right w:val="single" w:sz="4" w:space="0" w:color="auto"/>
            </w:tcBorders>
            <w:hideMark/>
          </w:tcPr>
          <w:p w14:paraId="59209FAE" w14:textId="77777777" w:rsidR="00D26788" w:rsidRPr="00D26788" w:rsidRDefault="00D26788" w:rsidP="00D26788">
            <w:pPr>
              <w:rPr>
                <w:color w:val="000000"/>
                <w:szCs w:val="24"/>
              </w:rPr>
            </w:pPr>
            <w:r w:rsidRPr="00D26788">
              <w:rPr>
                <w:color w:val="000000"/>
                <w:szCs w:val="24"/>
              </w:rPr>
              <w:t>3.4.3</w:t>
            </w:r>
          </w:p>
        </w:tc>
        <w:tc>
          <w:tcPr>
            <w:tcW w:w="1795" w:type="pct"/>
            <w:tcBorders>
              <w:top w:val="nil"/>
              <w:left w:val="nil"/>
              <w:bottom w:val="single" w:sz="4" w:space="0" w:color="auto"/>
              <w:right w:val="single" w:sz="4" w:space="0" w:color="auto"/>
            </w:tcBorders>
            <w:hideMark/>
          </w:tcPr>
          <w:p w14:paraId="539AC388" w14:textId="77777777" w:rsidR="00D26788" w:rsidRPr="00D26788" w:rsidRDefault="00D26788" w:rsidP="00D26788">
            <w:pPr>
              <w:rPr>
                <w:color w:val="000000"/>
                <w:szCs w:val="24"/>
              </w:rPr>
            </w:pPr>
            <w:r w:rsidRPr="00D26788">
              <w:rPr>
                <w:color w:val="000000"/>
                <w:szCs w:val="24"/>
              </w:rPr>
              <w:t>Skatinti perėjimą prie žiedinės ekonomikos ir tausaus išteklių naudojimo</w:t>
            </w:r>
          </w:p>
        </w:tc>
        <w:tc>
          <w:tcPr>
            <w:tcW w:w="902" w:type="pct"/>
            <w:tcBorders>
              <w:top w:val="nil"/>
              <w:left w:val="nil"/>
              <w:bottom w:val="single" w:sz="4" w:space="0" w:color="auto"/>
              <w:right w:val="single" w:sz="4" w:space="0" w:color="auto"/>
            </w:tcBorders>
            <w:hideMark/>
          </w:tcPr>
          <w:p w14:paraId="734C12C4" w14:textId="77777777" w:rsidR="00D26788" w:rsidRPr="00D26788" w:rsidRDefault="00D26788" w:rsidP="00D26788">
            <w:pPr>
              <w:jc w:val="right"/>
              <w:rPr>
                <w:color w:val="000000"/>
                <w:szCs w:val="24"/>
              </w:rPr>
            </w:pPr>
            <w:r w:rsidRPr="00D26788">
              <w:rPr>
                <w:color w:val="000000"/>
                <w:szCs w:val="24"/>
              </w:rPr>
              <w:t>1 105,6</w:t>
            </w:r>
          </w:p>
        </w:tc>
        <w:tc>
          <w:tcPr>
            <w:tcW w:w="862" w:type="pct"/>
            <w:tcBorders>
              <w:top w:val="nil"/>
              <w:left w:val="nil"/>
              <w:bottom w:val="single" w:sz="4" w:space="0" w:color="auto"/>
              <w:right w:val="single" w:sz="4" w:space="0" w:color="auto"/>
            </w:tcBorders>
            <w:hideMark/>
          </w:tcPr>
          <w:p w14:paraId="4878EBA7" w14:textId="77777777" w:rsidR="00D26788" w:rsidRPr="00D26788" w:rsidRDefault="00D26788" w:rsidP="00D26788">
            <w:pPr>
              <w:jc w:val="right"/>
              <w:rPr>
                <w:color w:val="000000"/>
                <w:szCs w:val="24"/>
              </w:rPr>
            </w:pPr>
            <w:r w:rsidRPr="00D26788">
              <w:rPr>
                <w:color w:val="000000"/>
                <w:szCs w:val="24"/>
              </w:rPr>
              <w:t>872,9</w:t>
            </w:r>
          </w:p>
        </w:tc>
        <w:tc>
          <w:tcPr>
            <w:tcW w:w="860" w:type="pct"/>
            <w:tcBorders>
              <w:top w:val="nil"/>
              <w:left w:val="nil"/>
              <w:bottom w:val="single" w:sz="4" w:space="0" w:color="auto"/>
              <w:right w:val="single" w:sz="4" w:space="0" w:color="auto"/>
            </w:tcBorders>
            <w:hideMark/>
          </w:tcPr>
          <w:p w14:paraId="61F548A6" w14:textId="77777777" w:rsidR="00D26788" w:rsidRPr="00D26788" w:rsidRDefault="00D26788" w:rsidP="00D26788">
            <w:pPr>
              <w:jc w:val="right"/>
              <w:rPr>
                <w:color w:val="000000"/>
                <w:szCs w:val="24"/>
              </w:rPr>
            </w:pPr>
            <w:r w:rsidRPr="00D26788">
              <w:rPr>
                <w:color w:val="000000"/>
                <w:szCs w:val="24"/>
              </w:rPr>
              <w:t>722,3</w:t>
            </w:r>
          </w:p>
        </w:tc>
        <w:tc>
          <w:tcPr>
            <w:tcW w:w="119" w:type="pct"/>
            <w:vAlign w:val="center"/>
            <w:hideMark/>
          </w:tcPr>
          <w:p w14:paraId="19F0E020" w14:textId="77777777" w:rsidR="00D26788" w:rsidRPr="00D26788" w:rsidRDefault="00D26788" w:rsidP="00D26788">
            <w:pPr>
              <w:rPr>
                <w:rFonts w:ascii="Times New Roman" w:hAnsi="Times New Roman" w:cs="Times New Roman"/>
                <w:sz w:val="20"/>
              </w:rPr>
            </w:pPr>
          </w:p>
        </w:tc>
      </w:tr>
      <w:tr w:rsidR="00D26788" w:rsidRPr="00D26788" w14:paraId="0568F928" w14:textId="77777777" w:rsidTr="00E76F71">
        <w:trPr>
          <w:trHeight w:val="315"/>
        </w:trPr>
        <w:tc>
          <w:tcPr>
            <w:tcW w:w="462" w:type="pct"/>
            <w:tcBorders>
              <w:top w:val="nil"/>
              <w:left w:val="single" w:sz="4" w:space="0" w:color="auto"/>
              <w:bottom w:val="single" w:sz="4" w:space="0" w:color="auto"/>
              <w:right w:val="single" w:sz="4" w:space="0" w:color="auto"/>
            </w:tcBorders>
            <w:hideMark/>
          </w:tcPr>
          <w:p w14:paraId="5C1941E0" w14:textId="77777777" w:rsidR="00D26788" w:rsidRPr="00D26788" w:rsidRDefault="00D26788" w:rsidP="00D26788">
            <w:pPr>
              <w:rPr>
                <w:color w:val="000000"/>
                <w:szCs w:val="24"/>
              </w:rPr>
            </w:pPr>
            <w:r w:rsidRPr="00D26788">
              <w:rPr>
                <w:color w:val="000000"/>
                <w:szCs w:val="24"/>
              </w:rPr>
              <w:t>3.4.4</w:t>
            </w:r>
          </w:p>
        </w:tc>
        <w:tc>
          <w:tcPr>
            <w:tcW w:w="1795" w:type="pct"/>
            <w:tcBorders>
              <w:top w:val="nil"/>
              <w:left w:val="nil"/>
              <w:bottom w:val="single" w:sz="4" w:space="0" w:color="auto"/>
              <w:right w:val="single" w:sz="4" w:space="0" w:color="auto"/>
            </w:tcBorders>
            <w:hideMark/>
          </w:tcPr>
          <w:p w14:paraId="500118D9" w14:textId="77777777" w:rsidR="00D26788" w:rsidRPr="00D26788" w:rsidRDefault="00D26788" w:rsidP="00D26788">
            <w:pPr>
              <w:rPr>
                <w:color w:val="000000"/>
                <w:szCs w:val="24"/>
              </w:rPr>
            </w:pPr>
            <w:r w:rsidRPr="00D26788">
              <w:rPr>
                <w:color w:val="000000"/>
                <w:szCs w:val="24"/>
              </w:rPr>
              <w:t>Išsaugoti biologinę įvairovę mieste</w:t>
            </w:r>
          </w:p>
        </w:tc>
        <w:tc>
          <w:tcPr>
            <w:tcW w:w="902" w:type="pct"/>
            <w:tcBorders>
              <w:top w:val="nil"/>
              <w:left w:val="nil"/>
              <w:bottom w:val="single" w:sz="4" w:space="0" w:color="auto"/>
              <w:right w:val="single" w:sz="4" w:space="0" w:color="auto"/>
            </w:tcBorders>
            <w:hideMark/>
          </w:tcPr>
          <w:p w14:paraId="55231AF1" w14:textId="77777777" w:rsidR="00D26788" w:rsidRPr="00D26788" w:rsidRDefault="00D26788" w:rsidP="00D26788">
            <w:pPr>
              <w:jc w:val="right"/>
              <w:rPr>
                <w:color w:val="000000"/>
                <w:szCs w:val="24"/>
              </w:rPr>
            </w:pPr>
            <w:r w:rsidRPr="00D26788">
              <w:rPr>
                <w:color w:val="000000"/>
                <w:szCs w:val="24"/>
              </w:rPr>
              <w:t>0,0</w:t>
            </w:r>
          </w:p>
        </w:tc>
        <w:tc>
          <w:tcPr>
            <w:tcW w:w="862" w:type="pct"/>
            <w:tcBorders>
              <w:top w:val="nil"/>
              <w:left w:val="nil"/>
              <w:bottom w:val="single" w:sz="4" w:space="0" w:color="auto"/>
              <w:right w:val="single" w:sz="4" w:space="0" w:color="auto"/>
            </w:tcBorders>
            <w:hideMark/>
          </w:tcPr>
          <w:p w14:paraId="3ECD6EC9" w14:textId="77777777" w:rsidR="00D26788" w:rsidRPr="00D26788" w:rsidRDefault="00D26788" w:rsidP="00D26788">
            <w:pPr>
              <w:jc w:val="right"/>
              <w:rPr>
                <w:color w:val="000000"/>
                <w:szCs w:val="24"/>
              </w:rPr>
            </w:pPr>
            <w:r w:rsidRPr="00D26788">
              <w:rPr>
                <w:color w:val="000000"/>
                <w:szCs w:val="24"/>
              </w:rPr>
              <w:t>0,0</w:t>
            </w:r>
          </w:p>
        </w:tc>
        <w:tc>
          <w:tcPr>
            <w:tcW w:w="860" w:type="pct"/>
            <w:tcBorders>
              <w:top w:val="nil"/>
              <w:left w:val="nil"/>
              <w:bottom w:val="single" w:sz="4" w:space="0" w:color="auto"/>
              <w:right w:val="single" w:sz="4" w:space="0" w:color="auto"/>
            </w:tcBorders>
            <w:hideMark/>
          </w:tcPr>
          <w:p w14:paraId="6A1FE9B0" w14:textId="77777777" w:rsidR="00D26788" w:rsidRPr="00D26788" w:rsidRDefault="00D26788" w:rsidP="00D26788">
            <w:pPr>
              <w:jc w:val="right"/>
              <w:rPr>
                <w:color w:val="000000"/>
                <w:szCs w:val="24"/>
              </w:rPr>
            </w:pPr>
            <w:r w:rsidRPr="00D26788">
              <w:rPr>
                <w:color w:val="000000"/>
                <w:szCs w:val="24"/>
              </w:rPr>
              <w:t>0,0</w:t>
            </w:r>
          </w:p>
        </w:tc>
        <w:tc>
          <w:tcPr>
            <w:tcW w:w="119" w:type="pct"/>
            <w:vAlign w:val="center"/>
            <w:hideMark/>
          </w:tcPr>
          <w:p w14:paraId="6554E884" w14:textId="77777777" w:rsidR="00D26788" w:rsidRPr="00D26788" w:rsidRDefault="00D26788" w:rsidP="00D26788">
            <w:pPr>
              <w:rPr>
                <w:rFonts w:ascii="Times New Roman" w:hAnsi="Times New Roman" w:cs="Times New Roman"/>
                <w:sz w:val="20"/>
              </w:rPr>
            </w:pPr>
          </w:p>
        </w:tc>
      </w:tr>
    </w:tbl>
    <w:p w14:paraId="272B27E8" w14:textId="77777777" w:rsidR="00D26788" w:rsidRPr="00D26788" w:rsidRDefault="00D26788" w:rsidP="00D26788">
      <w:pPr>
        <w:spacing w:line="360" w:lineRule="auto"/>
        <w:jc w:val="both"/>
        <w:rPr>
          <w:szCs w:val="24"/>
          <w:lang w:eastAsia="en-US"/>
        </w:rPr>
      </w:pPr>
    </w:p>
    <w:bookmarkEnd w:id="3"/>
    <w:p w14:paraId="36B85113" w14:textId="77777777" w:rsidR="00D26788" w:rsidRPr="00D26788" w:rsidRDefault="00D26788" w:rsidP="009C6543">
      <w:pPr>
        <w:spacing w:line="276" w:lineRule="auto"/>
        <w:jc w:val="center"/>
        <w:rPr>
          <w:rFonts w:eastAsia="Aptos"/>
          <w:b/>
          <w:bCs/>
          <w:kern w:val="2"/>
          <w:szCs w:val="24"/>
          <w:lang w:eastAsia="en-US"/>
          <w14:ligatures w14:val="standardContextual"/>
        </w:rPr>
      </w:pPr>
      <w:r w:rsidRPr="00D26788">
        <w:rPr>
          <w:rFonts w:eastAsia="Aptos"/>
          <w:b/>
          <w:bCs/>
          <w:kern w:val="2"/>
          <w:szCs w:val="24"/>
          <w:lang w:eastAsia="en-US"/>
          <w14:ligatures w14:val="standardContextual"/>
        </w:rPr>
        <w:t>V SKYRIUS</w:t>
      </w:r>
    </w:p>
    <w:p w14:paraId="580B0DC2" w14:textId="77777777" w:rsidR="00D26788" w:rsidRDefault="00D26788" w:rsidP="009C6543">
      <w:pPr>
        <w:spacing w:line="276" w:lineRule="auto"/>
        <w:jc w:val="center"/>
        <w:rPr>
          <w:rFonts w:eastAsia="Aptos"/>
          <w:b/>
          <w:bCs/>
          <w:kern w:val="2"/>
          <w:szCs w:val="24"/>
          <w:lang w:eastAsia="en-US"/>
          <w14:ligatures w14:val="standardContextual"/>
        </w:rPr>
      </w:pPr>
      <w:r w:rsidRPr="00D26788">
        <w:rPr>
          <w:rFonts w:eastAsia="Aptos"/>
          <w:b/>
          <w:bCs/>
          <w:kern w:val="2"/>
          <w:szCs w:val="24"/>
          <w:lang w:eastAsia="en-US"/>
          <w14:ligatures w14:val="standardContextual"/>
        </w:rPr>
        <w:t>BIUDŽETAS, MOKESČIŲ POLITIKA, TURTO VALDYMAS</w:t>
      </w:r>
    </w:p>
    <w:p w14:paraId="37F72A92" w14:textId="77777777" w:rsidR="00EF3538" w:rsidRPr="00DC0198" w:rsidRDefault="00EF3538" w:rsidP="00DC0198">
      <w:pPr>
        <w:spacing w:line="360" w:lineRule="auto"/>
        <w:rPr>
          <w:rFonts w:eastAsia="Aptos"/>
          <w:bCs/>
          <w:kern w:val="2"/>
          <w:szCs w:val="24"/>
          <w:lang w:eastAsia="en-US"/>
          <w14:ligatures w14:val="standardContextual"/>
        </w:rPr>
      </w:pPr>
    </w:p>
    <w:p w14:paraId="3B1BACBC" w14:textId="64E1D9F2" w:rsidR="00D26788" w:rsidRPr="00D26788" w:rsidRDefault="00DC0198" w:rsidP="00D26788">
      <w:pPr>
        <w:spacing w:line="360" w:lineRule="auto"/>
        <w:ind w:firstLine="1296"/>
        <w:jc w:val="both"/>
        <w:rPr>
          <w:rFonts w:eastAsia="Aptos"/>
          <w:kern w:val="2"/>
          <w:szCs w:val="24"/>
          <w:lang w:eastAsia="en-US"/>
          <w14:ligatures w14:val="standardContextual"/>
        </w:rPr>
      </w:pPr>
      <w:r>
        <w:rPr>
          <w:rFonts w:eastAsia="Aptos"/>
          <w:kern w:val="2"/>
          <w:szCs w:val="24"/>
          <w:lang w:eastAsia="en-US"/>
          <w14:ligatures w14:val="standardContextual"/>
        </w:rPr>
        <w:t>S</w:t>
      </w:r>
      <w:r w:rsidR="00D26788" w:rsidRPr="00D26788">
        <w:rPr>
          <w:rFonts w:eastAsia="Aptos"/>
          <w:kern w:val="2"/>
          <w:szCs w:val="24"/>
          <w:lang w:eastAsia="en-US"/>
          <w14:ligatures w14:val="standardContextual"/>
        </w:rPr>
        <w:t>avivaldybės taryba 2025 metų pradžioje patvirtino 663 562,1 tūkst.</w:t>
      </w:r>
      <w:r>
        <w:rPr>
          <w:rFonts w:eastAsia="Aptos"/>
          <w:kern w:val="2"/>
          <w:szCs w:val="24"/>
          <w:lang w:eastAsia="en-US"/>
          <w14:ligatures w14:val="standardContextual"/>
        </w:rPr>
        <w:t xml:space="preserve"> </w:t>
      </w:r>
      <w:r w:rsidR="00D26788" w:rsidRPr="00D26788">
        <w:rPr>
          <w:rFonts w:eastAsia="Aptos"/>
          <w:kern w:val="2"/>
          <w:szCs w:val="24"/>
          <w:lang w:eastAsia="en-US"/>
          <w14:ligatures w14:val="standardContextual"/>
        </w:rPr>
        <w:t xml:space="preserve">Eur </w:t>
      </w:r>
      <w:r w:rsidR="00D533BD" w:rsidRPr="00FB0C20">
        <w:rPr>
          <w:rFonts w:eastAsia="Aptos"/>
          <w:kern w:val="2"/>
          <w:szCs w:val="24"/>
          <w:lang w:eastAsia="en-US"/>
          <w14:ligatures w14:val="standardContextual"/>
        </w:rPr>
        <w:t>S</w:t>
      </w:r>
      <w:r w:rsidR="00D26788" w:rsidRPr="00D26788">
        <w:rPr>
          <w:rFonts w:eastAsia="Aptos"/>
          <w:kern w:val="2"/>
          <w:szCs w:val="24"/>
          <w:lang w:eastAsia="en-US"/>
          <w14:ligatures w14:val="standardContextual"/>
        </w:rPr>
        <w:t xml:space="preserve">avivaldybės biudžeto pajamų planą. Metų eigoje, patikslinus </w:t>
      </w:r>
      <w:r>
        <w:rPr>
          <w:rFonts w:eastAsia="Aptos"/>
          <w:kern w:val="2"/>
          <w:szCs w:val="24"/>
          <w:lang w:eastAsia="en-US"/>
          <w14:ligatures w14:val="standardContextual"/>
        </w:rPr>
        <w:t>S</w:t>
      </w:r>
      <w:r w:rsidR="00D26788" w:rsidRPr="00D26788">
        <w:rPr>
          <w:rFonts w:eastAsia="Aptos"/>
          <w:kern w:val="2"/>
          <w:szCs w:val="24"/>
          <w:lang w:eastAsia="en-US"/>
          <w14:ligatures w14:val="standardContextual"/>
        </w:rPr>
        <w:t xml:space="preserve">avivaldybės biudžeto pajamas pagal gautą informaciją apie valstybės biudžeto dotacijas, Europos Sąjungos, kitos tarptautinės finansinės </w:t>
      </w:r>
      <w:r w:rsidR="00D26788" w:rsidRPr="00D26788">
        <w:rPr>
          <w:rFonts w:eastAsia="Aptos"/>
          <w:kern w:val="2"/>
          <w:szCs w:val="24"/>
          <w:lang w:eastAsia="en-US"/>
          <w14:ligatures w14:val="standardContextual"/>
        </w:rPr>
        <w:lastRenderedPageBreak/>
        <w:t xml:space="preserve">paramos ir bendrojo finansavimo lėšas bei į Savivaldybės biudžetą įskaitomas savarankiškas pajamas, </w:t>
      </w:r>
      <w:r w:rsidR="00D26788" w:rsidRPr="00D26788">
        <w:rPr>
          <w:rFonts w:eastAsia="Aptos"/>
          <w:b/>
          <w:bCs/>
          <w:kern w:val="2"/>
          <w:szCs w:val="24"/>
          <w:lang w:eastAsia="en-US"/>
          <w14:ligatures w14:val="standardContextual"/>
        </w:rPr>
        <w:t>biudžeto pajamų patikslintas planas</w:t>
      </w:r>
      <w:r w:rsidR="00D26788" w:rsidRPr="00D26788">
        <w:rPr>
          <w:rFonts w:eastAsia="Aptos"/>
          <w:kern w:val="2"/>
          <w:szCs w:val="24"/>
          <w:lang w:eastAsia="en-US"/>
          <w14:ligatures w14:val="standardContextual"/>
        </w:rPr>
        <w:t xml:space="preserve"> biudžetinių metų pabaigoje sudarė 730 315,3 tūkst.</w:t>
      </w:r>
      <w:r>
        <w:rPr>
          <w:rFonts w:eastAsia="Aptos"/>
          <w:kern w:val="2"/>
          <w:szCs w:val="24"/>
          <w:lang w:eastAsia="en-US"/>
          <w14:ligatures w14:val="standardContextual"/>
        </w:rPr>
        <w:t> </w:t>
      </w:r>
      <w:r w:rsidR="00D26788" w:rsidRPr="00D26788">
        <w:rPr>
          <w:rFonts w:eastAsia="Aptos"/>
          <w:kern w:val="2"/>
          <w:szCs w:val="24"/>
          <w:lang w:eastAsia="en-US"/>
          <w14:ligatures w14:val="standardContextual"/>
        </w:rPr>
        <w:t xml:space="preserve">Eur. Biudžeto pajamų planas padidėjo 66 753,2 tūkst. Eur, iš jų: </w:t>
      </w:r>
      <w:r w:rsidR="002756E2" w:rsidRPr="004D0F46">
        <w:rPr>
          <w:rFonts w:eastAsia="Aptos"/>
          <w:kern w:val="2"/>
          <w:szCs w:val="24"/>
          <w:lang w:eastAsia="en-US"/>
          <w14:ligatures w14:val="standardContextual"/>
        </w:rPr>
        <w:t xml:space="preserve">26 634,1 tūkst. </w:t>
      </w:r>
      <w:r w:rsidR="00D26788" w:rsidRPr="00D26788">
        <w:rPr>
          <w:rFonts w:eastAsia="Aptos"/>
          <w:kern w:val="2"/>
          <w:szCs w:val="24"/>
          <w:lang w:eastAsia="en-US"/>
          <w14:ligatures w14:val="standardContextual"/>
        </w:rPr>
        <w:t xml:space="preserve">Eur gautų Europos Sąjungos finansinės paramos lėšų, </w:t>
      </w:r>
      <w:r w:rsidR="002756E2" w:rsidRPr="004D0F46">
        <w:rPr>
          <w:rFonts w:eastAsia="Aptos"/>
          <w:kern w:val="2"/>
          <w:szCs w:val="24"/>
          <w:lang w:eastAsia="en-US"/>
          <w14:ligatures w14:val="standardContextual"/>
        </w:rPr>
        <w:t>38 922,2</w:t>
      </w:r>
      <w:r w:rsidR="00D26788" w:rsidRPr="00D26788">
        <w:rPr>
          <w:rFonts w:eastAsia="Aptos"/>
          <w:kern w:val="2"/>
          <w:szCs w:val="24"/>
          <w:lang w:eastAsia="en-US"/>
          <w14:ligatures w14:val="standardContextual"/>
        </w:rPr>
        <w:t xml:space="preserve"> tūkst. Eur valstybės biudžeto</w:t>
      </w:r>
      <w:r w:rsidR="002756E2" w:rsidRPr="004D0F46">
        <w:rPr>
          <w:rFonts w:eastAsia="Aptos"/>
          <w:kern w:val="2"/>
          <w:szCs w:val="24"/>
          <w:lang w:eastAsia="en-US"/>
          <w14:ligatures w14:val="standardContextual"/>
        </w:rPr>
        <w:t xml:space="preserve"> dotacijų</w:t>
      </w:r>
      <w:r w:rsidR="00D26788" w:rsidRPr="00D26788">
        <w:rPr>
          <w:rFonts w:eastAsia="Aptos"/>
          <w:kern w:val="2"/>
          <w:szCs w:val="24"/>
          <w:lang w:eastAsia="en-US"/>
          <w14:ligatures w14:val="standardContextual"/>
        </w:rPr>
        <w:t xml:space="preserve">, </w:t>
      </w:r>
      <w:r w:rsidR="002756E2" w:rsidRPr="004D0F46">
        <w:rPr>
          <w:rFonts w:eastAsia="Aptos"/>
          <w:kern w:val="2"/>
          <w:szCs w:val="24"/>
          <w:lang w:eastAsia="en-US"/>
          <w14:ligatures w14:val="standardContextual"/>
        </w:rPr>
        <w:t>1 196,9</w:t>
      </w:r>
      <w:r w:rsidR="00D26788" w:rsidRPr="00D26788">
        <w:rPr>
          <w:rFonts w:eastAsia="Aptos"/>
          <w:kern w:val="2"/>
          <w:szCs w:val="24"/>
          <w:lang w:eastAsia="en-US"/>
          <w14:ligatures w14:val="standardContextual"/>
        </w:rPr>
        <w:t xml:space="preserve"> tūkst.</w:t>
      </w:r>
      <w:r>
        <w:rPr>
          <w:rFonts w:eastAsia="Aptos"/>
          <w:kern w:val="2"/>
          <w:szCs w:val="24"/>
          <w:lang w:eastAsia="en-US"/>
          <w14:ligatures w14:val="standardContextual"/>
        </w:rPr>
        <w:t> </w:t>
      </w:r>
      <w:r w:rsidR="00D26788" w:rsidRPr="00D26788">
        <w:rPr>
          <w:rFonts w:eastAsia="Aptos"/>
          <w:kern w:val="2"/>
          <w:szCs w:val="24"/>
          <w:lang w:eastAsia="en-US"/>
          <w14:ligatures w14:val="standardContextual"/>
        </w:rPr>
        <w:t>Eur pajam</w:t>
      </w:r>
      <w:r w:rsidR="002756E2" w:rsidRPr="004D0F46">
        <w:rPr>
          <w:rFonts w:eastAsia="Aptos"/>
          <w:kern w:val="2"/>
          <w:szCs w:val="24"/>
          <w:lang w:eastAsia="en-US"/>
          <w14:ligatures w14:val="standardContextual"/>
        </w:rPr>
        <w:t>ų</w:t>
      </w:r>
      <w:r w:rsidR="00D26788" w:rsidRPr="00D26788">
        <w:rPr>
          <w:rFonts w:eastAsia="Aptos"/>
          <w:kern w:val="2"/>
          <w:szCs w:val="24"/>
          <w:lang w:eastAsia="en-US"/>
          <w14:ligatures w14:val="standardContextual"/>
        </w:rPr>
        <w:t xml:space="preserve"> </w:t>
      </w:r>
      <w:r w:rsidR="002756E2" w:rsidRPr="004D0F46">
        <w:rPr>
          <w:rFonts w:eastAsia="Aptos"/>
          <w:kern w:val="2"/>
          <w:szCs w:val="24"/>
          <w:lang w:eastAsia="en-US"/>
          <w14:ligatures w14:val="standardContextual"/>
        </w:rPr>
        <w:t>iš</w:t>
      </w:r>
      <w:r w:rsidR="00D26788" w:rsidRPr="00D26788">
        <w:rPr>
          <w:rFonts w:eastAsia="Aptos"/>
          <w:kern w:val="2"/>
          <w:szCs w:val="24"/>
          <w:lang w:eastAsia="en-US"/>
          <w14:ligatures w14:val="standardContextual"/>
        </w:rPr>
        <w:t xml:space="preserve"> įmok</w:t>
      </w:r>
      <w:r w:rsidR="002756E2" w:rsidRPr="004D0F46">
        <w:rPr>
          <w:rFonts w:eastAsia="Aptos"/>
          <w:kern w:val="2"/>
          <w:szCs w:val="24"/>
          <w:lang w:eastAsia="en-US"/>
          <w14:ligatures w14:val="standardContextual"/>
        </w:rPr>
        <w:t>ų</w:t>
      </w:r>
      <w:r w:rsidR="00D26788" w:rsidRPr="00D26788">
        <w:rPr>
          <w:rFonts w:eastAsia="Aptos"/>
          <w:kern w:val="2"/>
          <w:szCs w:val="24"/>
          <w:lang w:eastAsia="en-US"/>
          <w14:ligatures w14:val="standardContextual"/>
        </w:rPr>
        <w:t xml:space="preserve"> biudžetinėse įstaigose</w:t>
      </w:r>
      <w:r w:rsidR="002756E2" w:rsidRPr="004D0F46">
        <w:rPr>
          <w:rFonts w:eastAsia="Aptos"/>
          <w:kern w:val="2"/>
          <w:szCs w:val="24"/>
          <w:lang w:eastAsia="en-US"/>
          <w14:ligatures w14:val="standardContextual"/>
        </w:rPr>
        <w:t>.</w:t>
      </w:r>
      <w:r>
        <w:rPr>
          <w:rFonts w:eastAsia="Aptos"/>
          <w:kern w:val="2"/>
          <w:szCs w:val="24"/>
          <w:lang w:eastAsia="en-US"/>
          <w14:ligatures w14:val="standardContextual"/>
        </w:rPr>
        <w:t xml:space="preserve"> </w:t>
      </w:r>
    </w:p>
    <w:p w14:paraId="192B2948" w14:textId="005E4149" w:rsidR="004D0F46" w:rsidRDefault="00A27DA9" w:rsidP="00032961">
      <w:pPr>
        <w:spacing w:line="360" w:lineRule="auto"/>
        <w:ind w:firstLine="1296"/>
        <w:jc w:val="both"/>
        <w:rPr>
          <w:szCs w:val="24"/>
          <w:lang w:eastAsia="en-US" w:bidi="he-IL"/>
        </w:rPr>
      </w:pPr>
      <w:r>
        <w:rPr>
          <w:szCs w:val="24"/>
          <w:lang w:eastAsia="en-US" w:bidi="he-IL"/>
        </w:rPr>
        <w:t>3</w:t>
      </w:r>
      <w:r w:rsidR="00D26788" w:rsidRPr="00D26788">
        <w:rPr>
          <w:szCs w:val="24"/>
          <w:lang w:eastAsia="en-US" w:bidi="he-IL"/>
        </w:rPr>
        <w:t xml:space="preserve"> lentelėje pateikiami 2025 metų Savivaldybės biudžeto pajamų patikslinto plano vykdymo duomenys.</w:t>
      </w:r>
      <w:r w:rsidR="00DC0198">
        <w:rPr>
          <w:szCs w:val="24"/>
          <w:lang w:eastAsia="en-US" w:bidi="he-IL"/>
        </w:rPr>
        <w:t xml:space="preserve"> </w:t>
      </w:r>
    </w:p>
    <w:tbl>
      <w:tblPr>
        <w:tblW w:w="5000" w:type="pct"/>
        <w:tblLayout w:type="fixed"/>
        <w:tblLook w:val="04A0" w:firstRow="1" w:lastRow="0" w:firstColumn="1" w:lastColumn="0" w:noHBand="0" w:noVBand="1"/>
      </w:tblPr>
      <w:tblGrid>
        <w:gridCol w:w="2219"/>
        <w:gridCol w:w="1708"/>
        <w:gridCol w:w="1885"/>
        <w:gridCol w:w="1953"/>
        <w:gridCol w:w="1874"/>
      </w:tblGrid>
      <w:tr w:rsidR="00D26788" w:rsidRPr="00D26788" w14:paraId="7C3D265B" w14:textId="77777777" w:rsidTr="00DC0198">
        <w:trPr>
          <w:trHeight w:val="315"/>
          <w:tblHeader/>
        </w:trPr>
        <w:tc>
          <w:tcPr>
            <w:tcW w:w="5000" w:type="pct"/>
            <w:gridSpan w:val="5"/>
            <w:tcBorders>
              <w:bottom w:val="single" w:sz="4" w:space="0" w:color="auto"/>
            </w:tcBorders>
            <w:noWrap/>
            <w:vAlign w:val="center"/>
            <w:hideMark/>
          </w:tcPr>
          <w:p w14:paraId="6B24C241" w14:textId="1648F295" w:rsidR="00D26788" w:rsidRPr="00D26788" w:rsidRDefault="00A27DA9" w:rsidP="00DC0198">
            <w:pPr>
              <w:jc w:val="center"/>
              <w:rPr>
                <w:color w:val="000000"/>
                <w:szCs w:val="24"/>
              </w:rPr>
            </w:pPr>
            <w:r>
              <w:rPr>
                <w:b/>
                <w:bCs/>
                <w:iCs/>
                <w:szCs w:val="24"/>
                <w:lang w:eastAsia="en-US"/>
              </w:rPr>
              <w:t>3</w:t>
            </w:r>
            <w:r w:rsidR="00D26788" w:rsidRPr="00D26788">
              <w:rPr>
                <w:b/>
                <w:bCs/>
                <w:iCs/>
                <w:szCs w:val="24"/>
                <w:lang w:eastAsia="en-US"/>
              </w:rPr>
              <w:t xml:space="preserve"> lentelė. 2025 metų Savivaldybės biudžeto pajamų patikslinto plano vykdymas</w:t>
            </w:r>
            <w:r w:rsidR="00DC0198">
              <w:rPr>
                <w:b/>
                <w:bCs/>
                <w:iCs/>
                <w:szCs w:val="24"/>
                <w:lang w:eastAsia="en-US"/>
              </w:rPr>
              <w:t xml:space="preserve"> </w:t>
            </w:r>
          </w:p>
        </w:tc>
      </w:tr>
      <w:tr w:rsidR="00D26788" w:rsidRPr="00D26788" w14:paraId="04D398A2" w14:textId="77777777" w:rsidTr="00DC0198">
        <w:trPr>
          <w:trHeight w:val="945"/>
          <w:tblHeader/>
        </w:trPr>
        <w:tc>
          <w:tcPr>
            <w:tcW w:w="115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F55CE1" w14:textId="77777777" w:rsidR="00D26788" w:rsidRPr="00D26788" w:rsidRDefault="00D26788" w:rsidP="00D26788">
            <w:pPr>
              <w:jc w:val="center"/>
              <w:rPr>
                <w:color w:val="000000"/>
                <w:szCs w:val="24"/>
              </w:rPr>
            </w:pPr>
            <w:r w:rsidRPr="00D26788">
              <w:rPr>
                <w:color w:val="000000"/>
                <w:szCs w:val="24"/>
              </w:rPr>
              <w:t>Rodiklis</w:t>
            </w:r>
          </w:p>
        </w:tc>
        <w:tc>
          <w:tcPr>
            <w:tcW w:w="886" w:type="pct"/>
            <w:tcBorders>
              <w:top w:val="single" w:sz="4" w:space="0" w:color="auto"/>
              <w:left w:val="nil"/>
              <w:bottom w:val="single" w:sz="4" w:space="0" w:color="auto"/>
              <w:right w:val="single" w:sz="4" w:space="0" w:color="auto"/>
            </w:tcBorders>
            <w:shd w:val="clear" w:color="000000" w:fill="F2F2F2"/>
            <w:vAlign w:val="center"/>
            <w:hideMark/>
          </w:tcPr>
          <w:p w14:paraId="01BC8290" w14:textId="77777777" w:rsidR="00DC0198" w:rsidRDefault="00D26788" w:rsidP="00D26788">
            <w:pPr>
              <w:jc w:val="center"/>
              <w:rPr>
                <w:color w:val="000000"/>
                <w:szCs w:val="24"/>
                <w:lang w:val="pt-BR"/>
              </w:rPr>
            </w:pPr>
            <w:r w:rsidRPr="00D26788">
              <w:rPr>
                <w:color w:val="000000"/>
                <w:szCs w:val="24"/>
                <w:lang w:val="pt-BR"/>
              </w:rPr>
              <w:t xml:space="preserve">Biudžeto pajamų patikslintas planas </w:t>
            </w:r>
          </w:p>
          <w:p w14:paraId="6FF90C43" w14:textId="270EE6E4" w:rsidR="00D26788" w:rsidRPr="00D26788" w:rsidRDefault="00D26788" w:rsidP="00D26788">
            <w:pPr>
              <w:jc w:val="center"/>
              <w:rPr>
                <w:color w:val="000000"/>
                <w:szCs w:val="24"/>
              </w:rPr>
            </w:pPr>
            <w:r w:rsidRPr="00D26788">
              <w:rPr>
                <w:color w:val="000000"/>
                <w:szCs w:val="24"/>
                <w:lang w:val="pt-BR"/>
              </w:rPr>
              <w:t>(tūkst. Eur)</w:t>
            </w:r>
          </w:p>
        </w:tc>
        <w:tc>
          <w:tcPr>
            <w:tcW w:w="978" w:type="pct"/>
            <w:tcBorders>
              <w:top w:val="single" w:sz="4" w:space="0" w:color="auto"/>
              <w:left w:val="nil"/>
              <w:bottom w:val="single" w:sz="4" w:space="0" w:color="auto"/>
              <w:right w:val="single" w:sz="4" w:space="0" w:color="auto"/>
            </w:tcBorders>
            <w:shd w:val="clear" w:color="000000" w:fill="F2F2F2"/>
            <w:vAlign w:val="center"/>
            <w:hideMark/>
          </w:tcPr>
          <w:p w14:paraId="40584F17" w14:textId="77777777" w:rsidR="00D26788" w:rsidRPr="00D26788" w:rsidRDefault="00D26788" w:rsidP="00D26788">
            <w:pPr>
              <w:jc w:val="center"/>
              <w:rPr>
                <w:color w:val="000000"/>
                <w:szCs w:val="24"/>
              </w:rPr>
            </w:pPr>
            <w:r w:rsidRPr="00D26788">
              <w:rPr>
                <w:color w:val="000000"/>
                <w:szCs w:val="24"/>
              </w:rPr>
              <w:t>Biudžeto pajamų patikslinto plano įvykdymas (tūkst. Eur)</w:t>
            </w:r>
          </w:p>
        </w:tc>
        <w:tc>
          <w:tcPr>
            <w:tcW w:w="1013" w:type="pct"/>
            <w:tcBorders>
              <w:top w:val="single" w:sz="4" w:space="0" w:color="auto"/>
              <w:left w:val="nil"/>
              <w:bottom w:val="single" w:sz="4" w:space="0" w:color="auto"/>
              <w:right w:val="single" w:sz="4" w:space="0" w:color="auto"/>
            </w:tcBorders>
            <w:shd w:val="clear" w:color="000000" w:fill="F2F2F2"/>
            <w:vAlign w:val="center"/>
            <w:hideMark/>
          </w:tcPr>
          <w:p w14:paraId="74471DDC" w14:textId="77777777" w:rsidR="00DC0198" w:rsidRDefault="00D26788" w:rsidP="00D26788">
            <w:pPr>
              <w:jc w:val="center"/>
              <w:rPr>
                <w:color w:val="000000"/>
                <w:szCs w:val="24"/>
                <w:lang w:val="pt-BR"/>
              </w:rPr>
            </w:pPr>
            <w:r w:rsidRPr="00D26788">
              <w:rPr>
                <w:color w:val="000000"/>
                <w:szCs w:val="24"/>
                <w:lang w:val="pt-BR"/>
              </w:rPr>
              <w:t xml:space="preserve">Biudžeto pajamų patikslinto plano įvykdyno rezultatas </w:t>
            </w:r>
          </w:p>
          <w:p w14:paraId="16DEFCCD" w14:textId="480EA119" w:rsidR="00D26788" w:rsidRPr="00D26788" w:rsidRDefault="00D26788" w:rsidP="00D26788">
            <w:pPr>
              <w:jc w:val="center"/>
              <w:rPr>
                <w:color w:val="000000"/>
                <w:szCs w:val="24"/>
              </w:rPr>
            </w:pPr>
            <w:r w:rsidRPr="00D26788">
              <w:rPr>
                <w:color w:val="000000"/>
                <w:szCs w:val="24"/>
                <w:lang w:val="pt-BR"/>
              </w:rPr>
              <w:t>(tūkst. Eur)</w:t>
            </w:r>
          </w:p>
        </w:tc>
        <w:tc>
          <w:tcPr>
            <w:tcW w:w="972" w:type="pct"/>
            <w:tcBorders>
              <w:top w:val="single" w:sz="4" w:space="0" w:color="auto"/>
              <w:left w:val="nil"/>
              <w:bottom w:val="single" w:sz="4" w:space="0" w:color="auto"/>
              <w:right w:val="single" w:sz="4" w:space="0" w:color="auto"/>
            </w:tcBorders>
            <w:shd w:val="clear" w:color="000000" w:fill="F2F2F2"/>
            <w:vAlign w:val="center"/>
            <w:hideMark/>
          </w:tcPr>
          <w:p w14:paraId="0394F6FA" w14:textId="77777777" w:rsidR="00D26788" w:rsidRPr="00D26788" w:rsidRDefault="00D26788" w:rsidP="00D26788">
            <w:pPr>
              <w:jc w:val="center"/>
              <w:rPr>
                <w:color w:val="000000"/>
                <w:szCs w:val="24"/>
              </w:rPr>
            </w:pPr>
            <w:r w:rsidRPr="00D26788">
              <w:rPr>
                <w:color w:val="000000"/>
                <w:szCs w:val="24"/>
              </w:rPr>
              <w:t>Biudžeto pajamų patikslinto plano įvykdymas (proc.)</w:t>
            </w:r>
          </w:p>
        </w:tc>
      </w:tr>
      <w:tr w:rsidR="00D26788" w:rsidRPr="00D26788" w14:paraId="3260B957" w14:textId="77777777" w:rsidTr="00424788">
        <w:trPr>
          <w:trHeight w:val="315"/>
        </w:trPr>
        <w:tc>
          <w:tcPr>
            <w:tcW w:w="1151" w:type="pct"/>
            <w:tcBorders>
              <w:top w:val="nil"/>
              <w:left w:val="single" w:sz="4" w:space="0" w:color="auto"/>
              <w:bottom w:val="single" w:sz="4" w:space="0" w:color="auto"/>
              <w:right w:val="single" w:sz="4" w:space="0" w:color="auto"/>
            </w:tcBorders>
            <w:shd w:val="clear" w:color="000000" w:fill="F2F2F2"/>
            <w:vAlign w:val="center"/>
            <w:hideMark/>
          </w:tcPr>
          <w:p w14:paraId="44934117" w14:textId="77777777" w:rsidR="00D26788" w:rsidRPr="00D26788" w:rsidRDefault="00D26788" w:rsidP="00D26788">
            <w:pPr>
              <w:rPr>
                <w:color w:val="000000"/>
                <w:szCs w:val="24"/>
              </w:rPr>
            </w:pPr>
            <w:r w:rsidRPr="00D26788">
              <w:rPr>
                <w:color w:val="000000"/>
                <w:szCs w:val="24"/>
              </w:rPr>
              <w:t>Mokesčiai ir kitos pajamos</w:t>
            </w:r>
          </w:p>
        </w:tc>
        <w:tc>
          <w:tcPr>
            <w:tcW w:w="886" w:type="pct"/>
            <w:tcBorders>
              <w:top w:val="nil"/>
              <w:left w:val="nil"/>
              <w:bottom w:val="single" w:sz="4" w:space="0" w:color="auto"/>
              <w:right w:val="single" w:sz="4" w:space="0" w:color="auto"/>
            </w:tcBorders>
            <w:noWrap/>
            <w:vAlign w:val="center"/>
            <w:hideMark/>
          </w:tcPr>
          <w:p w14:paraId="6034D8B5" w14:textId="77777777" w:rsidR="00D26788" w:rsidRPr="00D26788" w:rsidRDefault="00D26788" w:rsidP="00D26788">
            <w:pPr>
              <w:jc w:val="right"/>
              <w:rPr>
                <w:szCs w:val="24"/>
              </w:rPr>
            </w:pPr>
            <w:r w:rsidRPr="00D26788">
              <w:rPr>
                <w:szCs w:val="24"/>
              </w:rPr>
              <w:t>439 875,0</w:t>
            </w:r>
          </w:p>
        </w:tc>
        <w:tc>
          <w:tcPr>
            <w:tcW w:w="978" w:type="pct"/>
            <w:tcBorders>
              <w:top w:val="nil"/>
              <w:left w:val="nil"/>
              <w:bottom w:val="single" w:sz="4" w:space="0" w:color="auto"/>
              <w:right w:val="single" w:sz="4" w:space="0" w:color="auto"/>
            </w:tcBorders>
            <w:noWrap/>
            <w:vAlign w:val="center"/>
            <w:hideMark/>
          </w:tcPr>
          <w:p w14:paraId="666A9149" w14:textId="695BBD6E" w:rsidR="00D26788" w:rsidRPr="00D26788" w:rsidRDefault="00D26788" w:rsidP="00D26788">
            <w:pPr>
              <w:jc w:val="right"/>
              <w:rPr>
                <w:szCs w:val="24"/>
              </w:rPr>
            </w:pPr>
            <w:r w:rsidRPr="00D26788">
              <w:rPr>
                <w:szCs w:val="24"/>
              </w:rPr>
              <w:t>471</w:t>
            </w:r>
            <w:r w:rsidR="004D0F46" w:rsidRPr="004D0F46">
              <w:rPr>
                <w:szCs w:val="24"/>
              </w:rPr>
              <w:t> </w:t>
            </w:r>
            <w:r w:rsidRPr="00D26788">
              <w:rPr>
                <w:szCs w:val="24"/>
              </w:rPr>
              <w:t>087,9</w:t>
            </w:r>
          </w:p>
        </w:tc>
        <w:tc>
          <w:tcPr>
            <w:tcW w:w="1013" w:type="pct"/>
            <w:tcBorders>
              <w:top w:val="nil"/>
              <w:left w:val="nil"/>
              <w:bottom w:val="single" w:sz="4" w:space="0" w:color="auto"/>
              <w:right w:val="single" w:sz="4" w:space="0" w:color="auto"/>
            </w:tcBorders>
            <w:noWrap/>
            <w:vAlign w:val="center"/>
            <w:hideMark/>
          </w:tcPr>
          <w:p w14:paraId="21548F30" w14:textId="6B46570E" w:rsidR="00D26788" w:rsidRPr="00D26788" w:rsidRDefault="00D26788" w:rsidP="00D26788">
            <w:pPr>
              <w:jc w:val="right"/>
              <w:rPr>
                <w:szCs w:val="24"/>
              </w:rPr>
            </w:pPr>
            <w:r w:rsidRPr="00D26788">
              <w:rPr>
                <w:szCs w:val="24"/>
              </w:rPr>
              <w:t>31</w:t>
            </w:r>
            <w:r w:rsidR="004D0F46" w:rsidRPr="004D0F46">
              <w:rPr>
                <w:szCs w:val="24"/>
              </w:rPr>
              <w:t> </w:t>
            </w:r>
            <w:r w:rsidRPr="00D26788">
              <w:rPr>
                <w:szCs w:val="24"/>
              </w:rPr>
              <w:t>212,9</w:t>
            </w:r>
          </w:p>
        </w:tc>
        <w:tc>
          <w:tcPr>
            <w:tcW w:w="972" w:type="pct"/>
            <w:tcBorders>
              <w:top w:val="nil"/>
              <w:left w:val="nil"/>
              <w:bottom w:val="single" w:sz="4" w:space="0" w:color="auto"/>
              <w:right w:val="single" w:sz="4" w:space="0" w:color="auto"/>
            </w:tcBorders>
            <w:noWrap/>
            <w:vAlign w:val="center"/>
            <w:hideMark/>
          </w:tcPr>
          <w:p w14:paraId="4405ECF8" w14:textId="77777777" w:rsidR="00D26788" w:rsidRPr="00D26788" w:rsidRDefault="00D26788" w:rsidP="00D26788">
            <w:pPr>
              <w:jc w:val="right"/>
              <w:rPr>
                <w:szCs w:val="24"/>
              </w:rPr>
            </w:pPr>
            <w:r w:rsidRPr="00D26788">
              <w:rPr>
                <w:szCs w:val="24"/>
              </w:rPr>
              <w:t>107,1</w:t>
            </w:r>
          </w:p>
        </w:tc>
      </w:tr>
      <w:tr w:rsidR="00D26788" w:rsidRPr="00D26788" w14:paraId="0F40E8FF" w14:textId="77777777" w:rsidTr="00424788">
        <w:trPr>
          <w:trHeight w:val="315"/>
        </w:trPr>
        <w:tc>
          <w:tcPr>
            <w:tcW w:w="1151" w:type="pct"/>
            <w:tcBorders>
              <w:top w:val="nil"/>
              <w:left w:val="single" w:sz="4" w:space="0" w:color="auto"/>
              <w:bottom w:val="single" w:sz="4" w:space="0" w:color="auto"/>
              <w:right w:val="single" w:sz="4" w:space="0" w:color="auto"/>
            </w:tcBorders>
            <w:shd w:val="clear" w:color="000000" w:fill="F2F2F2"/>
            <w:vAlign w:val="center"/>
            <w:hideMark/>
          </w:tcPr>
          <w:p w14:paraId="43B310E0" w14:textId="77777777" w:rsidR="00D26788" w:rsidRPr="00D26788" w:rsidRDefault="00D26788" w:rsidP="00D26788">
            <w:pPr>
              <w:rPr>
                <w:color w:val="000000"/>
                <w:szCs w:val="24"/>
              </w:rPr>
            </w:pPr>
            <w:r w:rsidRPr="00D26788">
              <w:rPr>
                <w:color w:val="000000"/>
                <w:szCs w:val="24"/>
              </w:rPr>
              <w:t>Valstybės dotacijos</w:t>
            </w:r>
          </w:p>
        </w:tc>
        <w:tc>
          <w:tcPr>
            <w:tcW w:w="886" w:type="pct"/>
            <w:tcBorders>
              <w:top w:val="nil"/>
              <w:left w:val="nil"/>
              <w:bottom w:val="single" w:sz="4" w:space="0" w:color="auto"/>
              <w:right w:val="single" w:sz="4" w:space="0" w:color="auto"/>
            </w:tcBorders>
            <w:noWrap/>
            <w:vAlign w:val="center"/>
            <w:hideMark/>
          </w:tcPr>
          <w:p w14:paraId="479B4C26" w14:textId="77777777" w:rsidR="00D26788" w:rsidRPr="00D26788" w:rsidRDefault="00D26788" w:rsidP="00D26788">
            <w:pPr>
              <w:jc w:val="right"/>
              <w:rPr>
                <w:szCs w:val="24"/>
              </w:rPr>
            </w:pPr>
            <w:r w:rsidRPr="00D26788">
              <w:rPr>
                <w:szCs w:val="24"/>
              </w:rPr>
              <w:t>263 776,7</w:t>
            </w:r>
          </w:p>
        </w:tc>
        <w:tc>
          <w:tcPr>
            <w:tcW w:w="978" w:type="pct"/>
            <w:tcBorders>
              <w:top w:val="nil"/>
              <w:left w:val="nil"/>
              <w:bottom w:val="single" w:sz="4" w:space="0" w:color="auto"/>
              <w:right w:val="single" w:sz="4" w:space="0" w:color="auto"/>
            </w:tcBorders>
            <w:noWrap/>
            <w:vAlign w:val="center"/>
            <w:hideMark/>
          </w:tcPr>
          <w:p w14:paraId="2BC5216D" w14:textId="48A551C1" w:rsidR="00D26788" w:rsidRPr="00D26788" w:rsidRDefault="00D26788" w:rsidP="00D26788">
            <w:pPr>
              <w:jc w:val="right"/>
              <w:rPr>
                <w:szCs w:val="24"/>
              </w:rPr>
            </w:pPr>
            <w:r w:rsidRPr="00D26788">
              <w:rPr>
                <w:szCs w:val="24"/>
              </w:rPr>
              <w:t>260</w:t>
            </w:r>
            <w:r w:rsidR="004D0F46" w:rsidRPr="004D0F46">
              <w:rPr>
                <w:szCs w:val="24"/>
              </w:rPr>
              <w:t> </w:t>
            </w:r>
            <w:r w:rsidRPr="00D26788">
              <w:rPr>
                <w:szCs w:val="24"/>
              </w:rPr>
              <w:t>060,7</w:t>
            </w:r>
          </w:p>
        </w:tc>
        <w:tc>
          <w:tcPr>
            <w:tcW w:w="1013" w:type="pct"/>
            <w:tcBorders>
              <w:top w:val="nil"/>
              <w:left w:val="nil"/>
              <w:bottom w:val="single" w:sz="4" w:space="0" w:color="auto"/>
              <w:right w:val="single" w:sz="4" w:space="0" w:color="auto"/>
            </w:tcBorders>
            <w:noWrap/>
            <w:vAlign w:val="center"/>
            <w:hideMark/>
          </w:tcPr>
          <w:p w14:paraId="44A02159" w14:textId="3DCDD77E" w:rsidR="00D26788" w:rsidRPr="00D26788" w:rsidRDefault="00D26788" w:rsidP="00D26788">
            <w:pPr>
              <w:jc w:val="right"/>
              <w:rPr>
                <w:szCs w:val="24"/>
              </w:rPr>
            </w:pPr>
            <w:r w:rsidRPr="00D26788">
              <w:rPr>
                <w:szCs w:val="24"/>
              </w:rPr>
              <w:t>-3</w:t>
            </w:r>
            <w:r w:rsidR="004D0F46" w:rsidRPr="004D0F46">
              <w:rPr>
                <w:szCs w:val="24"/>
              </w:rPr>
              <w:t> </w:t>
            </w:r>
            <w:r w:rsidRPr="00D26788">
              <w:rPr>
                <w:szCs w:val="24"/>
              </w:rPr>
              <w:t>716,0</w:t>
            </w:r>
          </w:p>
        </w:tc>
        <w:tc>
          <w:tcPr>
            <w:tcW w:w="972" w:type="pct"/>
            <w:tcBorders>
              <w:top w:val="nil"/>
              <w:left w:val="nil"/>
              <w:bottom w:val="single" w:sz="4" w:space="0" w:color="auto"/>
              <w:right w:val="single" w:sz="4" w:space="0" w:color="auto"/>
            </w:tcBorders>
            <w:noWrap/>
            <w:vAlign w:val="center"/>
            <w:hideMark/>
          </w:tcPr>
          <w:p w14:paraId="4E2C2980" w14:textId="77777777" w:rsidR="00D26788" w:rsidRPr="00D26788" w:rsidRDefault="00D26788" w:rsidP="00D26788">
            <w:pPr>
              <w:jc w:val="right"/>
              <w:rPr>
                <w:szCs w:val="24"/>
              </w:rPr>
            </w:pPr>
            <w:r w:rsidRPr="00D26788">
              <w:rPr>
                <w:szCs w:val="24"/>
              </w:rPr>
              <w:t>98,6</w:t>
            </w:r>
          </w:p>
        </w:tc>
      </w:tr>
      <w:tr w:rsidR="00D26788" w:rsidRPr="00D26788" w14:paraId="29805CC9" w14:textId="77777777" w:rsidTr="00424788">
        <w:trPr>
          <w:trHeight w:val="315"/>
        </w:trPr>
        <w:tc>
          <w:tcPr>
            <w:tcW w:w="1151" w:type="pct"/>
            <w:tcBorders>
              <w:top w:val="nil"/>
              <w:left w:val="single" w:sz="4" w:space="0" w:color="auto"/>
              <w:bottom w:val="single" w:sz="4" w:space="0" w:color="auto"/>
              <w:right w:val="single" w:sz="4" w:space="0" w:color="auto"/>
            </w:tcBorders>
            <w:shd w:val="clear" w:color="000000" w:fill="F2F2F2"/>
            <w:vAlign w:val="center"/>
            <w:hideMark/>
          </w:tcPr>
          <w:p w14:paraId="48373BC7" w14:textId="77777777" w:rsidR="00D26788" w:rsidRPr="00D26788" w:rsidRDefault="00D26788" w:rsidP="00D26788">
            <w:pPr>
              <w:rPr>
                <w:color w:val="000000"/>
                <w:szCs w:val="24"/>
              </w:rPr>
            </w:pPr>
            <w:r w:rsidRPr="00D26788">
              <w:rPr>
                <w:color w:val="000000"/>
                <w:szCs w:val="24"/>
              </w:rPr>
              <w:t>Europos Sąjungos finansinės paramos lėšos</w:t>
            </w:r>
          </w:p>
        </w:tc>
        <w:tc>
          <w:tcPr>
            <w:tcW w:w="886" w:type="pct"/>
            <w:tcBorders>
              <w:top w:val="nil"/>
              <w:left w:val="nil"/>
              <w:bottom w:val="single" w:sz="4" w:space="0" w:color="auto"/>
              <w:right w:val="single" w:sz="4" w:space="0" w:color="auto"/>
            </w:tcBorders>
            <w:noWrap/>
            <w:vAlign w:val="center"/>
            <w:hideMark/>
          </w:tcPr>
          <w:p w14:paraId="09FD2387" w14:textId="5E7B1565" w:rsidR="00D26788" w:rsidRPr="00D26788" w:rsidRDefault="00D26788" w:rsidP="00D26788">
            <w:pPr>
              <w:jc w:val="right"/>
              <w:rPr>
                <w:szCs w:val="24"/>
              </w:rPr>
            </w:pPr>
            <w:r w:rsidRPr="00D26788">
              <w:rPr>
                <w:szCs w:val="24"/>
              </w:rPr>
              <w:t>26</w:t>
            </w:r>
            <w:r w:rsidR="004D0F46" w:rsidRPr="004D0F46">
              <w:rPr>
                <w:szCs w:val="24"/>
              </w:rPr>
              <w:t> </w:t>
            </w:r>
            <w:r w:rsidRPr="00D26788">
              <w:rPr>
                <w:szCs w:val="24"/>
              </w:rPr>
              <w:t>663,6</w:t>
            </w:r>
          </w:p>
        </w:tc>
        <w:tc>
          <w:tcPr>
            <w:tcW w:w="978" w:type="pct"/>
            <w:tcBorders>
              <w:top w:val="nil"/>
              <w:left w:val="nil"/>
              <w:bottom w:val="single" w:sz="4" w:space="0" w:color="auto"/>
              <w:right w:val="single" w:sz="4" w:space="0" w:color="auto"/>
            </w:tcBorders>
            <w:noWrap/>
            <w:vAlign w:val="center"/>
            <w:hideMark/>
          </w:tcPr>
          <w:p w14:paraId="4F48AA8A" w14:textId="30BFDD20" w:rsidR="00D26788" w:rsidRPr="00D26788" w:rsidRDefault="00D26788" w:rsidP="00D26788">
            <w:pPr>
              <w:jc w:val="right"/>
              <w:rPr>
                <w:szCs w:val="24"/>
              </w:rPr>
            </w:pPr>
            <w:r w:rsidRPr="00D26788">
              <w:rPr>
                <w:szCs w:val="24"/>
              </w:rPr>
              <w:t>26</w:t>
            </w:r>
            <w:r w:rsidR="004D0F46" w:rsidRPr="004D0F46">
              <w:rPr>
                <w:szCs w:val="24"/>
              </w:rPr>
              <w:t> </w:t>
            </w:r>
            <w:r w:rsidRPr="00D26788">
              <w:rPr>
                <w:szCs w:val="24"/>
              </w:rPr>
              <w:t>557,1</w:t>
            </w:r>
          </w:p>
        </w:tc>
        <w:tc>
          <w:tcPr>
            <w:tcW w:w="1013" w:type="pct"/>
            <w:tcBorders>
              <w:top w:val="nil"/>
              <w:left w:val="nil"/>
              <w:bottom w:val="single" w:sz="4" w:space="0" w:color="auto"/>
              <w:right w:val="single" w:sz="4" w:space="0" w:color="auto"/>
            </w:tcBorders>
            <w:noWrap/>
            <w:vAlign w:val="center"/>
            <w:hideMark/>
          </w:tcPr>
          <w:p w14:paraId="31C34853" w14:textId="77777777" w:rsidR="00D26788" w:rsidRPr="00D26788" w:rsidRDefault="00D26788" w:rsidP="00D26788">
            <w:pPr>
              <w:jc w:val="right"/>
              <w:rPr>
                <w:szCs w:val="24"/>
              </w:rPr>
            </w:pPr>
            <w:r w:rsidRPr="00D26788">
              <w:rPr>
                <w:szCs w:val="24"/>
              </w:rPr>
              <w:t>-106,5</w:t>
            </w:r>
          </w:p>
        </w:tc>
        <w:tc>
          <w:tcPr>
            <w:tcW w:w="972" w:type="pct"/>
            <w:tcBorders>
              <w:top w:val="nil"/>
              <w:left w:val="nil"/>
              <w:bottom w:val="single" w:sz="4" w:space="0" w:color="auto"/>
              <w:right w:val="single" w:sz="4" w:space="0" w:color="auto"/>
            </w:tcBorders>
            <w:noWrap/>
            <w:vAlign w:val="center"/>
            <w:hideMark/>
          </w:tcPr>
          <w:p w14:paraId="2BBA69FA" w14:textId="77777777" w:rsidR="00D26788" w:rsidRPr="00D26788" w:rsidRDefault="00D26788" w:rsidP="00D26788">
            <w:pPr>
              <w:jc w:val="right"/>
              <w:rPr>
                <w:szCs w:val="24"/>
              </w:rPr>
            </w:pPr>
            <w:r w:rsidRPr="00D26788">
              <w:rPr>
                <w:szCs w:val="24"/>
              </w:rPr>
              <w:t>99,6</w:t>
            </w:r>
          </w:p>
        </w:tc>
      </w:tr>
      <w:tr w:rsidR="00D26788" w:rsidRPr="00D26788" w14:paraId="46DBA29F" w14:textId="77777777" w:rsidTr="00424788">
        <w:trPr>
          <w:trHeight w:val="315"/>
        </w:trPr>
        <w:tc>
          <w:tcPr>
            <w:tcW w:w="1151" w:type="pct"/>
            <w:tcBorders>
              <w:top w:val="nil"/>
              <w:left w:val="single" w:sz="4" w:space="0" w:color="auto"/>
              <w:bottom w:val="single" w:sz="4" w:space="0" w:color="auto"/>
              <w:right w:val="single" w:sz="4" w:space="0" w:color="auto"/>
            </w:tcBorders>
            <w:shd w:val="clear" w:color="000000" w:fill="F2F2F2"/>
            <w:vAlign w:val="center"/>
            <w:hideMark/>
          </w:tcPr>
          <w:p w14:paraId="3C745101" w14:textId="77777777" w:rsidR="00D26788" w:rsidRPr="00D26788" w:rsidRDefault="00D26788" w:rsidP="00D26788">
            <w:pPr>
              <w:rPr>
                <w:color w:val="000000"/>
                <w:szCs w:val="24"/>
              </w:rPr>
            </w:pPr>
            <w:r w:rsidRPr="00D26788">
              <w:rPr>
                <w:color w:val="000000"/>
                <w:szCs w:val="24"/>
              </w:rPr>
              <w:t>Iš viso pajamų</w:t>
            </w:r>
          </w:p>
        </w:tc>
        <w:tc>
          <w:tcPr>
            <w:tcW w:w="886" w:type="pct"/>
            <w:tcBorders>
              <w:top w:val="nil"/>
              <w:left w:val="nil"/>
              <w:bottom w:val="single" w:sz="4" w:space="0" w:color="auto"/>
              <w:right w:val="single" w:sz="4" w:space="0" w:color="auto"/>
            </w:tcBorders>
            <w:shd w:val="clear" w:color="000000" w:fill="F2F2F2"/>
            <w:noWrap/>
            <w:vAlign w:val="center"/>
            <w:hideMark/>
          </w:tcPr>
          <w:p w14:paraId="55545FDD" w14:textId="53BE5D3E" w:rsidR="00D26788" w:rsidRPr="00D26788" w:rsidRDefault="00D26788" w:rsidP="00D26788">
            <w:pPr>
              <w:jc w:val="right"/>
              <w:rPr>
                <w:color w:val="000000"/>
                <w:szCs w:val="24"/>
              </w:rPr>
            </w:pPr>
            <w:r w:rsidRPr="00D26788">
              <w:rPr>
                <w:color w:val="000000"/>
                <w:szCs w:val="24"/>
              </w:rPr>
              <w:t>730</w:t>
            </w:r>
            <w:r w:rsidR="004D0F46">
              <w:rPr>
                <w:color w:val="000000"/>
                <w:szCs w:val="24"/>
              </w:rPr>
              <w:t> </w:t>
            </w:r>
            <w:r w:rsidRPr="00D26788">
              <w:rPr>
                <w:color w:val="000000"/>
                <w:szCs w:val="24"/>
              </w:rPr>
              <w:t>315,3</w:t>
            </w:r>
          </w:p>
        </w:tc>
        <w:tc>
          <w:tcPr>
            <w:tcW w:w="978" w:type="pct"/>
            <w:tcBorders>
              <w:top w:val="nil"/>
              <w:left w:val="nil"/>
              <w:bottom w:val="single" w:sz="4" w:space="0" w:color="auto"/>
              <w:right w:val="single" w:sz="4" w:space="0" w:color="auto"/>
            </w:tcBorders>
            <w:shd w:val="clear" w:color="000000" w:fill="F2F2F2"/>
            <w:noWrap/>
            <w:vAlign w:val="center"/>
            <w:hideMark/>
          </w:tcPr>
          <w:p w14:paraId="20EE8C96" w14:textId="5E8E2001" w:rsidR="00D26788" w:rsidRPr="00D26788" w:rsidRDefault="00D26788" w:rsidP="00D26788">
            <w:pPr>
              <w:jc w:val="right"/>
              <w:rPr>
                <w:color w:val="000000"/>
                <w:szCs w:val="24"/>
              </w:rPr>
            </w:pPr>
            <w:r w:rsidRPr="00D26788">
              <w:rPr>
                <w:color w:val="000000"/>
                <w:szCs w:val="24"/>
              </w:rPr>
              <w:t>757</w:t>
            </w:r>
            <w:r w:rsidR="004D0F46">
              <w:rPr>
                <w:color w:val="000000"/>
                <w:szCs w:val="24"/>
              </w:rPr>
              <w:t> </w:t>
            </w:r>
            <w:r w:rsidRPr="00D26788">
              <w:rPr>
                <w:color w:val="000000"/>
                <w:szCs w:val="24"/>
              </w:rPr>
              <w:t>705,7</w:t>
            </w:r>
          </w:p>
        </w:tc>
        <w:tc>
          <w:tcPr>
            <w:tcW w:w="1013" w:type="pct"/>
            <w:tcBorders>
              <w:top w:val="nil"/>
              <w:left w:val="nil"/>
              <w:bottom w:val="single" w:sz="4" w:space="0" w:color="auto"/>
              <w:right w:val="single" w:sz="4" w:space="0" w:color="auto"/>
            </w:tcBorders>
            <w:shd w:val="clear" w:color="000000" w:fill="EDEDED"/>
            <w:noWrap/>
            <w:vAlign w:val="center"/>
            <w:hideMark/>
          </w:tcPr>
          <w:p w14:paraId="7A940E29" w14:textId="13E2A9E8" w:rsidR="00D26788" w:rsidRPr="00D26788" w:rsidRDefault="00D26788" w:rsidP="00D26788">
            <w:pPr>
              <w:jc w:val="right"/>
              <w:rPr>
                <w:szCs w:val="24"/>
              </w:rPr>
            </w:pPr>
            <w:r w:rsidRPr="00D26788">
              <w:rPr>
                <w:szCs w:val="24"/>
              </w:rPr>
              <w:t>27</w:t>
            </w:r>
            <w:r w:rsidR="004D0F46">
              <w:rPr>
                <w:szCs w:val="24"/>
              </w:rPr>
              <w:t> </w:t>
            </w:r>
            <w:r w:rsidRPr="00D26788">
              <w:rPr>
                <w:szCs w:val="24"/>
              </w:rPr>
              <w:t>390,4</w:t>
            </w:r>
          </w:p>
        </w:tc>
        <w:tc>
          <w:tcPr>
            <w:tcW w:w="972" w:type="pct"/>
            <w:tcBorders>
              <w:top w:val="nil"/>
              <w:left w:val="nil"/>
              <w:bottom w:val="single" w:sz="4" w:space="0" w:color="auto"/>
              <w:right w:val="single" w:sz="4" w:space="0" w:color="auto"/>
            </w:tcBorders>
            <w:shd w:val="clear" w:color="000000" w:fill="EDEDED"/>
            <w:noWrap/>
            <w:vAlign w:val="center"/>
            <w:hideMark/>
          </w:tcPr>
          <w:p w14:paraId="1CF03987" w14:textId="77777777" w:rsidR="00D26788" w:rsidRPr="00D26788" w:rsidRDefault="00D26788" w:rsidP="00D26788">
            <w:pPr>
              <w:jc w:val="right"/>
              <w:rPr>
                <w:szCs w:val="24"/>
              </w:rPr>
            </w:pPr>
            <w:r w:rsidRPr="00D26788">
              <w:rPr>
                <w:szCs w:val="24"/>
              </w:rPr>
              <w:t>103,8</w:t>
            </w:r>
          </w:p>
        </w:tc>
      </w:tr>
    </w:tbl>
    <w:p w14:paraId="13D618BE" w14:textId="77777777" w:rsidR="004D0F46" w:rsidRDefault="004D0F46" w:rsidP="00D26788">
      <w:pPr>
        <w:spacing w:line="360" w:lineRule="auto"/>
        <w:ind w:firstLine="1296"/>
        <w:jc w:val="both"/>
        <w:rPr>
          <w:rFonts w:eastAsia="Aptos"/>
          <w:kern w:val="2"/>
          <w:szCs w:val="24"/>
          <w:lang w:eastAsia="en-US"/>
          <w14:ligatures w14:val="standardContextual"/>
        </w:rPr>
      </w:pPr>
    </w:p>
    <w:p w14:paraId="0DEF2A9D" w14:textId="7049FF84"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2025 metais faktiškai gauta 757 705,7 tūkst. Eur pajamų, patikslintas biudžeto pajamų planas įvykdytas 103,8 proc., t.</w:t>
      </w:r>
      <w:r w:rsidR="00E9250B">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y. pajamų gauta 27 390,4 tūkst. Eur daugiau nei planuota.</w:t>
      </w:r>
      <w:r w:rsidR="00DC0198">
        <w:rPr>
          <w:rFonts w:eastAsia="Aptos"/>
          <w:kern w:val="2"/>
          <w:szCs w:val="24"/>
          <w:lang w:eastAsia="en-US"/>
          <w14:ligatures w14:val="standardContextual"/>
        </w:rPr>
        <w:t xml:space="preserve"> </w:t>
      </w:r>
    </w:p>
    <w:p w14:paraId="2B4292D7" w14:textId="5D6C0DE8"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Įvertinus Savivaldybės skolintas lėšas ir 2025 metų pradžios likutį, Savivaldybės finansiniai ištekliai ataskaitinių metų pabaigoje sudarė 842 555,</w:t>
      </w:r>
      <w:r w:rsidR="004D0F46" w:rsidRPr="004D0F46">
        <w:rPr>
          <w:rFonts w:eastAsia="Aptos"/>
          <w:kern w:val="2"/>
          <w:szCs w:val="24"/>
          <w:lang w:eastAsia="en-US"/>
          <w14:ligatures w14:val="standardContextual"/>
        </w:rPr>
        <w:t>1</w:t>
      </w:r>
      <w:r w:rsidRPr="00D26788">
        <w:rPr>
          <w:rFonts w:eastAsia="Aptos"/>
          <w:kern w:val="2"/>
          <w:szCs w:val="24"/>
          <w:lang w:eastAsia="en-US"/>
          <w14:ligatures w14:val="standardContextual"/>
        </w:rPr>
        <w:t xml:space="preserve"> tūkst. Eur.</w:t>
      </w:r>
      <w:r w:rsidR="00DC0198">
        <w:rPr>
          <w:rFonts w:eastAsia="Aptos"/>
          <w:kern w:val="2"/>
          <w:szCs w:val="24"/>
          <w:lang w:eastAsia="en-US"/>
          <w14:ligatures w14:val="standardContextual"/>
        </w:rPr>
        <w:t xml:space="preserve"> </w:t>
      </w:r>
    </w:p>
    <w:p w14:paraId="340818B9" w14:textId="61737D04" w:rsidR="00D26788" w:rsidRPr="00D26788" w:rsidRDefault="00A27DA9" w:rsidP="00D26788">
      <w:pPr>
        <w:spacing w:line="360" w:lineRule="auto"/>
        <w:ind w:firstLine="1296"/>
        <w:jc w:val="both"/>
        <w:rPr>
          <w:szCs w:val="24"/>
          <w:lang w:eastAsia="en-US" w:bidi="he-IL"/>
        </w:rPr>
      </w:pPr>
      <w:r>
        <w:rPr>
          <w:szCs w:val="24"/>
          <w:lang w:eastAsia="en-US" w:bidi="he-IL"/>
        </w:rPr>
        <w:t>4</w:t>
      </w:r>
      <w:r w:rsidR="00D26788" w:rsidRPr="00D26788">
        <w:rPr>
          <w:szCs w:val="24"/>
          <w:lang w:eastAsia="en-US" w:bidi="he-IL"/>
        </w:rPr>
        <w:t xml:space="preserve"> lentelėje pateikiami Savivaldybės 2025 metų patikslinto pajamų plano savarankiškoms funkcijoms atlikti (mokesčių ir kitų pajamų, be dotacijų) vykdymo duomenys.</w:t>
      </w:r>
      <w:r w:rsidR="00DC0198">
        <w:rPr>
          <w:szCs w:val="24"/>
          <w:lang w:eastAsia="en-US" w:bidi="he-IL"/>
        </w:rPr>
        <w:t xml:space="preserve"> </w:t>
      </w:r>
    </w:p>
    <w:p w14:paraId="02CF5E9D" w14:textId="321B2C91" w:rsidR="00D26788" w:rsidRDefault="00A27DA9" w:rsidP="001E5A3B">
      <w:pPr>
        <w:ind w:right="284"/>
        <w:jc w:val="center"/>
        <w:rPr>
          <w:b/>
          <w:bCs/>
          <w:szCs w:val="24"/>
          <w:lang w:eastAsia="en-US" w:bidi="he-IL"/>
        </w:rPr>
      </w:pPr>
      <w:r w:rsidRPr="00A27DA9">
        <w:rPr>
          <w:b/>
          <w:bCs/>
          <w:iCs/>
          <w:szCs w:val="24"/>
          <w:lang w:eastAsia="en-US"/>
        </w:rPr>
        <w:t>4</w:t>
      </w:r>
      <w:r w:rsidR="00D26788" w:rsidRPr="00D26788">
        <w:rPr>
          <w:b/>
          <w:bCs/>
          <w:iCs/>
          <w:szCs w:val="24"/>
          <w:lang w:eastAsia="en-US"/>
        </w:rPr>
        <w:t xml:space="preserve"> lentelė. </w:t>
      </w:r>
      <w:r w:rsidR="00D26788" w:rsidRPr="00D26788">
        <w:rPr>
          <w:b/>
          <w:bCs/>
          <w:szCs w:val="24"/>
          <w:lang w:eastAsia="en-US" w:bidi="he-IL"/>
        </w:rPr>
        <w:t>Savivaldybės 2025 metų patikslinto pajamų plano savarankiškoms funkcijoms atlikti vykdymas</w:t>
      </w:r>
      <w:r w:rsidR="00DC0198">
        <w:rPr>
          <w:b/>
          <w:bCs/>
          <w:szCs w:val="24"/>
          <w:lang w:eastAsia="en-US" w:bidi="he-IL"/>
        </w:rPr>
        <w:t xml:space="preserve"> </w:t>
      </w:r>
    </w:p>
    <w:tbl>
      <w:tblPr>
        <w:tblW w:w="5000" w:type="pct"/>
        <w:tblLook w:val="04A0" w:firstRow="1" w:lastRow="0" w:firstColumn="1" w:lastColumn="0" w:noHBand="0" w:noVBand="1"/>
      </w:tblPr>
      <w:tblGrid>
        <w:gridCol w:w="2217"/>
        <w:gridCol w:w="1706"/>
        <w:gridCol w:w="1737"/>
        <w:gridCol w:w="2097"/>
        <w:gridCol w:w="1872"/>
      </w:tblGrid>
      <w:tr w:rsidR="00D26788" w:rsidRPr="00D26788" w14:paraId="44B24F12" w14:textId="77777777" w:rsidTr="00E9250B">
        <w:trPr>
          <w:trHeight w:val="315"/>
          <w:tblHeader/>
        </w:trPr>
        <w:tc>
          <w:tcPr>
            <w:tcW w:w="5000" w:type="pct"/>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86D5066" w14:textId="77777777" w:rsidR="00D26788" w:rsidRPr="00D26788" w:rsidRDefault="00D26788" w:rsidP="00A27DA9">
            <w:pPr>
              <w:jc w:val="center"/>
              <w:rPr>
                <w:color w:val="000000"/>
                <w:szCs w:val="24"/>
              </w:rPr>
            </w:pPr>
            <w:r w:rsidRPr="00D26788">
              <w:rPr>
                <w:color w:val="000000"/>
                <w:szCs w:val="24"/>
              </w:rPr>
              <w:t>2025 m.</w:t>
            </w:r>
          </w:p>
        </w:tc>
      </w:tr>
      <w:tr w:rsidR="00D26788" w:rsidRPr="00D26788" w14:paraId="30A986F7" w14:textId="77777777" w:rsidTr="00E9250B">
        <w:trPr>
          <w:trHeight w:val="945"/>
          <w:tblHeader/>
        </w:trPr>
        <w:tc>
          <w:tcPr>
            <w:tcW w:w="1151" w:type="pct"/>
            <w:tcBorders>
              <w:top w:val="nil"/>
              <w:left w:val="single" w:sz="4" w:space="0" w:color="auto"/>
              <w:bottom w:val="single" w:sz="4" w:space="0" w:color="auto"/>
              <w:right w:val="single" w:sz="4" w:space="0" w:color="auto"/>
            </w:tcBorders>
            <w:shd w:val="clear" w:color="000000" w:fill="F2F2F2"/>
            <w:noWrap/>
            <w:vAlign w:val="center"/>
            <w:hideMark/>
          </w:tcPr>
          <w:p w14:paraId="0790333E" w14:textId="77777777" w:rsidR="00D26788" w:rsidRPr="00D26788" w:rsidRDefault="00D26788" w:rsidP="00D26788">
            <w:pPr>
              <w:jc w:val="center"/>
              <w:rPr>
                <w:color w:val="000000"/>
                <w:szCs w:val="24"/>
              </w:rPr>
            </w:pPr>
            <w:r w:rsidRPr="00D26788">
              <w:rPr>
                <w:color w:val="000000"/>
                <w:szCs w:val="24"/>
              </w:rPr>
              <w:t>Rodiklis</w:t>
            </w:r>
          </w:p>
        </w:tc>
        <w:tc>
          <w:tcPr>
            <w:tcW w:w="886" w:type="pct"/>
            <w:tcBorders>
              <w:top w:val="nil"/>
              <w:left w:val="nil"/>
              <w:bottom w:val="single" w:sz="4" w:space="0" w:color="auto"/>
              <w:right w:val="single" w:sz="4" w:space="0" w:color="auto"/>
            </w:tcBorders>
            <w:shd w:val="clear" w:color="000000" w:fill="F2F2F2"/>
            <w:vAlign w:val="center"/>
            <w:hideMark/>
          </w:tcPr>
          <w:p w14:paraId="420A92DC" w14:textId="77777777" w:rsidR="00D26788" w:rsidRPr="00D26788" w:rsidRDefault="00D26788" w:rsidP="00D26788">
            <w:pPr>
              <w:jc w:val="center"/>
              <w:rPr>
                <w:color w:val="000000"/>
                <w:szCs w:val="24"/>
              </w:rPr>
            </w:pPr>
            <w:r w:rsidRPr="00D26788">
              <w:rPr>
                <w:color w:val="000000"/>
                <w:szCs w:val="24"/>
                <w:lang w:val="pt-BR"/>
              </w:rPr>
              <w:t>Biudžeto pajamų patikslintas planas (tūkst. Eur)</w:t>
            </w:r>
          </w:p>
        </w:tc>
        <w:tc>
          <w:tcPr>
            <w:tcW w:w="902" w:type="pct"/>
            <w:tcBorders>
              <w:top w:val="nil"/>
              <w:left w:val="nil"/>
              <w:bottom w:val="single" w:sz="4" w:space="0" w:color="auto"/>
              <w:right w:val="single" w:sz="4" w:space="0" w:color="auto"/>
            </w:tcBorders>
            <w:shd w:val="clear" w:color="000000" w:fill="F2F2F2"/>
            <w:vAlign w:val="center"/>
            <w:hideMark/>
          </w:tcPr>
          <w:p w14:paraId="2AB0EAC0" w14:textId="77777777" w:rsidR="00D26788" w:rsidRPr="00D26788" w:rsidRDefault="00D26788" w:rsidP="00D26788">
            <w:pPr>
              <w:jc w:val="center"/>
              <w:rPr>
                <w:color w:val="000000"/>
                <w:szCs w:val="24"/>
              </w:rPr>
            </w:pPr>
            <w:r w:rsidRPr="00D26788">
              <w:rPr>
                <w:color w:val="000000"/>
                <w:szCs w:val="24"/>
              </w:rPr>
              <w:t>Biudžeto pajamų patikslinto plano įvykdymas (tūkst. Eur)</w:t>
            </w:r>
          </w:p>
        </w:tc>
        <w:tc>
          <w:tcPr>
            <w:tcW w:w="1089" w:type="pct"/>
            <w:tcBorders>
              <w:top w:val="nil"/>
              <w:left w:val="nil"/>
              <w:bottom w:val="single" w:sz="4" w:space="0" w:color="auto"/>
              <w:right w:val="single" w:sz="4" w:space="0" w:color="auto"/>
            </w:tcBorders>
            <w:shd w:val="clear" w:color="000000" w:fill="F2F2F2"/>
            <w:vAlign w:val="center"/>
            <w:hideMark/>
          </w:tcPr>
          <w:p w14:paraId="602A7FA5" w14:textId="77777777" w:rsidR="00D26788" w:rsidRPr="00D26788" w:rsidRDefault="00D26788" w:rsidP="00D26788">
            <w:pPr>
              <w:jc w:val="center"/>
              <w:rPr>
                <w:color w:val="000000"/>
                <w:szCs w:val="24"/>
              </w:rPr>
            </w:pPr>
            <w:r w:rsidRPr="00D26788">
              <w:rPr>
                <w:color w:val="000000"/>
                <w:szCs w:val="24"/>
                <w:lang w:val="pt-BR"/>
              </w:rPr>
              <w:t>Biudžeto pajamų patikslinto plano įvykdyno rezultatas (tūkst. Eur)</w:t>
            </w:r>
          </w:p>
        </w:tc>
        <w:tc>
          <w:tcPr>
            <w:tcW w:w="972" w:type="pct"/>
            <w:tcBorders>
              <w:top w:val="nil"/>
              <w:left w:val="nil"/>
              <w:bottom w:val="single" w:sz="4" w:space="0" w:color="auto"/>
              <w:right w:val="single" w:sz="4" w:space="0" w:color="auto"/>
            </w:tcBorders>
            <w:shd w:val="clear" w:color="000000" w:fill="F2F2F2"/>
            <w:vAlign w:val="center"/>
            <w:hideMark/>
          </w:tcPr>
          <w:p w14:paraId="596FCA1C" w14:textId="77777777" w:rsidR="00D26788" w:rsidRPr="00D26788" w:rsidRDefault="00D26788" w:rsidP="00D26788">
            <w:pPr>
              <w:jc w:val="center"/>
              <w:rPr>
                <w:color w:val="000000"/>
                <w:szCs w:val="24"/>
              </w:rPr>
            </w:pPr>
            <w:r w:rsidRPr="00D26788">
              <w:rPr>
                <w:color w:val="000000"/>
                <w:szCs w:val="24"/>
              </w:rPr>
              <w:t>Biudžeto pajamų patikslinto plano įvykdymas (proc.)</w:t>
            </w:r>
          </w:p>
        </w:tc>
      </w:tr>
      <w:tr w:rsidR="00D26788" w:rsidRPr="00D26788" w14:paraId="41E6CA61" w14:textId="77777777" w:rsidTr="00E9250B">
        <w:trPr>
          <w:trHeight w:val="315"/>
        </w:trPr>
        <w:tc>
          <w:tcPr>
            <w:tcW w:w="1151" w:type="pct"/>
            <w:tcBorders>
              <w:top w:val="nil"/>
              <w:left w:val="single" w:sz="4" w:space="0" w:color="auto"/>
              <w:bottom w:val="single" w:sz="4" w:space="0" w:color="auto"/>
              <w:right w:val="single" w:sz="4" w:space="0" w:color="auto"/>
            </w:tcBorders>
            <w:shd w:val="clear" w:color="000000" w:fill="EDEDED"/>
            <w:vAlign w:val="bottom"/>
            <w:hideMark/>
          </w:tcPr>
          <w:p w14:paraId="72AB6FB2" w14:textId="77777777" w:rsidR="00D26788" w:rsidRPr="00D26788" w:rsidRDefault="00D26788" w:rsidP="00D26788">
            <w:pPr>
              <w:rPr>
                <w:szCs w:val="24"/>
              </w:rPr>
            </w:pPr>
            <w:r w:rsidRPr="00D26788">
              <w:rPr>
                <w:szCs w:val="24"/>
              </w:rPr>
              <w:t>Mokesčiai</w:t>
            </w:r>
          </w:p>
        </w:tc>
        <w:tc>
          <w:tcPr>
            <w:tcW w:w="886" w:type="pct"/>
            <w:tcBorders>
              <w:top w:val="nil"/>
              <w:left w:val="nil"/>
              <w:bottom w:val="single" w:sz="4" w:space="0" w:color="auto"/>
              <w:right w:val="single" w:sz="4" w:space="0" w:color="auto"/>
            </w:tcBorders>
            <w:noWrap/>
            <w:vAlign w:val="bottom"/>
            <w:hideMark/>
          </w:tcPr>
          <w:p w14:paraId="35E8E1D2" w14:textId="676AD64A" w:rsidR="00D26788" w:rsidRPr="00D26788" w:rsidRDefault="00D26788" w:rsidP="00D26788">
            <w:pPr>
              <w:jc w:val="right"/>
              <w:rPr>
                <w:szCs w:val="24"/>
              </w:rPr>
            </w:pPr>
            <w:r w:rsidRPr="00D26788">
              <w:rPr>
                <w:szCs w:val="24"/>
              </w:rPr>
              <w:t>393</w:t>
            </w:r>
            <w:r w:rsidR="00C73F87">
              <w:rPr>
                <w:szCs w:val="24"/>
              </w:rPr>
              <w:t> </w:t>
            </w:r>
            <w:r w:rsidRPr="00D26788">
              <w:rPr>
                <w:szCs w:val="24"/>
              </w:rPr>
              <w:t>572,0</w:t>
            </w:r>
          </w:p>
        </w:tc>
        <w:tc>
          <w:tcPr>
            <w:tcW w:w="902" w:type="pct"/>
            <w:tcBorders>
              <w:top w:val="nil"/>
              <w:left w:val="nil"/>
              <w:bottom w:val="single" w:sz="4" w:space="0" w:color="auto"/>
              <w:right w:val="single" w:sz="4" w:space="0" w:color="auto"/>
            </w:tcBorders>
            <w:noWrap/>
            <w:vAlign w:val="bottom"/>
            <w:hideMark/>
          </w:tcPr>
          <w:p w14:paraId="422C0D54" w14:textId="73C9DAD1" w:rsidR="00D26788" w:rsidRPr="00D26788" w:rsidRDefault="00D26788" w:rsidP="00D26788">
            <w:pPr>
              <w:jc w:val="right"/>
              <w:rPr>
                <w:szCs w:val="24"/>
              </w:rPr>
            </w:pPr>
            <w:r w:rsidRPr="00D26788">
              <w:rPr>
                <w:szCs w:val="24"/>
              </w:rPr>
              <w:t>409</w:t>
            </w:r>
            <w:r w:rsidR="00C73F87">
              <w:rPr>
                <w:szCs w:val="24"/>
              </w:rPr>
              <w:t> </w:t>
            </w:r>
            <w:r w:rsidRPr="00D26788">
              <w:rPr>
                <w:szCs w:val="24"/>
              </w:rPr>
              <w:t>848,5</w:t>
            </w:r>
          </w:p>
        </w:tc>
        <w:tc>
          <w:tcPr>
            <w:tcW w:w="1089" w:type="pct"/>
            <w:tcBorders>
              <w:top w:val="nil"/>
              <w:left w:val="nil"/>
              <w:bottom w:val="single" w:sz="4" w:space="0" w:color="auto"/>
              <w:right w:val="single" w:sz="4" w:space="0" w:color="auto"/>
            </w:tcBorders>
            <w:noWrap/>
            <w:vAlign w:val="bottom"/>
            <w:hideMark/>
          </w:tcPr>
          <w:p w14:paraId="2F0839C4" w14:textId="036B9732" w:rsidR="00D26788" w:rsidRPr="00D26788" w:rsidRDefault="00D26788" w:rsidP="00D26788">
            <w:pPr>
              <w:jc w:val="right"/>
              <w:rPr>
                <w:szCs w:val="24"/>
              </w:rPr>
            </w:pPr>
            <w:r w:rsidRPr="00D26788">
              <w:rPr>
                <w:szCs w:val="24"/>
              </w:rPr>
              <w:t>16</w:t>
            </w:r>
            <w:r w:rsidR="00C73F87">
              <w:rPr>
                <w:szCs w:val="24"/>
              </w:rPr>
              <w:t> </w:t>
            </w:r>
            <w:r w:rsidRPr="00D26788">
              <w:rPr>
                <w:szCs w:val="24"/>
              </w:rPr>
              <w:t>276,5</w:t>
            </w:r>
          </w:p>
        </w:tc>
        <w:tc>
          <w:tcPr>
            <w:tcW w:w="972" w:type="pct"/>
            <w:tcBorders>
              <w:top w:val="nil"/>
              <w:left w:val="nil"/>
              <w:bottom w:val="single" w:sz="4" w:space="0" w:color="auto"/>
              <w:right w:val="single" w:sz="4" w:space="0" w:color="auto"/>
            </w:tcBorders>
            <w:noWrap/>
            <w:vAlign w:val="bottom"/>
            <w:hideMark/>
          </w:tcPr>
          <w:p w14:paraId="699CDD68" w14:textId="77777777" w:rsidR="00D26788" w:rsidRPr="00D26788" w:rsidRDefault="00D26788" w:rsidP="00D26788">
            <w:pPr>
              <w:jc w:val="right"/>
              <w:rPr>
                <w:szCs w:val="24"/>
              </w:rPr>
            </w:pPr>
            <w:r w:rsidRPr="00D26788">
              <w:rPr>
                <w:szCs w:val="24"/>
              </w:rPr>
              <w:t>104,1</w:t>
            </w:r>
          </w:p>
        </w:tc>
      </w:tr>
      <w:tr w:rsidR="00D26788" w:rsidRPr="00D26788" w14:paraId="222D2462" w14:textId="77777777" w:rsidTr="00E9250B">
        <w:trPr>
          <w:trHeight w:val="315"/>
        </w:trPr>
        <w:tc>
          <w:tcPr>
            <w:tcW w:w="1151" w:type="pct"/>
            <w:tcBorders>
              <w:top w:val="nil"/>
              <w:left w:val="single" w:sz="4" w:space="0" w:color="auto"/>
              <w:bottom w:val="single" w:sz="4" w:space="0" w:color="auto"/>
              <w:right w:val="single" w:sz="4" w:space="0" w:color="auto"/>
            </w:tcBorders>
            <w:shd w:val="clear" w:color="000000" w:fill="EDEDED"/>
            <w:vAlign w:val="bottom"/>
            <w:hideMark/>
          </w:tcPr>
          <w:p w14:paraId="4DEEBEC8" w14:textId="77777777" w:rsidR="00D26788" w:rsidRPr="00D26788" w:rsidRDefault="00D26788" w:rsidP="00D26788">
            <w:pPr>
              <w:rPr>
                <w:szCs w:val="24"/>
              </w:rPr>
            </w:pPr>
            <w:r w:rsidRPr="00D26788">
              <w:rPr>
                <w:szCs w:val="24"/>
              </w:rPr>
              <w:t>Kitos pajamos</w:t>
            </w:r>
          </w:p>
        </w:tc>
        <w:tc>
          <w:tcPr>
            <w:tcW w:w="886" w:type="pct"/>
            <w:tcBorders>
              <w:top w:val="nil"/>
              <w:left w:val="nil"/>
              <w:bottom w:val="single" w:sz="4" w:space="0" w:color="auto"/>
              <w:right w:val="single" w:sz="4" w:space="0" w:color="auto"/>
            </w:tcBorders>
            <w:noWrap/>
            <w:vAlign w:val="bottom"/>
            <w:hideMark/>
          </w:tcPr>
          <w:p w14:paraId="5B19ECCD" w14:textId="3FCD64B0" w:rsidR="00D26788" w:rsidRPr="00D26788" w:rsidRDefault="00D26788" w:rsidP="00D26788">
            <w:pPr>
              <w:jc w:val="right"/>
              <w:rPr>
                <w:szCs w:val="24"/>
              </w:rPr>
            </w:pPr>
            <w:r w:rsidRPr="00D26788">
              <w:rPr>
                <w:szCs w:val="24"/>
              </w:rPr>
              <w:t>42</w:t>
            </w:r>
            <w:r w:rsidR="00C73F87">
              <w:rPr>
                <w:szCs w:val="24"/>
              </w:rPr>
              <w:t> </w:t>
            </w:r>
            <w:r w:rsidRPr="00D26788">
              <w:rPr>
                <w:szCs w:val="24"/>
              </w:rPr>
              <w:t>065,5</w:t>
            </w:r>
          </w:p>
        </w:tc>
        <w:tc>
          <w:tcPr>
            <w:tcW w:w="902" w:type="pct"/>
            <w:tcBorders>
              <w:top w:val="nil"/>
              <w:left w:val="nil"/>
              <w:bottom w:val="single" w:sz="4" w:space="0" w:color="auto"/>
              <w:right w:val="single" w:sz="4" w:space="0" w:color="auto"/>
            </w:tcBorders>
            <w:noWrap/>
            <w:vAlign w:val="bottom"/>
            <w:hideMark/>
          </w:tcPr>
          <w:p w14:paraId="0C9E4EC4" w14:textId="208F9CB9" w:rsidR="00D26788" w:rsidRPr="00D26788" w:rsidRDefault="00D26788" w:rsidP="00D26788">
            <w:pPr>
              <w:jc w:val="right"/>
              <w:rPr>
                <w:szCs w:val="24"/>
              </w:rPr>
            </w:pPr>
            <w:r w:rsidRPr="00D26788">
              <w:rPr>
                <w:szCs w:val="24"/>
              </w:rPr>
              <w:t>54</w:t>
            </w:r>
            <w:r w:rsidR="00C73F87">
              <w:rPr>
                <w:szCs w:val="24"/>
              </w:rPr>
              <w:t> </w:t>
            </w:r>
            <w:r w:rsidRPr="00D26788">
              <w:rPr>
                <w:szCs w:val="24"/>
              </w:rPr>
              <w:t>005,8</w:t>
            </w:r>
          </w:p>
        </w:tc>
        <w:tc>
          <w:tcPr>
            <w:tcW w:w="1089" w:type="pct"/>
            <w:tcBorders>
              <w:top w:val="nil"/>
              <w:left w:val="nil"/>
              <w:bottom w:val="single" w:sz="4" w:space="0" w:color="auto"/>
              <w:right w:val="single" w:sz="4" w:space="0" w:color="auto"/>
            </w:tcBorders>
            <w:noWrap/>
            <w:vAlign w:val="bottom"/>
            <w:hideMark/>
          </w:tcPr>
          <w:p w14:paraId="304063F6" w14:textId="37066924" w:rsidR="00D26788" w:rsidRPr="00D26788" w:rsidRDefault="00D26788" w:rsidP="00D26788">
            <w:pPr>
              <w:jc w:val="right"/>
              <w:rPr>
                <w:szCs w:val="24"/>
              </w:rPr>
            </w:pPr>
            <w:r w:rsidRPr="00D26788">
              <w:rPr>
                <w:szCs w:val="24"/>
              </w:rPr>
              <w:t>11</w:t>
            </w:r>
            <w:r w:rsidR="00C73F87">
              <w:rPr>
                <w:szCs w:val="24"/>
              </w:rPr>
              <w:t> </w:t>
            </w:r>
            <w:r w:rsidRPr="00D26788">
              <w:rPr>
                <w:szCs w:val="24"/>
              </w:rPr>
              <w:t>940,3</w:t>
            </w:r>
          </w:p>
        </w:tc>
        <w:tc>
          <w:tcPr>
            <w:tcW w:w="972" w:type="pct"/>
            <w:tcBorders>
              <w:top w:val="nil"/>
              <w:left w:val="nil"/>
              <w:bottom w:val="single" w:sz="4" w:space="0" w:color="auto"/>
              <w:right w:val="single" w:sz="4" w:space="0" w:color="auto"/>
            </w:tcBorders>
            <w:noWrap/>
            <w:vAlign w:val="bottom"/>
            <w:hideMark/>
          </w:tcPr>
          <w:p w14:paraId="31479508" w14:textId="77777777" w:rsidR="00D26788" w:rsidRPr="00D26788" w:rsidRDefault="00D26788" w:rsidP="00D26788">
            <w:pPr>
              <w:jc w:val="right"/>
              <w:rPr>
                <w:szCs w:val="24"/>
              </w:rPr>
            </w:pPr>
            <w:r w:rsidRPr="00D26788">
              <w:rPr>
                <w:szCs w:val="24"/>
              </w:rPr>
              <w:t>128,4</w:t>
            </w:r>
          </w:p>
        </w:tc>
      </w:tr>
      <w:tr w:rsidR="00D26788" w:rsidRPr="00D26788" w14:paraId="1680DCAB" w14:textId="77777777" w:rsidTr="00E9250B">
        <w:trPr>
          <w:trHeight w:val="945"/>
        </w:trPr>
        <w:tc>
          <w:tcPr>
            <w:tcW w:w="1151" w:type="pct"/>
            <w:tcBorders>
              <w:top w:val="nil"/>
              <w:left w:val="single" w:sz="4" w:space="0" w:color="auto"/>
              <w:bottom w:val="single" w:sz="4" w:space="0" w:color="auto"/>
              <w:right w:val="single" w:sz="4" w:space="0" w:color="auto"/>
            </w:tcBorders>
            <w:shd w:val="clear" w:color="000000" w:fill="EDEDED"/>
            <w:vAlign w:val="bottom"/>
            <w:hideMark/>
          </w:tcPr>
          <w:p w14:paraId="38D97A3A" w14:textId="77777777" w:rsidR="00D26788" w:rsidRPr="00D26788" w:rsidRDefault="00D26788" w:rsidP="00D26788">
            <w:pPr>
              <w:rPr>
                <w:szCs w:val="24"/>
              </w:rPr>
            </w:pPr>
            <w:r w:rsidRPr="00D26788">
              <w:rPr>
                <w:szCs w:val="24"/>
              </w:rPr>
              <w:t>Materialiojo ir nematerialiojo turto realizavimo pajamos</w:t>
            </w:r>
          </w:p>
        </w:tc>
        <w:tc>
          <w:tcPr>
            <w:tcW w:w="886" w:type="pct"/>
            <w:tcBorders>
              <w:top w:val="nil"/>
              <w:left w:val="nil"/>
              <w:bottom w:val="single" w:sz="4" w:space="0" w:color="auto"/>
              <w:right w:val="single" w:sz="4" w:space="0" w:color="auto"/>
            </w:tcBorders>
            <w:noWrap/>
            <w:vAlign w:val="bottom"/>
            <w:hideMark/>
          </w:tcPr>
          <w:p w14:paraId="0A32C682" w14:textId="1F7F796B" w:rsidR="00D26788" w:rsidRPr="00D26788" w:rsidRDefault="00D26788" w:rsidP="00D26788">
            <w:pPr>
              <w:jc w:val="right"/>
              <w:rPr>
                <w:szCs w:val="24"/>
              </w:rPr>
            </w:pPr>
            <w:r w:rsidRPr="00D26788">
              <w:rPr>
                <w:szCs w:val="24"/>
              </w:rPr>
              <w:t>4</w:t>
            </w:r>
            <w:r w:rsidR="00C73F87">
              <w:rPr>
                <w:szCs w:val="24"/>
              </w:rPr>
              <w:t> </w:t>
            </w:r>
            <w:r w:rsidRPr="00D26788">
              <w:rPr>
                <w:szCs w:val="24"/>
              </w:rPr>
              <w:t>237,5</w:t>
            </w:r>
          </w:p>
        </w:tc>
        <w:tc>
          <w:tcPr>
            <w:tcW w:w="902" w:type="pct"/>
            <w:tcBorders>
              <w:top w:val="nil"/>
              <w:left w:val="nil"/>
              <w:bottom w:val="single" w:sz="4" w:space="0" w:color="auto"/>
              <w:right w:val="single" w:sz="4" w:space="0" w:color="auto"/>
            </w:tcBorders>
            <w:noWrap/>
            <w:vAlign w:val="bottom"/>
            <w:hideMark/>
          </w:tcPr>
          <w:p w14:paraId="58F62EFC" w14:textId="78ED6824" w:rsidR="00D26788" w:rsidRPr="00D26788" w:rsidRDefault="00D26788" w:rsidP="00D26788">
            <w:pPr>
              <w:jc w:val="right"/>
              <w:rPr>
                <w:szCs w:val="24"/>
              </w:rPr>
            </w:pPr>
            <w:r w:rsidRPr="00D26788">
              <w:rPr>
                <w:szCs w:val="24"/>
              </w:rPr>
              <w:t>7</w:t>
            </w:r>
            <w:r w:rsidR="00C73F87">
              <w:rPr>
                <w:szCs w:val="24"/>
              </w:rPr>
              <w:t> </w:t>
            </w:r>
            <w:r w:rsidRPr="00D26788">
              <w:rPr>
                <w:szCs w:val="24"/>
              </w:rPr>
              <w:t>233,6</w:t>
            </w:r>
          </w:p>
        </w:tc>
        <w:tc>
          <w:tcPr>
            <w:tcW w:w="1089" w:type="pct"/>
            <w:tcBorders>
              <w:top w:val="nil"/>
              <w:left w:val="nil"/>
              <w:bottom w:val="single" w:sz="4" w:space="0" w:color="auto"/>
              <w:right w:val="single" w:sz="4" w:space="0" w:color="auto"/>
            </w:tcBorders>
            <w:noWrap/>
            <w:vAlign w:val="bottom"/>
            <w:hideMark/>
          </w:tcPr>
          <w:p w14:paraId="77755781" w14:textId="69EE7E6F" w:rsidR="00D26788" w:rsidRPr="00D26788" w:rsidRDefault="00D26788" w:rsidP="00D26788">
            <w:pPr>
              <w:jc w:val="right"/>
              <w:rPr>
                <w:szCs w:val="24"/>
              </w:rPr>
            </w:pPr>
            <w:r w:rsidRPr="00D26788">
              <w:rPr>
                <w:szCs w:val="24"/>
              </w:rPr>
              <w:t>2</w:t>
            </w:r>
            <w:r w:rsidR="00C73F87">
              <w:rPr>
                <w:szCs w:val="24"/>
              </w:rPr>
              <w:t> </w:t>
            </w:r>
            <w:r w:rsidRPr="00D26788">
              <w:rPr>
                <w:szCs w:val="24"/>
              </w:rPr>
              <w:t>996,1</w:t>
            </w:r>
          </w:p>
        </w:tc>
        <w:tc>
          <w:tcPr>
            <w:tcW w:w="972" w:type="pct"/>
            <w:tcBorders>
              <w:top w:val="nil"/>
              <w:left w:val="nil"/>
              <w:bottom w:val="single" w:sz="4" w:space="0" w:color="auto"/>
              <w:right w:val="single" w:sz="4" w:space="0" w:color="auto"/>
            </w:tcBorders>
            <w:noWrap/>
            <w:vAlign w:val="bottom"/>
            <w:hideMark/>
          </w:tcPr>
          <w:p w14:paraId="6BAAE785" w14:textId="77777777" w:rsidR="00D26788" w:rsidRPr="00D26788" w:rsidRDefault="00D26788" w:rsidP="00D26788">
            <w:pPr>
              <w:jc w:val="right"/>
              <w:rPr>
                <w:szCs w:val="24"/>
              </w:rPr>
            </w:pPr>
            <w:r w:rsidRPr="00D26788">
              <w:rPr>
                <w:szCs w:val="24"/>
              </w:rPr>
              <w:t>170,7</w:t>
            </w:r>
          </w:p>
        </w:tc>
      </w:tr>
      <w:tr w:rsidR="00D26788" w:rsidRPr="00D26788" w14:paraId="0710DF5F" w14:textId="77777777" w:rsidTr="00E9250B">
        <w:trPr>
          <w:trHeight w:val="945"/>
        </w:trPr>
        <w:tc>
          <w:tcPr>
            <w:tcW w:w="1151" w:type="pct"/>
            <w:tcBorders>
              <w:top w:val="nil"/>
              <w:left w:val="single" w:sz="4" w:space="0" w:color="auto"/>
              <w:bottom w:val="single" w:sz="4" w:space="0" w:color="auto"/>
              <w:right w:val="single" w:sz="4" w:space="0" w:color="auto"/>
            </w:tcBorders>
            <w:shd w:val="clear" w:color="000000" w:fill="EDEDED"/>
            <w:vAlign w:val="bottom"/>
            <w:hideMark/>
          </w:tcPr>
          <w:p w14:paraId="689E4FA1" w14:textId="77777777" w:rsidR="00D26788" w:rsidRPr="00D26788" w:rsidRDefault="00D26788" w:rsidP="00D26788">
            <w:pPr>
              <w:rPr>
                <w:szCs w:val="24"/>
              </w:rPr>
            </w:pPr>
            <w:r w:rsidRPr="00D26788">
              <w:rPr>
                <w:szCs w:val="24"/>
              </w:rPr>
              <w:lastRenderedPageBreak/>
              <w:t>Iš viso pajamos savarankiškoms funkcijoms atlikti</w:t>
            </w:r>
          </w:p>
        </w:tc>
        <w:tc>
          <w:tcPr>
            <w:tcW w:w="886" w:type="pct"/>
            <w:tcBorders>
              <w:top w:val="nil"/>
              <w:left w:val="nil"/>
              <w:bottom w:val="single" w:sz="4" w:space="0" w:color="auto"/>
              <w:right w:val="single" w:sz="4" w:space="0" w:color="auto"/>
            </w:tcBorders>
            <w:shd w:val="clear" w:color="000000" w:fill="EDEDED"/>
            <w:noWrap/>
            <w:vAlign w:val="bottom"/>
            <w:hideMark/>
          </w:tcPr>
          <w:p w14:paraId="1C61C695" w14:textId="5A6F8BE1" w:rsidR="00D26788" w:rsidRPr="00D26788" w:rsidRDefault="00D26788" w:rsidP="00D26788">
            <w:pPr>
              <w:jc w:val="right"/>
              <w:rPr>
                <w:szCs w:val="24"/>
              </w:rPr>
            </w:pPr>
            <w:r w:rsidRPr="00D26788">
              <w:rPr>
                <w:szCs w:val="24"/>
              </w:rPr>
              <w:t>439</w:t>
            </w:r>
            <w:r w:rsidR="00C73F87">
              <w:rPr>
                <w:szCs w:val="24"/>
              </w:rPr>
              <w:t> </w:t>
            </w:r>
            <w:r w:rsidRPr="00D26788">
              <w:rPr>
                <w:szCs w:val="24"/>
              </w:rPr>
              <w:t>875,0</w:t>
            </w:r>
          </w:p>
        </w:tc>
        <w:tc>
          <w:tcPr>
            <w:tcW w:w="902" w:type="pct"/>
            <w:tcBorders>
              <w:top w:val="nil"/>
              <w:left w:val="nil"/>
              <w:bottom w:val="single" w:sz="4" w:space="0" w:color="auto"/>
              <w:right w:val="single" w:sz="4" w:space="0" w:color="auto"/>
            </w:tcBorders>
            <w:shd w:val="clear" w:color="000000" w:fill="EDEDED"/>
            <w:noWrap/>
            <w:vAlign w:val="bottom"/>
            <w:hideMark/>
          </w:tcPr>
          <w:p w14:paraId="6E0BF59A" w14:textId="7B5A9BD4" w:rsidR="00D26788" w:rsidRPr="00D26788" w:rsidRDefault="00D26788" w:rsidP="00D26788">
            <w:pPr>
              <w:jc w:val="right"/>
              <w:rPr>
                <w:szCs w:val="24"/>
              </w:rPr>
            </w:pPr>
            <w:r w:rsidRPr="00D26788">
              <w:rPr>
                <w:szCs w:val="24"/>
              </w:rPr>
              <w:t>471</w:t>
            </w:r>
            <w:r w:rsidR="00C73F87">
              <w:rPr>
                <w:szCs w:val="24"/>
              </w:rPr>
              <w:t> </w:t>
            </w:r>
            <w:r w:rsidRPr="00D26788">
              <w:rPr>
                <w:szCs w:val="24"/>
              </w:rPr>
              <w:t>087,9</w:t>
            </w:r>
          </w:p>
        </w:tc>
        <w:tc>
          <w:tcPr>
            <w:tcW w:w="1089" w:type="pct"/>
            <w:tcBorders>
              <w:top w:val="nil"/>
              <w:left w:val="nil"/>
              <w:bottom w:val="single" w:sz="4" w:space="0" w:color="auto"/>
              <w:right w:val="single" w:sz="4" w:space="0" w:color="auto"/>
            </w:tcBorders>
            <w:shd w:val="clear" w:color="000000" w:fill="EDEDED"/>
            <w:noWrap/>
            <w:vAlign w:val="bottom"/>
            <w:hideMark/>
          </w:tcPr>
          <w:p w14:paraId="5BDA0CFB" w14:textId="17CE278B" w:rsidR="00D26788" w:rsidRPr="00D26788" w:rsidRDefault="00D26788" w:rsidP="00D26788">
            <w:pPr>
              <w:jc w:val="right"/>
              <w:rPr>
                <w:szCs w:val="24"/>
              </w:rPr>
            </w:pPr>
            <w:r w:rsidRPr="00D26788">
              <w:rPr>
                <w:szCs w:val="24"/>
              </w:rPr>
              <w:t>31</w:t>
            </w:r>
            <w:r w:rsidR="00C73F87">
              <w:rPr>
                <w:szCs w:val="24"/>
              </w:rPr>
              <w:t> </w:t>
            </w:r>
            <w:r w:rsidRPr="00D26788">
              <w:rPr>
                <w:szCs w:val="24"/>
              </w:rPr>
              <w:t>212,9</w:t>
            </w:r>
          </w:p>
        </w:tc>
        <w:tc>
          <w:tcPr>
            <w:tcW w:w="972" w:type="pct"/>
            <w:tcBorders>
              <w:top w:val="nil"/>
              <w:left w:val="nil"/>
              <w:bottom w:val="single" w:sz="4" w:space="0" w:color="auto"/>
              <w:right w:val="single" w:sz="4" w:space="0" w:color="auto"/>
            </w:tcBorders>
            <w:shd w:val="clear" w:color="000000" w:fill="EDEDED"/>
            <w:noWrap/>
            <w:vAlign w:val="bottom"/>
            <w:hideMark/>
          </w:tcPr>
          <w:p w14:paraId="5730D2B9" w14:textId="77777777" w:rsidR="00D26788" w:rsidRPr="00D26788" w:rsidRDefault="00D26788" w:rsidP="00D26788">
            <w:pPr>
              <w:jc w:val="right"/>
              <w:rPr>
                <w:szCs w:val="24"/>
              </w:rPr>
            </w:pPr>
            <w:r w:rsidRPr="00D26788">
              <w:rPr>
                <w:szCs w:val="24"/>
              </w:rPr>
              <w:t>107,1</w:t>
            </w:r>
          </w:p>
        </w:tc>
      </w:tr>
    </w:tbl>
    <w:p w14:paraId="6E427E6B" w14:textId="77777777" w:rsidR="00C73F87" w:rsidRDefault="00C73F87" w:rsidP="00D26788">
      <w:pPr>
        <w:spacing w:line="360" w:lineRule="auto"/>
        <w:ind w:firstLine="1298"/>
        <w:jc w:val="both"/>
        <w:rPr>
          <w:rFonts w:eastAsia="Aptos"/>
          <w:kern w:val="2"/>
          <w:szCs w:val="24"/>
          <w:lang w:eastAsia="en-US"/>
          <w14:ligatures w14:val="standardContextual"/>
        </w:rPr>
      </w:pPr>
    </w:p>
    <w:p w14:paraId="57BEC9E8" w14:textId="1C5B4608" w:rsidR="00D26788" w:rsidRP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 xml:space="preserve">Savivaldybės 2025 metų </w:t>
      </w:r>
      <w:bookmarkStart w:id="5" w:name="_Hlk226637890"/>
      <w:r w:rsidRPr="00D26788">
        <w:rPr>
          <w:rFonts w:eastAsia="Aptos"/>
          <w:kern w:val="2"/>
          <w:szCs w:val="24"/>
          <w:lang w:eastAsia="en-US"/>
          <w14:ligatures w14:val="standardContextual"/>
        </w:rPr>
        <w:t xml:space="preserve">patikslintas pajamų planas savarankiškoms funkcijoms atlikti (mokesčiai ir kitos pajamos, be dotacijų) </w:t>
      </w:r>
      <w:bookmarkEnd w:id="5"/>
      <w:r w:rsidRPr="00D26788">
        <w:rPr>
          <w:rFonts w:eastAsia="Aptos"/>
          <w:kern w:val="2"/>
          <w:szCs w:val="24"/>
          <w:lang w:eastAsia="en-US"/>
          <w14:ligatures w14:val="standardContextual"/>
        </w:rPr>
        <w:t>sudarė 439</w:t>
      </w:r>
      <w:r w:rsidR="00DC0198">
        <w:rPr>
          <w:rFonts w:eastAsia="Aptos"/>
          <w:kern w:val="2"/>
          <w:szCs w:val="24"/>
          <w:lang w:eastAsia="en-US"/>
          <w14:ligatures w14:val="standardContextual"/>
        </w:rPr>
        <w:t> </w:t>
      </w:r>
      <w:r w:rsidRPr="00D26788">
        <w:rPr>
          <w:rFonts w:eastAsia="Aptos"/>
          <w:kern w:val="2"/>
          <w:szCs w:val="24"/>
          <w:lang w:eastAsia="en-US"/>
          <w14:ligatures w14:val="standardContextual"/>
        </w:rPr>
        <w:t>875</w:t>
      </w:r>
      <w:r w:rsidR="00DC0198">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tūkst. Eur ir buvo įvykdytas 107,1</w:t>
      </w:r>
      <w:r w:rsidR="00DC0198">
        <w:rPr>
          <w:rFonts w:eastAsia="Aptos"/>
          <w:kern w:val="2"/>
          <w:szCs w:val="24"/>
          <w:lang w:eastAsia="en-US"/>
          <w14:ligatures w14:val="standardContextual"/>
        </w:rPr>
        <w:t> </w:t>
      </w:r>
      <w:r w:rsidRPr="00D26788">
        <w:rPr>
          <w:rFonts w:eastAsia="Aptos"/>
          <w:kern w:val="2"/>
          <w:szCs w:val="24"/>
          <w:lang w:eastAsia="en-US"/>
          <w14:ligatures w14:val="standardContextual"/>
        </w:rPr>
        <w:t>proc., t.</w:t>
      </w:r>
      <w:r w:rsidR="00E9250B">
        <w:rPr>
          <w:rFonts w:eastAsia="Aptos"/>
          <w:kern w:val="2"/>
          <w:szCs w:val="24"/>
          <w:lang w:eastAsia="en-US"/>
          <w14:ligatures w14:val="standardContextual"/>
        </w:rPr>
        <w:t> </w:t>
      </w:r>
      <w:r w:rsidRPr="00D26788">
        <w:rPr>
          <w:rFonts w:eastAsia="Aptos"/>
          <w:kern w:val="2"/>
          <w:szCs w:val="24"/>
          <w:lang w:eastAsia="en-US"/>
          <w14:ligatures w14:val="standardContextual"/>
        </w:rPr>
        <w:t>y. gauta 31 212,9 tūkst. Eur daugiau pajamų nei planuota.</w:t>
      </w:r>
      <w:r w:rsidR="00E9250B">
        <w:rPr>
          <w:rFonts w:eastAsia="Aptos"/>
          <w:kern w:val="2"/>
          <w:szCs w:val="24"/>
          <w:lang w:eastAsia="en-US"/>
          <w14:ligatures w14:val="standardContextual"/>
        </w:rPr>
        <w:t xml:space="preserve"> </w:t>
      </w:r>
    </w:p>
    <w:p w14:paraId="4D54A31F" w14:textId="3CB1E6C2" w:rsid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6 paveiksle pateikiama Savivaldybės 2025 metais iš mokesčių gautų pajamų struktūra.</w:t>
      </w:r>
      <w:r w:rsidR="00DC0198">
        <w:rPr>
          <w:rFonts w:eastAsia="Aptos"/>
          <w:kern w:val="2"/>
          <w:szCs w:val="24"/>
          <w:lang w:eastAsia="en-US"/>
          <w14:ligatures w14:val="standardContextual"/>
        </w:rPr>
        <w:t xml:space="preserve"> </w:t>
      </w:r>
    </w:p>
    <w:p w14:paraId="0FEE7C0B" w14:textId="77777777" w:rsidR="00DC0198" w:rsidRDefault="00DC0198" w:rsidP="00D26788">
      <w:pPr>
        <w:spacing w:line="360" w:lineRule="auto"/>
        <w:ind w:firstLine="1298"/>
        <w:jc w:val="both"/>
        <w:rPr>
          <w:rFonts w:eastAsia="Aptos"/>
          <w:kern w:val="2"/>
          <w:szCs w:val="24"/>
          <w:lang w:eastAsia="en-US"/>
          <w14:ligatures w14:val="standardContextual"/>
        </w:rPr>
      </w:pPr>
    </w:p>
    <w:p w14:paraId="7B461C8E" w14:textId="77777777" w:rsidR="00DC0198" w:rsidRPr="00D26788" w:rsidRDefault="00DC0198" w:rsidP="00DC0198">
      <w:pPr>
        <w:spacing w:line="360" w:lineRule="auto"/>
        <w:jc w:val="center"/>
        <w:rPr>
          <w:rFonts w:eastAsia="Aptos"/>
          <w:b/>
          <w:bCs/>
          <w:kern w:val="2"/>
          <w:szCs w:val="24"/>
          <w:lang w:eastAsia="en-US"/>
          <w14:ligatures w14:val="standardContextual"/>
        </w:rPr>
      </w:pPr>
      <w:r w:rsidRPr="00D26788">
        <w:rPr>
          <w:rFonts w:eastAsia="Aptos"/>
          <w:b/>
          <w:bCs/>
          <w:kern w:val="2"/>
          <w:szCs w:val="24"/>
          <w:lang w:eastAsia="en-US"/>
          <w14:ligatures w14:val="standardContextual"/>
        </w:rPr>
        <w:t>6 paveikslas. 2025 m. Savivaldybės iš mokesčių gautų pajamų struktūra (proc.)</w:t>
      </w:r>
    </w:p>
    <w:p w14:paraId="71CD46C4" w14:textId="228F3B2F" w:rsidR="00FF1EDB" w:rsidRPr="00D26788" w:rsidRDefault="00246954" w:rsidP="00FF1EDB">
      <w:pPr>
        <w:spacing w:line="360" w:lineRule="auto"/>
        <w:jc w:val="both"/>
        <w:rPr>
          <w:rFonts w:eastAsia="Aptos"/>
          <w:kern w:val="2"/>
          <w:szCs w:val="24"/>
          <w:lang w:eastAsia="en-US"/>
          <w14:ligatures w14:val="standardContextual"/>
        </w:rPr>
      </w:pPr>
      <w:r>
        <w:rPr>
          <w:noProof/>
        </w:rPr>
        <w:drawing>
          <wp:inline distT="0" distB="0" distL="0" distR="0" wp14:anchorId="6BDE4440" wp14:editId="362DD9A9">
            <wp:extent cx="6120765" cy="2586355"/>
            <wp:effectExtent l="0" t="0" r="13335" b="4445"/>
            <wp:docPr id="1474249446" name="Diagrama 1">
              <a:extLst xmlns:a="http://schemas.openxmlformats.org/drawingml/2006/main">
                <a:ext uri="{FF2B5EF4-FFF2-40B4-BE49-F238E27FC236}">
                  <a16:creationId xmlns:a16="http://schemas.microsoft.com/office/drawing/2014/main" id="{D938EF09-5D7D-4FAF-BE08-A4E492C9BE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D1A334" w14:textId="73D41DAE" w:rsidR="00D26788" w:rsidRP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 xml:space="preserve">Pagrindinis </w:t>
      </w:r>
      <w:r w:rsidR="00DC0198">
        <w:rPr>
          <w:rFonts w:eastAsia="Aptos"/>
          <w:kern w:val="2"/>
          <w:szCs w:val="24"/>
          <w:lang w:eastAsia="en-US"/>
          <w14:ligatures w14:val="standardContextual"/>
        </w:rPr>
        <w:t>S</w:t>
      </w:r>
      <w:r w:rsidRPr="00D26788">
        <w:rPr>
          <w:rFonts w:eastAsia="Aptos"/>
          <w:kern w:val="2"/>
          <w:szCs w:val="24"/>
          <w:lang w:eastAsia="en-US"/>
          <w14:ligatures w14:val="standardContextual"/>
        </w:rPr>
        <w:t>avivaldybės pajamų šaltinis išliko gyventojų pajamų mokestis (GPM). 2025</w:t>
      </w:r>
      <w:r w:rsidR="00DC0198">
        <w:rPr>
          <w:rFonts w:eastAsia="Aptos"/>
          <w:kern w:val="2"/>
          <w:szCs w:val="24"/>
          <w:lang w:eastAsia="en-US"/>
          <w14:ligatures w14:val="standardContextual"/>
        </w:rPr>
        <w:t> </w:t>
      </w:r>
      <w:r w:rsidRPr="00D26788">
        <w:rPr>
          <w:rFonts w:eastAsia="Aptos"/>
          <w:kern w:val="2"/>
          <w:szCs w:val="24"/>
          <w:lang w:eastAsia="en-US"/>
          <w14:ligatures w14:val="standardContextual"/>
        </w:rPr>
        <w:t>metais GPM planas buvo 368</w:t>
      </w:r>
      <w:r w:rsidR="00DC0198">
        <w:rPr>
          <w:rFonts w:eastAsia="Aptos"/>
          <w:kern w:val="2"/>
          <w:szCs w:val="24"/>
          <w:lang w:eastAsia="en-US"/>
          <w14:ligatures w14:val="standardContextual"/>
        </w:rPr>
        <w:t> </w:t>
      </w:r>
      <w:r w:rsidRPr="00D26788">
        <w:rPr>
          <w:rFonts w:eastAsia="Aptos"/>
          <w:kern w:val="2"/>
          <w:szCs w:val="24"/>
          <w:lang w:eastAsia="en-US"/>
          <w14:ligatures w14:val="standardContextual"/>
        </w:rPr>
        <w:t>022</w:t>
      </w:r>
      <w:r w:rsidR="00DC0198">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tūkst. Eur, o jo </w:t>
      </w:r>
      <w:r w:rsidR="00DC0198">
        <w:rPr>
          <w:rFonts w:eastAsia="Aptos"/>
          <w:kern w:val="2"/>
          <w:szCs w:val="24"/>
          <w:lang w:eastAsia="en-US"/>
          <w14:ligatures w14:val="standardContextual"/>
        </w:rPr>
        <w:t>į</w:t>
      </w:r>
      <w:r w:rsidRPr="00D26788">
        <w:rPr>
          <w:rFonts w:eastAsia="Aptos"/>
          <w:kern w:val="2"/>
          <w:szCs w:val="24"/>
          <w:lang w:eastAsia="en-US"/>
          <w14:ligatures w14:val="standardContextual"/>
        </w:rPr>
        <w:t xml:space="preserve">vykdymas </w:t>
      </w:r>
      <w:r w:rsidR="00DC0198">
        <w:rPr>
          <w:rFonts w:eastAsia="Aptos"/>
          <w:kern w:val="2"/>
          <w:szCs w:val="24"/>
          <w:lang w:eastAsia="en-US"/>
          <w14:ligatures w14:val="standardContextual"/>
        </w:rPr>
        <w:t>pa</w:t>
      </w:r>
      <w:r w:rsidRPr="00D26788">
        <w:rPr>
          <w:rFonts w:eastAsia="Aptos"/>
          <w:kern w:val="2"/>
          <w:szCs w:val="24"/>
          <w:lang w:eastAsia="en-US"/>
          <w14:ligatures w14:val="standardContextual"/>
        </w:rPr>
        <w:t>siekė 102,9 proc.</w:t>
      </w:r>
      <w:r w:rsidR="00DC0198">
        <w:rPr>
          <w:rFonts w:eastAsia="Aptos"/>
          <w:kern w:val="2"/>
          <w:szCs w:val="24"/>
          <w:lang w:eastAsia="en-US"/>
          <w14:ligatures w14:val="standardContextual"/>
        </w:rPr>
        <w:t>:</w:t>
      </w:r>
      <w:r w:rsidRPr="00D26788">
        <w:rPr>
          <w:rFonts w:eastAsia="Aptos"/>
          <w:kern w:val="2"/>
          <w:szCs w:val="24"/>
          <w:lang w:eastAsia="en-US"/>
          <w14:ligatures w14:val="standardContextual"/>
        </w:rPr>
        <w:t xml:space="preserve"> gauta 10 584,4</w:t>
      </w:r>
      <w:r w:rsidR="00DC0198">
        <w:rPr>
          <w:rFonts w:eastAsia="Aptos"/>
          <w:kern w:val="2"/>
          <w:szCs w:val="24"/>
          <w:lang w:eastAsia="en-US"/>
          <w14:ligatures w14:val="standardContextual"/>
        </w:rPr>
        <w:t> </w:t>
      </w:r>
      <w:r w:rsidRPr="00D26788">
        <w:rPr>
          <w:rFonts w:eastAsia="Aptos"/>
          <w:kern w:val="2"/>
          <w:szCs w:val="24"/>
          <w:lang w:eastAsia="en-US"/>
          <w14:ligatures w14:val="standardContextual"/>
        </w:rPr>
        <w:t xml:space="preserve">tūkst. Eur daugiau nei </w:t>
      </w:r>
      <w:r w:rsidR="00DC0198">
        <w:rPr>
          <w:rFonts w:eastAsia="Aptos"/>
          <w:kern w:val="2"/>
          <w:szCs w:val="24"/>
          <w:lang w:eastAsia="en-US"/>
          <w14:ligatures w14:val="standardContextual"/>
        </w:rPr>
        <w:t>buvo su</w:t>
      </w:r>
      <w:r w:rsidRPr="00D26788">
        <w:rPr>
          <w:rFonts w:eastAsia="Aptos"/>
          <w:kern w:val="2"/>
          <w:szCs w:val="24"/>
          <w:lang w:eastAsia="en-US"/>
          <w14:ligatures w14:val="standardContextual"/>
        </w:rPr>
        <w:t>planuota ir 32 018,9 tūkst. Eur daugiau nei 2024 metais.</w:t>
      </w:r>
      <w:r w:rsidR="00DC0198">
        <w:rPr>
          <w:rFonts w:eastAsia="Aptos"/>
          <w:kern w:val="2"/>
          <w:szCs w:val="24"/>
          <w:lang w:eastAsia="en-US"/>
          <w14:ligatures w14:val="standardContextual"/>
        </w:rPr>
        <w:t xml:space="preserve"> </w:t>
      </w:r>
    </w:p>
    <w:p w14:paraId="2B6EF402" w14:textId="30F54D92" w:rsidR="00D26788" w:rsidRP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Sėkmingai vykdytas turto mokesčių planas. 2025 metais jis sudarė 24</w:t>
      </w:r>
      <w:r w:rsidR="00DC0198">
        <w:rPr>
          <w:rFonts w:eastAsia="Aptos"/>
          <w:kern w:val="2"/>
          <w:szCs w:val="24"/>
          <w:lang w:eastAsia="en-US"/>
          <w14:ligatures w14:val="standardContextual"/>
        </w:rPr>
        <w:t> </w:t>
      </w:r>
      <w:r w:rsidRPr="00D26788">
        <w:rPr>
          <w:rFonts w:eastAsia="Aptos"/>
          <w:kern w:val="2"/>
          <w:szCs w:val="24"/>
          <w:lang w:eastAsia="en-US"/>
          <w14:ligatures w14:val="standardContextual"/>
        </w:rPr>
        <w:t>150</w:t>
      </w:r>
      <w:r w:rsidR="00DC0198">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tūkst.</w:t>
      </w:r>
      <w:r w:rsidR="00DC0198">
        <w:rPr>
          <w:rFonts w:eastAsia="Aptos"/>
          <w:kern w:val="2"/>
          <w:szCs w:val="24"/>
          <w:lang w:eastAsia="en-US"/>
          <w14:ligatures w14:val="standardContextual"/>
        </w:rPr>
        <w:t> </w:t>
      </w:r>
      <w:r w:rsidRPr="00D26788">
        <w:rPr>
          <w:rFonts w:eastAsia="Aptos"/>
          <w:kern w:val="2"/>
          <w:szCs w:val="24"/>
          <w:lang w:eastAsia="en-US"/>
          <w14:ligatures w14:val="standardContextual"/>
        </w:rPr>
        <w:t>Eur ir buvo įvykdytas 123,4 proc., t. y. gauta 5 644,7 tūkst. Eur daugiau</w:t>
      </w:r>
      <w:r w:rsidR="007160B1">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nei planuota. Daugiausia papildomų įplaukų gauta iš nekilnojamojo turto mokesčio (5 039,5 tūkst. Eur), žemės mokesčio (489,8</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tūkst.</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Eur) ir paveldimo turto mokesčio (115,4 tūkst. Eur).</w:t>
      </w:r>
      <w:r w:rsidR="007160B1">
        <w:rPr>
          <w:rFonts w:eastAsia="Aptos"/>
          <w:kern w:val="2"/>
          <w:szCs w:val="24"/>
          <w:lang w:eastAsia="en-US"/>
          <w14:ligatures w14:val="standardContextual"/>
        </w:rPr>
        <w:t xml:space="preserve"> </w:t>
      </w:r>
    </w:p>
    <w:p w14:paraId="5A93BCB4" w14:textId="2B1F5546" w:rsidR="00D26788" w:rsidRP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Taip pat viršytas mokesčių už aplinkos teršimą surinkimo planas – gauta 103,4</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tūkst.</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Eur, t. y. 47,4 tūkst. Eur daugiau nei planuota.</w:t>
      </w:r>
    </w:p>
    <w:p w14:paraId="70BB2645" w14:textId="6A8900B8" w:rsid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lastRenderedPageBreak/>
        <w:t>7 paveiksle pateikiama Savivaldybės 2025 metais gautų kitų pajamų struktūra.</w:t>
      </w:r>
    </w:p>
    <w:p w14:paraId="6C946429" w14:textId="03C0938F" w:rsidR="007160B1" w:rsidRPr="00D26788" w:rsidRDefault="007160B1" w:rsidP="007160B1">
      <w:pPr>
        <w:spacing w:line="360" w:lineRule="auto"/>
        <w:jc w:val="center"/>
        <w:rPr>
          <w:rFonts w:eastAsia="Aptos"/>
          <w:b/>
          <w:bCs/>
          <w:kern w:val="2"/>
          <w:szCs w:val="24"/>
          <w:lang w:eastAsia="en-US"/>
          <w14:ligatures w14:val="standardContextual"/>
        </w:rPr>
      </w:pPr>
      <w:r w:rsidRPr="00D26788">
        <w:rPr>
          <w:rFonts w:eastAsia="Aptos"/>
          <w:b/>
          <w:bCs/>
          <w:kern w:val="2"/>
          <w:szCs w:val="24"/>
          <w:lang w:eastAsia="en-US"/>
          <w14:ligatures w14:val="standardContextual"/>
        </w:rPr>
        <w:t>7 paveikslas. 2025 m. Savivaldybės gautų kitų pajamų struktūra (proc.)</w:t>
      </w:r>
      <w:r>
        <w:rPr>
          <w:rFonts w:eastAsia="Aptos"/>
          <w:b/>
          <w:bCs/>
          <w:kern w:val="2"/>
          <w:szCs w:val="24"/>
          <w:lang w:eastAsia="en-US"/>
          <w14:ligatures w14:val="standardContextual"/>
        </w:rPr>
        <w:t xml:space="preserve"> </w:t>
      </w:r>
    </w:p>
    <w:p w14:paraId="5E192163" w14:textId="117A3C4A" w:rsidR="00151359" w:rsidRPr="00D26788" w:rsidRDefault="001E3265" w:rsidP="00151359">
      <w:pPr>
        <w:spacing w:line="360" w:lineRule="auto"/>
        <w:jc w:val="both"/>
        <w:rPr>
          <w:rFonts w:eastAsia="Aptos"/>
          <w:kern w:val="2"/>
          <w:szCs w:val="24"/>
          <w:lang w:eastAsia="en-US"/>
          <w14:ligatures w14:val="standardContextual"/>
        </w:rPr>
      </w:pPr>
      <w:r>
        <w:rPr>
          <w:noProof/>
        </w:rPr>
        <w:drawing>
          <wp:inline distT="0" distB="0" distL="0" distR="0" wp14:anchorId="1967AC2A" wp14:editId="648180CF">
            <wp:extent cx="6120765" cy="2586355"/>
            <wp:effectExtent l="0" t="0" r="13335" b="4445"/>
            <wp:docPr id="2005770112" name="Diagrama 1">
              <a:extLst xmlns:a="http://schemas.openxmlformats.org/drawingml/2006/main">
                <a:ext uri="{FF2B5EF4-FFF2-40B4-BE49-F238E27FC236}">
                  <a16:creationId xmlns:a16="http://schemas.microsoft.com/office/drawing/2014/main" id="{BB5B3983-FA46-4B20-9807-2817701B5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3383A5" w14:textId="6B7E9785" w:rsidR="00D26788" w:rsidRP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Kitų pajamų patikslintas 2025 metų planas įvykdytas 128,4 proc., t.</w:t>
      </w:r>
      <w:r w:rsidR="00E9250B">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y. gauta 11 940,3</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tūkst. Eur daugiau nei planuota ir 5 991,6 tūkst. Eur daugiau nei 2024 metais. Iš jų:</w:t>
      </w:r>
      <w:r w:rsidR="007160B1">
        <w:rPr>
          <w:rFonts w:eastAsia="Aptos"/>
          <w:kern w:val="2"/>
          <w:szCs w:val="24"/>
          <w:lang w:eastAsia="en-US"/>
          <w14:ligatures w14:val="standardContextual"/>
        </w:rPr>
        <w:t xml:space="preserve"> </w:t>
      </w:r>
    </w:p>
    <w:p w14:paraId="034E4742" w14:textId="54DB165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turto pajamų planas įvykdytas 175,7 proc., t. y. gauta 3 556,0 tūkst. Eur daugiau nei planuota;</w:t>
      </w:r>
      <w:r w:rsidR="007160B1">
        <w:rPr>
          <w:rFonts w:eastAsia="Aptos"/>
          <w:kern w:val="2"/>
          <w:szCs w:val="24"/>
          <w:lang w:eastAsia="en-US"/>
          <w14:ligatures w14:val="standardContextual"/>
        </w:rPr>
        <w:t xml:space="preserve"> </w:t>
      </w:r>
    </w:p>
    <w:p w14:paraId="6D105B42" w14:textId="468677F9"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pajamų už prekes ir paslaugas planas įvykdytas 122,6 proc., t. y. gauta 7 817,8</w:t>
      </w:r>
      <w:r w:rsidR="007160B1">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tūkst.</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Eur daugiau nei planuota; šios pajamų grupės vietinių rinkliavų planas (13 950,0 tūkst. Eur) viršytas 2 922,4</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tūkst. Eur: iš jų 1 910,3 tūkst. Eur daugiau, nei planuota, surinkta už automobilių statymą Kauno miesto savivaldybės tarybos nustatytose vietose, taip pat 153,3 tūkst. Eur daugiau gauta už naudojimąsi viešojo turizmo ir poilsio infrastruktūra;</w:t>
      </w:r>
      <w:r w:rsidR="007160B1">
        <w:rPr>
          <w:rFonts w:eastAsia="Aptos"/>
          <w:kern w:val="2"/>
          <w:szCs w:val="24"/>
          <w:lang w:eastAsia="en-US"/>
          <w14:ligatures w14:val="standardContextual"/>
        </w:rPr>
        <w:t xml:space="preserve"> </w:t>
      </w:r>
    </w:p>
    <w:p w14:paraId="2789DA3B" w14:textId="7D29F1E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pajamų iš baudų, konfiskuoto turto ir kitų netesybų planas taip pat įvykdytas ir viršytas 1 432,1</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tūkst. Eur;</w:t>
      </w:r>
      <w:r w:rsidR="007160B1">
        <w:rPr>
          <w:rFonts w:eastAsia="Aptos"/>
          <w:kern w:val="2"/>
          <w:szCs w:val="24"/>
          <w:lang w:eastAsia="en-US"/>
          <w14:ligatures w14:val="standardContextual"/>
        </w:rPr>
        <w:t xml:space="preserve"> </w:t>
      </w:r>
    </w:p>
    <w:p w14:paraId="6E85DF86" w14:textId="53E95449"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kitų neišvard</w:t>
      </w:r>
      <w:r w:rsidR="007160B1">
        <w:rPr>
          <w:rFonts w:eastAsia="Aptos"/>
          <w:kern w:val="2"/>
          <w:szCs w:val="24"/>
          <w:lang w:eastAsia="en-US"/>
          <w14:ligatures w14:val="standardContextual"/>
        </w:rPr>
        <w:t>y</w:t>
      </w:r>
      <w:r w:rsidRPr="00D26788">
        <w:rPr>
          <w:rFonts w:eastAsia="Aptos"/>
          <w:kern w:val="2"/>
          <w:szCs w:val="24"/>
          <w:lang w:eastAsia="en-US"/>
          <w14:ligatures w14:val="standardContextual"/>
        </w:rPr>
        <w:t>tų pajamų pagal planą negauta 865,6 tūkst. Eur.</w:t>
      </w:r>
      <w:r w:rsidR="007160B1">
        <w:rPr>
          <w:rFonts w:eastAsia="Aptos"/>
          <w:kern w:val="2"/>
          <w:szCs w:val="24"/>
          <w:lang w:eastAsia="en-US"/>
          <w14:ligatures w14:val="standardContextual"/>
        </w:rPr>
        <w:t xml:space="preserve"> </w:t>
      </w:r>
    </w:p>
    <w:p w14:paraId="20DD0C92" w14:textId="6EAC9FAD"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Materialiojo ir nematerialiojo turto realizavimo pajamų planas įvykdytas 170,7</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proc., t.</w:t>
      </w:r>
      <w:r w:rsidR="00CA774B">
        <w:rPr>
          <w:rFonts w:eastAsia="Aptos"/>
          <w:kern w:val="2"/>
          <w:szCs w:val="24"/>
          <w:lang w:eastAsia="en-US"/>
          <w14:ligatures w14:val="standardContextual"/>
        </w:rPr>
        <w:t> </w:t>
      </w:r>
      <w:r w:rsidRPr="00D26788">
        <w:rPr>
          <w:rFonts w:eastAsia="Aptos"/>
          <w:kern w:val="2"/>
          <w:szCs w:val="24"/>
          <w:lang w:eastAsia="en-US"/>
          <w14:ligatures w14:val="standardContextual"/>
        </w:rPr>
        <w:t>y. gauta 2 996,1 tūkst. Eur daugiau nei planuota.</w:t>
      </w:r>
      <w:r w:rsidR="007160B1">
        <w:rPr>
          <w:rFonts w:eastAsia="Aptos"/>
          <w:kern w:val="2"/>
          <w:szCs w:val="24"/>
          <w:lang w:eastAsia="en-US"/>
          <w14:ligatures w14:val="standardContextual"/>
        </w:rPr>
        <w:t xml:space="preserve"> </w:t>
      </w:r>
    </w:p>
    <w:p w14:paraId="0A69F466" w14:textId="249953AB"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Valstybės dotacijų (be Europos Sąjungos, kitos tarptautinės finansinės paramos ir bendrojo finansavimo lėšų) patikslintas planas sudarė 263 776,7 tūkst. Eur, o jo vykdymas – 260 060,7</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tūkst. Eur arba 98,6 proc. Nepanaudota 3 716,0 tūkst. Eur dotacijų.</w:t>
      </w:r>
      <w:r w:rsidRPr="00D26788">
        <w:rPr>
          <w:rFonts w:ascii="Aptos" w:eastAsia="Aptos" w:hAnsi="Aptos" w:cs="Times New Roman"/>
          <w:kern w:val="2"/>
          <w:szCs w:val="24"/>
          <w:lang w:eastAsia="en-US"/>
          <w14:ligatures w14:val="standardContextual"/>
        </w:rPr>
        <w:t xml:space="preserve"> </w:t>
      </w:r>
      <w:r w:rsidRPr="00D26788">
        <w:rPr>
          <w:rFonts w:eastAsia="Aptos"/>
          <w:kern w:val="2"/>
          <w:szCs w:val="24"/>
          <w:lang w:eastAsia="en-US"/>
          <w14:ligatures w14:val="standardContextual"/>
        </w:rPr>
        <w:t xml:space="preserve">Į valstybės biudžetą, daugiausia dėl mažesnio nei planuota poreikio, grąžinta 1 849,4 tūkst. Eur nepanaudotų valstybės biudžeto dotacijų, kurios buvo numatytos Lietuvos Respublikos 2025-2027 metų biudžeto patvirtinimo įstatyme ir valstybės institucijų paskirstytos Savivaldybei. Skirtų, bet nepanaudotų dotacijų likutis ataskaitinio laikotarpio pabaigoje sudarė 1 866,6 tūkst. Eur, iš kurių didžiausia dalis – </w:t>
      </w:r>
      <w:r w:rsidRPr="00D26788">
        <w:rPr>
          <w:rFonts w:eastAsia="Aptos"/>
          <w:kern w:val="2"/>
          <w:szCs w:val="24"/>
          <w:lang w:eastAsia="en-US"/>
          <w14:ligatures w14:val="standardContextual"/>
        </w:rPr>
        <w:lastRenderedPageBreak/>
        <w:t>1 797,6 tūkst. Eur arba 9</w:t>
      </w:r>
      <w:r w:rsidRPr="00D26788">
        <w:rPr>
          <w:rFonts w:eastAsia="Aptos"/>
          <w:kern w:val="2"/>
          <w:szCs w:val="24"/>
          <w:lang w:val="en-US" w:eastAsia="en-US"/>
          <w14:ligatures w14:val="standardContextual"/>
        </w:rPr>
        <w:t xml:space="preserve">6,3 proc. </w:t>
      </w:r>
      <w:r w:rsidRPr="00D26788">
        <w:rPr>
          <w:rFonts w:eastAsia="Aptos"/>
          <w:kern w:val="2"/>
          <w:szCs w:val="24"/>
          <w:lang w:eastAsia="en-US"/>
          <w14:ligatures w14:val="standardContextual"/>
        </w:rPr>
        <w:t xml:space="preserve">– buvo skirta sporto komplekso (futbolo ir regbio maniežo) įrengimui Europos pr. 105A, Kaune, finansuoti, tačiau nepanaudota dėl užsitęsusių procedūrų statybą leidžiantiems dokumentams gauti ir, atitinkamai, viešųjų pirkimų (rangovui parinkti) procedūroms organizuoti. </w:t>
      </w:r>
    </w:p>
    <w:p w14:paraId="1DD1B37D" w14:textId="667AF36C"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Europos Sąjungos ir bendrojo finansavimo lėšų 2025 metais gauta 26 557,1 tūkst.</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Eur, t. y. 106,5 tūkst. Eur mažiau nei planuota. Nukrypimą nuo plano nulėmė VšĮ „Centrinė projektų valdymo agentūra“ pritaikyta 139,7 tūkst. Eur dydžio finansinė korekcija projektui „Kauno rotušės pastato pritaikymas visuomenės poreikiams“, dėl kurios sumažintos projektui tinkamos finansuoti lėšos, ir 33,2 tūkst. Eur, į Savivaldybės biudžetą pervesti po Europos Sąjungos ir kitos tarptautinės finansinės paramos lėšomis finansuotų projektų įgyvendinimo užbaigimo ir galutinių atsiskaitymų.</w:t>
      </w:r>
      <w:r w:rsidR="007160B1">
        <w:rPr>
          <w:rFonts w:eastAsia="Aptos"/>
          <w:kern w:val="2"/>
          <w:szCs w:val="24"/>
          <w:lang w:eastAsia="en-US"/>
          <w14:ligatures w14:val="standardContextual"/>
        </w:rPr>
        <w:t xml:space="preserve"> </w:t>
      </w:r>
    </w:p>
    <w:p w14:paraId="10DF925D" w14:textId="4567C926"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b/>
          <w:bCs/>
          <w:kern w:val="2"/>
          <w:szCs w:val="24"/>
          <w:lang w:eastAsia="en-US"/>
          <w14:ligatures w14:val="standardContextual"/>
        </w:rPr>
        <w:t>Savivaldybės 2025 metų biudžeto išlaidų (asignavimų) patikslintas planas</w:t>
      </w:r>
      <w:r w:rsidRPr="00D26788">
        <w:rPr>
          <w:rFonts w:eastAsia="Aptos"/>
          <w:kern w:val="2"/>
          <w:szCs w:val="24"/>
          <w:lang w:eastAsia="en-US"/>
          <w14:ligatures w14:val="standardContextual"/>
        </w:rPr>
        <w:t>, įskaitant 2024</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m. gruodžio 31 d. biudžeto lėšų likutį, sudarė 815</w:t>
      </w:r>
      <w:r w:rsidRPr="00D26788">
        <w:rPr>
          <w:rFonts w:ascii="Aptos" w:eastAsia="Aptos" w:hAnsi="Aptos" w:cs="Times New Roman"/>
          <w:kern w:val="2"/>
          <w:szCs w:val="24"/>
          <w:lang w:eastAsia="en-US"/>
          <w14:ligatures w14:val="standardContextual"/>
        </w:rPr>
        <w:t> </w:t>
      </w:r>
      <w:r w:rsidRPr="00D26788">
        <w:rPr>
          <w:rFonts w:eastAsia="Aptos"/>
          <w:kern w:val="2"/>
          <w:szCs w:val="24"/>
          <w:lang w:eastAsia="en-US"/>
          <w14:ligatures w14:val="standardContextual"/>
        </w:rPr>
        <w:t>164,3 tūkst. Eur. Per metus panaudota 777 701,4</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tūkst. Eur arba 95,4 proc. planuotų asignavimų, o nepanaudota liko 37 462,9 tūkst.</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Eur asignavimų suma. Finansinių įsipareigojimų vykdymo išlaidų (grąžintų paskolų) planas – 7 213,2</w:t>
      </w:r>
      <w:r w:rsidR="005C64C0" w:rsidRPr="005C64C0">
        <w:rPr>
          <w:rFonts w:eastAsia="Aptos"/>
          <w:kern w:val="2"/>
          <w:szCs w:val="24"/>
          <w:lang w:eastAsia="en-US"/>
          <w14:ligatures w14:val="standardContextual"/>
        </w:rPr>
        <w:t> </w:t>
      </w:r>
      <w:r w:rsidRPr="00D26788">
        <w:rPr>
          <w:rFonts w:eastAsia="Aptos"/>
          <w:kern w:val="2"/>
          <w:szCs w:val="24"/>
          <w:lang w:eastAsia="en-US"/>
          <w14:ligatures w14:val="standardContextual"/>
        </w:rPr>
        <w:t>tūkst. Eur – įvykdytas 100</w:t>
      </w:r>
      <w:r w:rsidR="007160B1">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proc</w:t>
      </w:r>
      <w:r w:rsidR="007160B1">
        <w:rPr>
          <w:rFonts w:eastAsia="Aptos"/>
          <w:kern w:val="2"/>
          <w:szCs w:val="24"/>
          <w:lang w:eastAsia="en-US"/>
          <w14:ligatures w14:val="standardContextual"/>
        </w:rPr>
        <w:t>entų</w:t>
      </w:r>
      <w:r w:rsidRPr="00D26788">
        <w:rPr>
          <w:rFonts w:eastAsia="Aptos"/>
          <w:kern w:val="2"/>
          <w:szCs w:val="24"/>
          <w:lang w:eastAsia="en-US"/>
          <w14:ligatures w14:val="standardContextual"/>
        </w:rPr>
        <w:t>.</w:t>
      </w:r>
      <w:r w:rsidR="007160B1">
        <w:rPr>
          <w:rFonts w:eastAsia="Aptos"/>
          <w:kern w:val="2"/>
          <w:szCs w:val="24"/>
          <w:lang w:eastAsia="en-US"/>
          <w14:ligatures w14:val="standardContextual"/>
        </w:rPr>
        <w:t xml:space="preserve"> </w:t>
      </w:r>
    </w:p>
    <w:p w14:paraId="6BFEA5FE" w14:textId="57184E5D" w:rsid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8 paveiksle pateikiama suplanuotų Savivaldybės 2025 metų biudžeto patikslintų išlaidų pagal valstybės funkcijas struktūra.</w:t>
      </w:r>
      <w:r w:rsidR="007160B1">
        <w:rPr>
          <w:rFonts w:eastAsia="Aptos"/>
          <w:kern w:val="2"/>
          <w:szCs w:val="24"/>
          <w:lang w:eastAsia="en-US"/>
          <w14:ligatures w14:val="standardContextual"/>
        </w:rPr>
        <w:t xml:space="preserve"> </w:t>
      </w:r>
    </w:p>
    <w:p w14:paraId="5A831E80" w14:textId="77777777" w:rsidR="007160B1" w:rsidRDefault="007160B1" w:rsidP="00D26788">
      <w:pPr>
        <w:spacing w:line="360" w:lineRule="auto"/>
        <w:ind w:firstLine="1296"/>
        <w:jc w:val="both"/>
        <w:rPr>
          <w:rFonts w:eastAsia="Aptos"/>
          <w:kern w:val="2"/>
          <w:szCs w:val="24"/>
          <w:lang w:eastAsia="en-US"/>
          <w14:ligatures w14:val="standardContextual"/>
        </w:rPr>
      </w:pPr>
    </w:p>
    <w:p w14:paraId="6D3B961F" w14:textId="217B41A3" w:rsidR="007160B1" w:rsidRPr="00D26788" w:rsidRDefault="007160B1" w:rsidP="007160B1">
      <w:pPr>
        <w:jc w:val="center"/>
        <w:rPr>
          <w:rFonts w:eastAsia="Aptos"/>
          <w:b/>
          <w:bCs/>
          <w:kern w:val="2"/>
          <w:szCs w:val="24"/>
          <w:lang w:eastAsia="en-US"/>
          <w14:ligatures w14:val="standardContextual"/>
        </w:rPr>
      </w:pPr>
      <w:r w:rsidRPr="00D26788">
        <w:rPr>
          <w:rFonts w:eastAsia="Aptos"/>
          <w:b/>
          <w:bCs/>
          <w:kern w:val="2"/>
          <w:szCs w:val="24"/>
          <w:lang w:eastAsia="en-US"/>
          <w14:ligatures w14:val="standardContextual"/>
        </w:rPr>
        <w:t>8 paveikslas. Suplanuotų Savivaldybės 2025 metų biudžeto išlaidų pagal valstybės funkcijas struktūra</w:t>
      </w:r>
      <w:r>
        <w:rPr>
          <w:rFonts w:eastAsia="Aptos"/>
          <w:b/>
          <w:bCs/>
          <w:kern w:val="2"/>
          <w:szCs w:val="24"/>
          <w:lang w:eastAsia="en-US"/>
          <w14:ligatures w14:val="standardContextual"/>
        </w:rPr>
        <w:t xml:space="preserve"> </w:t>
      </w:r>
    </w:p>
    <w:p w14:paraId="2A50E47B" w14:textId="2491FADE" w:rsidR="007C4253" w:rsidRPr="00D26788" w:rsidRDefault="007F2810" w:rsidP="004640F6">
      <w:pPr>
        <w:spacing w:line="360" w:lineRule="auto"/>
        <w:jc w:val="both"/>
        <w:rPr>
          <w:rFonts w:eastAsia="Aptos"/>
          <w:kern w:val="2"/>
          <w:szCs w:val="24"/>
          <w:lang w:eastAsia="en-US"/>
          <w14:ligatures w14:val="standardContextual"/>
        </w:rPr>
      </w:pPr>
      <w:r>
        <w:rPr>
          <w:noProof/>
        </w:rPr>
        <w:drawing>
          <wp:inline distT="0" distB="0" distL="0" distR="0" wp14:anchorId="0F51C9AE" wp14:editId="38E94D72">
            <wp:extent cx="6087110" cy="3514725"/>
            <wp:effectExtent l="0" t="0" r="8890" b="9525"/>
            <wp:docPr id="1126126139" name="Diagrama 1">
              <a:extLst xmlns:a="http://schemas.openxmlformats.org/drawingml/2006/main">
                <a:ext uri="{FF2B5EF4-FFF2-40B4-BE49-F238E27FC236}">
                  <a16:creationId xmlns:a16="http://schemas.microsoft.com/office/drawing/2014/main" id="{28CE564D-7F6C-0AAF-2167-4A640F811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2A867F" w14:textId="7DD3FBB3" w:rsidR="00D26788" w:rsidRDefault="00EE6143" w:rsidP="00D26788">
      <w:pPr>
        <w:spacing w:line="360" w:lineRule="auto"/>
        <w:ind w:firstLine="1296"/>
        <w:jc w:val="both"/>
        <w:rPr>
          <w:rFonts w:eastAsia="Aptos"/>
          <w:kern w:val="2"/>
          <w:szCs w:val="24"/>
          <w:lang w:eastAsia="en-US"/>
          <w14:ligatures w14:val="standardContextual"/>
        </w:rPr>
      </w:pPr>
      <w:r>
        <w:rPr>
          <w:rFonts w:eastAsia="Aptos"/>
          <w:kern w:val="2"/>
          <w:szCs w:val="24"/>
          <w:lang w:eastAsia="en-US"/>
          <w14:ligatures w14:val="standardContextual"/>
        </w:rPr>
        <w:lastRenderedPageBreak/>
        <w:t>5</w:t>
      </w:r>
      <w:r w:rsidR="00D26788" w:rsidRPr="00D26788">
        <w:rPr>
          <w:rFonts w:eastAsia="Aptos"/>
          <w:kern w:val="2"/>
          <w:szCs w:val="24"/>
          <w:lang w:eastAsia="en-US"/>
          <w14:ligatures w14:val="standardContextual"/>
        </w:rPr>
        <w:t xml:space="preserve"> lentelėje pateikiami Kauno miesto savivaldybės 2025 metų biudžeto patikslintų išlaidų pagal valstybės funkcijas plano vykdymo duomenys.</w:t>
      </w:r>
      <w:r w:rsidR="007160B1">
        <w:rPr>
          <w:rFonts w:eastAsia="Aptos"/>
          <w:kern w:val="2"/>
          <w:szCs w:val="24"/>
          <w:lang w:eastAsia="en-US"/>
          <w14:ligatures w14:val="standardContextual"/>
        </w:rPr>
        <w:t xml:space="preserve"> </w:t>
      </w:r>
    </w:p>
    <w:p w14:paraId="3A768650" w14:textId="71B20A1A" w:rsidR="00D26788" w:rsidRPr="00D26788" w:rsidRDefault="00EE6143" w:rsidP="001E5A3B">
      <w:pPr>
        <w:jc w:val="center"/>
        <w:rPr>
          <w:rFonts w:eastAsia="Aptos"/>
          <w:b/>
          <w:bCs/>
          <w:kern w:val="2"/>
          <w:szCs w:val="24"/>
          <w:lang w:eastAsia="en-US"/>
          <w14:ligatures w14:val="standardContextual"/>
        </w:rPr>
      </w:pPr>
      <w:r w:rsidRPr="00EE6143">
        <w:rPr>
          <w:rFonts w:eastAsia="Aptos"/>
          <w:b/>
          <w:bCs/>
          <w:kern w:val="2"/>
          <w:szCs w:val="24"/>
          <w:lang w:eastAsia="en-US"/>
          <w14:ligatures w14:val="standardContextual"/>
        </w:rPr>
        <w:t>5</w:t>
      </w:r>
      <w:r w:rsidR="00D26788" w:rsidRPr="00D26788">
        <w:rPr>
          <w:rFonts w:eastAsia="Aptos"/>
          <w:b/>
          <w:bCs/>
          <w:kern w:val="2"/>
          <w:szCs w:val="24"/>
          <w:lang w:eastAsia="en-US"/>
          <w14:ligatures w14:val="standardContextual"/>
        </w:rPr>
        <w:t xml:space="preserve"> lentelė. Savivaldybės 2025 metų biudžeto išlaidų pagal valstybės funkcijas vykdymas</w:t>
      </w:r>
      <w:r w:rsidR="007160B1">
        <w:rPr>
          <w:rFonts w:eastAsia="Aptos"/>
          <w:b/>
          <w:bCs/>
          <w:kern w:val="2"/>
          <w:szCs w:val="24"/>
          <w:lang w:eastAsia="en-US"/>
          <w14:ligatures w14:val="standardContextu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544"/>
        <w:gridCol w:w="1304"/>
        <w:gridCol w:w="1246"/>
        <w:gridCol w:w="1238"/>
      </w:tblGrid>
      <w:tr w:rsidR="00D26788" w:rsidRPr="00D26788" w14:paraId="37872FF3" w14:textId="77777777" w:rsidTr="00E9250B">
        <w:trPr>
          <w:trHeight w:val="1575"/>
          <w:tblHeader/>
        </w:trPr>
        <w:tc>
          <w:tcPr>
            <w:tcW w:w="2231" w:type="pct"/>
            <w:shd w:val="clear" w:color="000000" w:fill="F2F2F2"/>
            <w:vAlign w:val="center"/>
            <w:hideMark/>
          </w:tcPr>
          <w:p w14:paraId="700B6C2C" w14:textId="77777777" w:rsidR="00D26788" w:rsidRPr="00D26788" w:rsidRDefault="00D26788" w:rsidP="00D26788">
            <w:pPr>
              <w:ind w:firstLineChars="500" w:firstLine="1200"/>
              <w:rPr>
                <w:szCs w:val="24"/>
              </w:rPr>
            </w:pPr>
            <w:r w:rsidRPr="00D26788">
              <w:rPr>
                <w:szCs w:val="24"/>
              </w:rPr>
              <w:t xml:space="preserve">Valstybės funkcija </w:t>
            </w:r>
          </w:p>
        </w:tc>
        <w:tc>
          <w:tcPr>
            <w:tcW w:w="802" w:type="pct"/>
            <w:shd w:val="clear" w:color="000000" w:fill="F2F2F2"/>
            <w:vAlign w:val="center"/>
            <w:hideMark/>
          </w:tcPr>
          <w:p w14:paraId="0141CE46" w14:textId="77777777" w:rsidR="00D26788" w:rsidRPr="00D26788" w:rsidRDefault="00D26788" w:rsidP="00D26788">
            <w:pPr>
              <w:jc w:val="center"/>
              <w:rPr>
                <w:szCs w:val="24"/>
              </w:rPr>
            </w:pPr>
            <w:r w:rsidRPr="00D26788">
              <w:rPr>
                <w:szCs w:val="24"/>
              </w:rPr>
              <w:t>Biudžeto išlaidų patikslintas planas (tūkst. Eur)</w:t>
            </w:r>
          </w:p>
        </w:tc>
        <w:tc>
          <w:tcPr>
            <w:tcW w:w="677" w:type="pct"/>
            <w:shd w:val="clear" w:color="000000" w:fill="F2F2F2"/>
            <w:vAlign w:val="center"/>
            <w:hideMark/>
          </w:tcPr>
          <w:p w14:paraId="5492F153" w14:textId="77777777" w:rsidR="00D26788" w:rsidRPr="00D26788" w:rsidRDefault="00D26788" w:rsidP="00D26788">
            <w:pPr>
              <w:jc w:val="center"/>
              <w:rPr>
                <w:szCs w:val="24"/>
              </w:rPr>
            </w:pPr>
            <w:r w:rsidRPr="00D26788">
              <w:rPr>
                <w:szCs w:val="24"/>
              </w:rPr>
              <w:t>Plano vykdymas (tūkst. Eur)</w:t>
            </w:r>
          </w:p>
        </w:tc>
        <w:tc>
          <w:tcPr>
            <w:tcW w:w="647" w:type="pct"/>
            <w:shd w:val="clear" w:color="000000" w:fill="F2F2F2"/>
            <w:vAlign w:val="center"/>
            <w:hideMark/>
          </w:tcPr>
          <w:p w14:paraId="2440E934" w14:textId="77777777" w:rsidR="00D26788" w:rsidRPr="00D26788" w:rsidRDefault="00D26788" w:rsidP="00D26788">
            <w:pPr>
              <w:jc w:val="center"/>
              <w:rPr>
                <w:szCs w:val="24"/>
              </w:rPr>
            </w:pPr>
            <w:r w:rsidRPr="00D26788">
              <w:rPr>
                <w:szCs w:val="24"/>
              </w:rPr>
              <w:t>Skirtumas (tūkst. Eur)</w:t>
            </w:r>
          </w:p>
        </w:tc>
        <w:tc>
          <w:tcPr>
            <w:tcW w:w="643" w:type="pct"/>
            <w:shd w:val="clear" w:color="000000" w:fill="F2F2F2"/>
            <w:vAlign w:val="center"/>
            <w:hideMark/>
          </w:tcPr>
          <w:p w14:paraId="693F2BFB" w14:textId="77777777" w:rsidR="00D26788" w:rsidRPr="00D26788" w:rsidRDefault="00D26788" w:rsidP="00D26788">
            <w:pPr>
              <w:jc w:val="center"/>
              <w:rPr>
                <w:szCs w:val="24"/>
              </w:rPr>
            </w:pPr>
            <w:r w:rsidRPr="00D26788">
              <w:rPr>
                <w:szCs w:val="24"/>
              </w:rPr>
              <w:t>Įvykdymas (proc.)</w:t>
            </w:r>
          </w:p>
        </w:tc>
      </w:tr>
      <w:tr w:rsidR="00D26788" w:rsidRPr="00D26788" w14:paraId="6D12C445" w14:textId="77777777" w:rsidTr="00E9250B">
        <w:trPr>
          <w:trHeight w:val="315"/>
        </w:trPr>
        <w:tc>
          <w:tcPr>
            <w:tcW w:w="2231" w:type="pct"/>
            <w:shd w:val="clear" w:color="000000" w:fill="F2F2F2"/>
            <w:vAlign w:val="center"/>
            <w:hideMark/>
          </w:tcPr>
          <w:p w14:paraId="5847491B" w14:textId="77777777" w:rsidR="00D26788" w:rsidRPr="00D26788" w:rsidRDefault="00D26788" w:rsidP="00D26788">
            <w:pPr>
              <w:rPr>
                <w:szCs w:val="24"/>
              </w:rPr>
            </w:pPr>
            <w:r w:rsidRPr="00D26788">
              <w:rPr>
                <w:szCs w:val="24"/>
              </w:rPr>
              <w:t>01. Bendros valstybės paslaugos</w:t>
            </w:r>
          </w:p>
        </w:tc>
        <w:tc>
          <w:tcPr>
            <w:tcW w:w="802" w:type="pct"/>
            <w:noWrap/>
            <w:vAlign w:val="bottom"/>
            <w:hideMark/>
          </w:tcPr>
          <w:p w14:paraId="41CC63C1" w14:textId="66B41E38" w:rsidR="00D26788" w:rsidRPr="00D26788" w:rsidRDefault="00D26788" w:rsidP="00D26788">
            <w:pPr>
              <w:jc w:val="right"/>
              <w:rPr>
                <w:szCs w:val="24"/>
              </w:rPr>
            </w:pPr>
            <w:r w:rsidRPr="00D26788">
              <w:rPr>
                <w:szCs w:val="24"/>
              </w:rPr>
              <w:t>48 640,4</w:t>
            </w:r>
          </w:p>
        </w:tc>
        <w:tc>
          <w:tcPr>
            <w:tcW w:w="677" w:type="pct"/>
            <w:noWrap/>
            <w:vAlign w:val="bottom"/>
            <w:hideMark/>
          </w:tcPr>
          <w:p w14:paraId="591BBFE0" w14:textId="4773320C" w:rsidR="00D26788" w:rsidRPr="00D26788" w:rsidRDefault="00D26788" w:rsidP="00D26788">
            <w:pPr>
              <w:jc w:val="right"/>
              <w:rPr>
                <w:szCs w:val="24"/>
              </w:rPr>
            </w:pPr>
            <w:r w:rsidRPr="00D26788">
              <w:rPr>
                <w:szCs w:val="24"/>
              </w:rPr>
              <w:t>45 252,9</w:t>
            </w:r>
          </w:p>
        </w:tc>
        <w:tc>
          <w:tcPr>
            <w:tcW w:w="647" w:type="pct"/>
            <w:vAlign w:val="center"/>
            <w:hideMark/>
          </w:tcPr>
          <w:p w14:paraId="189CC946" w14:textId="77777777" w:rsidR="00D26788" w:rsidRPr="00D26788" w:rsidRDefault="00D26788" w:rsidP="00D26788">
            <w:pPr>
              <w:jc w:val="right"/>
              <w:rPr>
                <w:szCs w:val="24"/>
              </w:rPr>
            </w:pPr>
            <w:r w:rsidRPr="00D26788">
              <w:rPr>
                <w:szCs w:val="24"/>
              </w:rPr>
              <w:t>-3 387,5</w:t>
            </w:r>
          </w:p>
        </w:tc>
        <w:tc>
          <w:tcPr>
            <w:tcW w:w="643" w:type="pct"/>
            <w:noWrap/>
            <w:vAlign w:val="bottom"/>
            <w:hideMark/>
          </w:tcPr>
          <w:p w14:paraId="51E22E30" w14:textId="77777777" w:rsidR="00D26788" w:rsidRPr="00D26788" w:rsidRDefault="00D26788" w:rsidP="00D26788">
            <w:pPr>
              <w:jc w:val="right"/>
              <w:rPr>
                <w:szCs w:val="24"/>
              </w:rPr>
            </w:pPr>
            <w:r w:rsidRPr="00D26788">
              <w:rPr>
                <w:szCs w:val="24"/>
              </w:rPr>
              <w:t>93,0</w:t>
            </w:r>
          </w:p>
        </w:tc>
      </w:tr>
      <w:tr w:rsidR="00D26788" w:rsidRPr="00D26788" w14:paraId="56144D18" w14:textId="77777777" w:rsidTr="00E9250B">
        <w:trPr>
          <w:trHeight w:val="315"/>
        </w:trPr>
        <w:tc>
          <w:tcPr>
            <w:tcW w:w="2231" w:type="pct"/>
            <w:shd w:val="clear" w:color="000000" w:fill="F2F2F2"/>
            <w:vAlign w:val="center"/>
            <w:hideMark/>
          </w:tcPr>
          <w:p w14:paraId="04008D4C" w14:textId="77777777" w:rsidR="00D26788" w:rsidRPr="00D26788" w:rsidRDefault="00D26788" w:rsidP="00D26788">
            <w:pPr>
              <w:rPr>
                <w:szCs w:val="24"/>
              </w:rPr>
            </w:pPr>
            <w:r w:rsidRPr="00D26788">
              <w:rPr>
                <w:szCs w:val="24"/>
              </w:rPr>
              <w:t>02. Gynyba</w:t>
            </w:r>
          </w:p>
        </w:tc>
        <w:tc>
          <w:tcPr>
            <w:tcW w:w="802" w:type="pct"/>
            <w:noWrap/>
            <w:vAlign w:val="bottom"/>
            <w:hideMark/>
          </w:tcPr>
          <w:p w14:paraId="24394466" w14:textId="77777777" w:rsidR="00D26788" w:rsidRPr="00D26788" w:rsidRDefault="00D26788" w:rsidP="00D26788">
            <w:pPr>
              <w:jc w:val="right"/>
              <w:rPr>
                <w:szCs w:val="24"/>
              </w:rPr>
            </w:pPr>
            <w:r w:rsidRPr="00D26788">
              <w:rPr>
                <w:szCs w:val="24"/>
              </w:rPr>
              <w:t>193,3</w:t>
            </w:r>
          </w:p>
        </w:tc>
        <w:tc>
          <w:tcPr>
            <w:tcW w:w="677" w:type="pct"/>
            <w:noWrap/>
            <w:vAlign w:val="bottom"/>
            <w:hideMark/>
          </w:tcPr>
          <w:p w14:paraId="4401C1D7" w14:textId="77777777" w:rsidR="00D26788" w:rsidRPr="00D26788" w:rsidRDefault="00D26788" w:rsidP="00D26788">
            <w:pPr>
              <w:jc w:val="right"/>
              <w:rPr>
                <w:szCs w:val="24"/>
              </w:rPr>
            </w:pPr>
            <w:r w:rsidRPr="00D26788">
              <w:rPr>
                <w:szCs w:val="24"/>
              </w:rPr>
              <w:t>192,4</w:t>
            </w:r>
          </w:p>
        </w:tc>
        <w:tc>
          <w:tcPr>
            <w:tcW w:w="647" w:type="pct"/>
            <w:vAlign w:val="center"/>
            <w:hideMark/>
          </w:tcPr>
          <w:p w14:paraId="12762535" w14:textId="77777777" w:rsidR="00D26788" w:rsidRPr="00D26788" w:rsidRDefault="00D26788" w:rsidP="00D26788">
            <w:pPr>
              <w:jc w:val="right"/>
              <w:rPr>
                <w:szCs w:val="24"/>
              </w:rPr>
            </w:pPr>
            <w:r w:rsidRPr="00D26788">
              <w:rPr>
                <w:szCs w:val="24"/>
              </w:rPr>
              <w:t>-0,9</w:t>
            </w:r>
          </w:p>
        </w:tc>
        <w:tc>
          <w:tcPr>
            <w:tcW w:w="643" w:type="pct"/>
            <w:noWrap/>
            <w:vAlign w:val="bottom"/>
            <w:hideMark/>
          </w:tcPr>
          <w:p w14:paraId="597E1C66" w14:textId="77777777" w:rsidR="00D26788" w:rsidRPr="00D26788" w:rsidRDefault="00D26788" w:rsidP="00D26788">
            <w:pPr>
              <w:jc w:val="right"/>
              <w:rPr>
                <w:szCs w:val="24"/>
              </w:rPr>
            </w:pPr>
            <w:r w:rsidRPr="00D26788">
              <w:rPr>
                <w:szCs w:val="24"/>
              </w:rPr>
              <w:t>99,5</w:t>
            </w:r>
          </w:p>
        </w:tc>
      </w:tr>
      <w:tr w:rsidR="00D26788" w:rsidRPr="00D26788" w14:paraId="02EFC8E8" w14:textId="77777777" w:rsidTr="00E9250B">
        <w:trPr>
          <w:trHeight w:val="315"/>
        </w:trPr>
        <w:tc>
          <w:tcPr>
            <w:tcW w:w="2231" w:type="pct"/>
            <w:shd w:val="clear" w:color="000000" w:fill="F2F2F2"/>
            <w:vAlign w:val="center"/>
            <w:hideMark/>
          </w:tcPr>
          <w:p w14:paraId="63DE7BF7" w14:textId="77777777" w:rsidR="00D26788" w:rsidRPr="00D26788" w:rsidRDefault="00D26788" w:rsidP="00D26788">
            <w:pPr>
              <w:rPr>
                <w:szCs w:val="24"/>
              </w:rPr>
            </w:pPr>
            <w:r w:rsidRPr="00D26788">
              <w:rPr>
                <w:szCs w:val="24"/>
              </w:rPr>
              <w:t>03. Viešoji tvarka ir visuomenės apsauga</w:t>
            </w:r>
          </w:p>
        </w:tc>
        <w:tc>
          <w:tcPr>
            <w:tcW w:w="802" w:type="pct"/>
            <w:noWrap/>
            <w:vAlign w:val="bottom"/>
            <w:hideMark/>
          </w:tcPr>
          <w:p w14:paraId="6946A24C" w14:textId="77777777" w:rsidR="00D26788" w:rsidRPr="00D26788" w:rsidRDefault="00D26788" w:rsidP="00D26788">
            <w:pPr>
              <w:jc w:val="right"/>
              <w:rPr>
                <w:szCs w:val="24"/>
              </w:rPr>
            </w:pPr>
            <w:r w:rsidRPr="00D26788">
              <w:rPr>
                <w:szCs w:val="24"/>
              </w:rPr>
              <w:t>111,5</w:t>
            </w:r>
          </w:p>
        </w:tc>
        <w:tc>
          <w:tcPr>
            <w:tcW w:w="677" w:type="pct"/>
            <w:noWrap/>
            <w:vAlign w:val="bottom"/>
            <w:hideMark/>
          </w:tcPr>
          <w:p w14:paraId="55CD2935" w14:textId="77777777" w:rsidR="00D26788" w:rsidRPr="00D26788" w:rsidRDefault="00D26788" w:rsidP="00D26788">
            <w:pPr>
              <w:jc w:val="right"/>
              <w:rPr>
                <w:szCs w:val="24"/>
              </w:rPr>
            </w:pPr>
            <w:r w:rsidRPr="00D26788">
              <w:rPr>
                <w:szCs w:val="24"/>
              </w:rPr>
              <w:t>106,2</w:t>
            </w:r>
          </w:p>
        </w:tc>
        <w:tc>
          <w:tcPr>
            <w:tcW w:w="647" w:type="pct"/>
            <w:vAlign w:val="center"/>
            <w:hideMark/>
          </w:tcPr>
          <w:p w14:paraId="3AB2A9CD" w14:textId="77777777" w:rsidR="00D26788" w:rsidRPr="00D26788" w:rsidRDefault="00D26788" w:rsidP="00D26788">
            <w:pPr>
              <w:jc w:val="right"/>
              <w:rPr>
                <w:szCs w:val="24"/>
              </w:rPr>
            </w:pPr>
            <w:r w:rsidRPr="00D26788">
              <w:rPr>
                <w:szCs w:val="24"/>
              </w:rPr>
              <w:t>-5,3</w:t>
            </w:r>
          </w:p>
        </w:tc>
        <w:tc>
          <w:tcPr>
            <w:tcW w:w="643" w:type="pct"/>
            <w:noWrap/>
            <w:vAlign w:val="bottom"/>
            <w:hideMark/>
          </w:tcPr>
          <w:p w14:paraId="7328E540" w14:textId="77777777" w:rsidR="00D26788" w:rsidRPr="00D26788" w:rsidRDefault="00D26788" w:rsidP="00D26788">
            <w:pPr>
              <w:jc w:val="right"/>
              <w:rPr>
                <w:szCs w:val="24"/>
              </w:rPr>
            </w:pPr>
            <w:r w:rsidRPr="00D26788">
              <w:rPr>
                <w:szCs w:val="24"/>
              </w:rPr>
              <w:t>95,2</w:t>
            </w:r>
          </w:p>
        </w:tc>
      </w:tr>
      <w:tr w:rsidR="00D26788" w:rsidRPr="00D26788" w14:paraId="7BC6CDA7" w14:textId="77777777" w:rsidTr="00E9250B">
        <w:trPr>
          <w:trHeight w:val="315"/>
        </w:trPr>
        <w:tc>
          <w:tcPr>
            <w:tcW w:w="2231" w:type="pct"/>
            <w:shd w:val="clear" w:color="000000" w:fill="F2F2F2"/>
            <w:vAlign w:val="center"/>
            <w:hideMark/>
          </w:tcPr>
          <w:p w14:paraId="43FB1B1D" w14:textId="77777777" w:rsidR="00D26788" w:rsidRPr="00D26788" w:rsidRDefault="00D26788" w:rsidP="00D26788">
            <w:pPr>
              <w:rPr>
                <w:szCs w:val="24"/>
              </w:rPr>
            </w:pPr>
            <w:r w:rsidRPr="00D26788">
              <w:rPr>
                <w:szCs w:val="24"/>
              </w:rPr>
              <w:t>04. Ekonomika</w:t>
            </w:r>
          </w:p>
        </w:tc>
        <w:tc>
          <w:tcPr>
            <w:tcW w:w="802" w:type="pct"/>
            <w:noWrap/>
            <w:vAlign w:val="bottom"/>
            <w:hideMark/>
          </w:tcPr>
          <w:p w14:paraId="134BEF2C" w14:textId="26F832CC" w:rsidR="00D26788" w:rsidRPr="00D26788" w:rsidRDefault="00D26788" w:rsidP="00D26788">
            <w:pPr>
              <w:jc w:val="right"/>
              <w:rPr>
                <w:szCs w:val="24"/>
              </w:rPr>
            </w:pPr>
            <w:r w:rsidRPr="00D26788">
              <w:rPr>
                <w:szCs w:val="24"/>
              </w:rPr>
              <w:t>154 114,4</w:t>
            </w:r>
          </w:p>
        </w:tc>
        <w:tc>
          <w:tcPr>
            <w:tcW w:w="677" w:type="pct"/>
            <w:noWrap/>
            <w:vAlign w:val="bottom"/>
            <w:hideMark/>
          </w:tcPr>
          <w:p w14:paraId="632327F9" w14:textId="2953D8F7" w:rsidR="00D26788" w:rsidRPr="00D26788" w:rsidRDefault="00D26788" w:rsidP="00D26788">
            <w:pPr>
              <w:jc w:val="right"/>
              <w:rPr>
                <w:szCs w:val="24"/>
              </w:rPr>
            </w:pPr>
            <w:r w:rsidRPr="00D26788">
              <w:rPr>
                <w:szCs w:val="24"/>
              </w:rPr>
              <w:t>146 308,7</w:t>
            </w:r>
          </w:p>
        </w:tc>
        <w:tc>
          <w:tcPr>
            <w:tcW w:w="647" w:type="pct"/>
            <w:vAlign w:val="center"/>
            <w:hideMark/>
          </w:tcPr>
          <w:p w14:paraId="56C1761D" w14:textId="77777777" w:rsidR="00D26788" w:rsidRPr="00D26788" w:rsidRDefault="00D26788" w:rsidP="00D26788">
            <w:pPr>
              <w:jc w:val="right"/>
              <w:rPr>
                <w:szCs w:val="24"/>
              </w:rPr>
            </w:pPr>
            <w:r w:rsidRPr="00D26788">
              <w:rPr>
                <w:szCs w:val="24"/>
              </w:rPr>
              <w:t>-7 805,7</w:t>
            </w:r>
          </w:p>
        </w:tc>
        <w:tc>
          <w:tcPr>
            <w:tcW w:w="643" w:type="pct"/>
            <w:noWrap/>
            <w:vAlign w:val="bottom"/>
            <w:hideMark/>
          </w:tcPr>
          <w:p w14:paraId="56DD1DA3" w14:textId="77777777" w:rsidR="00D26788" w:rsidRPr="00D26788" w:rsidRDefault="00D26788" w:rsidP="00D26788">
            <w:pPr>
              <w:jc w:val="right"/>
              <w:rPr>
                <w:szCs w:val="24"/>
              </w:rPr>
            </w:pPr>
            <w:r w:rsidRPr="00D26788">
              <w:rPr>
                <w:szCs w:val="24"/>
              </w:rPr>
              <w:t>94,9</w:t>
            </w:r>
          </w:p>
        </w:tc>
      </w:tr>
      <w:tr w:rsidR="00D26788" w:rsidRPr="00D26788" w14:paraId="35386369" w14:textId="77777777" w:rsidTr="00E9250B">
        <w:trPr>
          <w:trHeight w:val="315"/>
        </w:trPr>
        <w:tc>
          <w:tcPr>
            <w:tcW w:w="2231" w:type="pct"/>
            <w:shd w:val="clear" w:color="000000" w:fill="F2F2F2"/>
            <w:vAlign w:val="center"/>
            <w:hideMark/>
          </w:tcPr>
          <w:p w14:paraId="14CC7EE6" w14:textId="77777777" w:rsidR="00D26788" w:rsidRPr="00D26788" w:rsidRDefault="00D26788" w:rsidP="00D26788">
            <w:pPr>
              <w:rPr>
                <w:szCs w:val="24"/>
              </w:rPr>
            </w:pPr>
            <w:r w:rsidRPr="00D26788">
              <w:rPr>
                <w:szCs w:val="24"/>
              </w:rPr>
              <w:t>05. Aplinkos apsauga</w:t>
            </w:r>
          </w:p>
        </w:tc>
        <w:tc>
          <w:tcPr>
            <w:tcW w:w="802" w:type="pct"/>
            <w:noWrap/>
            <w:vAlign w:val="bottom"/>
            <w:hideMark/>
          </w:tcPr>
          <w:p w14:paraId="042D0185" w14:textId="1AC17788" w:rsidR="00D26788" w:rsidRPr="00D26788" w:rsidRDefault="00D26788" w:rsidP="00D26788">
            <w:pPr>
              <w:jc w:val="right"/>
              <w:rPr>
                <w:szCs w:val="24"/>
              </w:rPr>
            </w:pPr>
            <w:r w:rsidRPr="00D26788">
              <w:rPr>
                <w:szCs w:val="24"/>
              </w:rPr>
              <w:t>11 194,1</w:t>
            </w:r>
          </w:p>
        </w:tc>
        <w:tc>
          <w:tcPr>
            <w:tcW w:w="677" w:type="pct"/>
            <w:noWrap/>
            <w:vAlign w:val="bottom"/>
            <w:hideMark/>
          </w:tcPr>
          <w:p w14:paraId="4D9FF520" w14:textId="10B75712" w:rsidR="00D26788" w:rsidRPr="00D26788" w:rsidRDefault="00D26788" w:rsidP="00D26788">
            <w:pPr>
              <w:jc w:val="right"/>
              <w:rPr>
                <w:szCs w:val="24"/>
              </w:rPr>
            </w:pPr>
            <w:r w:rsidRPr="00D26788">
              <w:rPr>
                <w:szCs w:val="24"/>
              </w:rPr>
              <w:t>10 589,7</w:t>
            </w:r>
          </w:p>
        </w:tc>
        <w:tc>
          <w:tcPr>
            <w:tcW w:w="647" w:type="pct"/>
            <w:vAlign w:val="center"/>
            <w:hideMark/>
          </w:tcPr>
          <w:p w14:paraId="0C8BB41B" w14:textId="77777777" w:rsidR="00D26788" w:rsidRPr="00D26788" w:rsidRDefault="00D26788" w:rsidP="00D26788">
            <w:pPr>
              <w:jc w:val="right"/>
              <w:rPr>
                <w:szCs w:val="24"/>
              </w:rPr>
            </w:pPr>
            <w:r w:rsidRPr="00D26788">
              <w:rPr>
                <w:szCs w:val="24"/>
              </w:rPr>
              <w:t>-604,4</w:t>
            </w:r>
          </w:p>
        </w:tc>
        <w:tc>
          <w:tcPr>
            <w:tcW w:w="643" w:type="pct"/>
            <w:noWrap/>
            <w:vAlign w:val="bottom"/>
            <w:hideMark/>
          </w:tcPr>
          <w:p w14:paraId="66891D5D" w14:textId="77777777" w:rsidR="00D26788" w:rsidRPr="00D26788" w:rsidRDefault="00D26788" w:rsidP="00D26788">
            <w:pPr>
              <w:jc w:val="right"/>
              <w:rPr>
                <w:szCs w:val="24"/>
              </w:rPr>
            </w:pPr>
            <w:r w:rsidRPr="00D26788">
              <w:rPr>
                <w:szCs w:val="24"/>
              </w:rPr>
              <w:t>94,6</w:t>
            </w:r>
          </w:p>
        </w:tc>
      </w:tr>
      <w:tr w:rsidR="00D26788" w:rsidRPr="00D26788" w14:paraId="40BD3C78" w14:textId="77777777" w:rsidTr="00E9250B">
        <w:trPr>
          <w:trHeight w:val="315"/>
        </w:trPr>
        <w:tc>
          <w:tcPr>
            <w:tcW w:w="2231" w:type="pct"/>
            <w:shd w:val="clear" w:color="000000" w:fill="F2F2F2"/>
            <w:vAlign w:val="center"/>
            <w:hideMark/>
          </w:tcPr>
          <w:p w14:paraId="4F4A78D4" w14:textId="77777777" w:rsidR="00D26788" w:rsidRPr="00D26788" w:rsidRDefault="00D26788" w:rsidP="00D26788">
            <w:pPr>
              <w:rPr>
                <w:szCs w:val="24"/>
              </w:rPr>
            </w:pPr>
            <w:r w:rsidRPr="00D26788">
              <w:rPr>
                <w:szCs w:val="24"/>
              </w:rPr>
              <w:t>06. Būstas ir komunalinis ūkis</w:t>
            </w:r>
          </w:p>
        </w:tc>
        <w:tc>
          <w:tcPr>
            <w:tcW w:w="802" w:type="pct"/>
            <w:noWrap/>
            <w:vAlign w:val="bottom"/>
            <w:hideMark/>
          </w:tcPr>
          <w:p w14:paraId="770A3401" w14:textId="0B135176" w:rsidR="00D26788" w:rsidRPr="00D26788" w:rsidRDefault="00D26788" w:rsidP="00D26788">
            <w:pPr>
              <w:jc w:val="right"/>
              <w:rPr>
                <w:szCs w:val="24"/>
              </w:rPr>
            </w:pPr>
            <w:r w:rsidRPr="00D26788">
              <w:rPr>
                <w:szCs w:val="24"/>
              </w:rPr>
              <w:t>33 505,1</w:t>
            </w:r>
          </w:p>
        </w:tc>
        <w:tc>
          <w:tcPr>
            <w:tcW w:w="677" w:type="pct"/>
            <w:noWrap/>
            <w:vAlign w:val="bottom"/>
            <w:hideMark/>
          </w:tcPr>
          <w:p w14:paraId="5D7A0625" w14:textId="6494111F" w:rsidR="00D26788" w:rsidRPr="00D26788" w:rsidRDefault="00D26788" w:rsidP="00D26788">
            <w:pPr>
              <w:jc w:val="right"/>
              <w:rPr>
                <w:szCs w:val="24"/>
              </w:rPr>
            </w:pPr>
            <w:r w:rsidRPr="00D26788">
              <w:rPr>
                <w:szCs w:val="24"/>
              </w:rPr>
              <w:t>31 144,3</w:t>
            </w:r>
          </w:p>
        </w:tc>
        <w:tc>
          <w:tcPr>
            <w:tcW w:w="647" w:type="pct"/>
            <w:vAlign w:val="center"/>
            <w:hideMark/>
          </w:tcPr>
          <w:p w14:paraId="2D4A95FB" w14:textId="77777777" w:rsidR="00D26788" w:rsidRPr="00D26788" w:rsidRDefault="00D26788" w:rsidP="00D26788">
            <w:pPr>
              <w:jc w:val="right"/>
              <w:rPr>
                <w:szCs w:val="24"/>
              </w:rPr>
            </w:pPr>
            <w:r w:rsidRPr="00D26788">
              <w:rPr>
                <w:szCs w:val="24"/>
              </w:rPr>
              <w:t>-2 360,8</w:t>
            </w:r>
          </w:p>
        </w:tc>
        <w:tc>
          <w:tcPr>
            <w:tcW w:w="643" w:type="pct"/>
            <w:noWrap/>
            <w:vAlign w:val="bottom"/>
            <w:hideMark/>
          </w:tcPr>
          <w:p w14:paraId="21687E2D" w14:textId="77777777" w:rsidR="00D26788" w:rsidRPr="00D26788" w:rsidRDefault="00D26788" w:rsidP="00D26788">
            <w:pPr>
              <w:jc w:val="right"/>
              <w:rPr>
                <w:szCs w:val="24"/>
              </w:rPr>
            </w:pPr>
            <w:r w:rsidRPr="00D26788">
              <w:rPr>
                <w:szCs w:val="24"/>
              </w:rPr>
              <w:t>93,0</w:t>
            </w:r>
          </w:p>
        </w:tc>
      </w:tr>
      <w:tr w:rsidR="00D26788" w:rsidRPr="00D26788" w14:paraId="2F4E756E" w14:textId="77777777" w:rsidTr="00E9250B">
        <w:trPr>
          <w:trHeight w:val="315"/>
        </w:trPr>
        <w:tc>
          <w:tcPr>
            <w:tcW w:w="2231" w:type="pct"/>
            <w:shd w:val="clear" w:color="000000" w:fill="F2F2F2"/>
            <w:vAlign w:val="center"/>
            <w:hideMark/>
          </w:tcPr>
          <w:p w14:paraId="36C5A34F" w14:textId="77777777" w:rsidR="00D26788" w:rsidRPr="00D26788" w:rsidRDefault="00D26788" w:rsidP="00D26788">
            <w:pPr>
              <w:rPr>
                <w:szCs w:val="24"/>
              </w:rPr>
            </w:pPr>
            <w:r w:rsidRPr="00D26788">
              <w:rPr>
                <w:szCs w:val="24"/>
              </w:rPr>
              <w:t>07. Sveikatos apsauga</w:t>
            </w:r>
          </w:p>
        </w:tc>
        <w:tc>
          <w:tcPr>
            <w:tcW w:w="802" w:type="pct"/>
            <w:noWrap/>
            <w:vAlign w:val="bottom"/>
            <w:hideMark/>
          </w:tcPr>
          <w:p w14:paraId="5716CDC3" w14:textId="7F28C00E" w:rsidR="00D26788" w:rsidRPr="00D26788" w:rsidRDefault="00D26788" w:rsidP="00D26788">
            <w:pPr>
              <w:jc w:val="right"/>
              <w:rPr>
                <w:szCs w:val="24"/>
              </w:rPr>
            </w:pPr>
            <w:r w:rsidRPr="00D26788">
              <w:rPr>
                <w:szCs w:val="24"/>
              </w:rPr>
              <w:t>14 665,3</w:t>
            </w:r>
          </w:p>
        </w:tc>
        <w:tc>
          <w:tcPr>
            <w:tcW w:w="677" w:type="pct"/>
            <w:noWrap/>
            <w:vAlign w:val="bottom"/>
            <w:hideMark/>
          </w:tcPr>
          <w:p w14:paraId="20E0974C" w14:textId="1F61CC52" w:rsidR="00D26788" w:rsidRPr="00D26788" w:rsidRDefault="00D26788" w:rsidP="00D26788">
            <w:pPr>
              <w:jc w:val="right"/>
              <w:rPr>
                <w:szCs w:val="24"/>
              </w:rPr>
            </w:pPr>
            <w:r w:rsidRPr="00D26788">
              <w:rPr>
                <w:szCs w:val="24"/>
              </w:rPr>
              <w:t>14 204,1</w:t>
            </w:r>
          </w:p>
        </w:tc>
        <w:tc>
          <w:tcPr>
            <w:tcW w:w="647" w:type="pct"/>
            <w:vAlign w:val="center"/>
            <w:hideMark/>
          </w:tcPr>
          <w:p w14:paraId="6318EFD6" w14:textId="77777777" w:rsidR="00D26788" w:rsidRPr="00D26788" w:rsidRDefault="00D26788" w:rsidP="00D26788">
            <w:pPr>
              <w:jc w:val="right"/>
              <w:rPr>
                <w:szCs w:val="24"/>
              </w:rPr>
            </w:pPr>
            <w:r w:rsidRPr="00D26788">
              <w:rPr>
                <w:szCs w:val="24"/>
              </w:rPr>
              <w:t>-461,2</w:t>
            </w:r>
          </w:p>
        </w:tc>
        <w:tc>
          <w:tcPr>
            <w:tcW w:w="643" w:type="pct"/>
            <w:noWrap/>
            <w:vAlign w:val="bottom"/>
            <w:hideMark/>
          </w:tcPr>
          <w:p w14:paraId="4EB5CB8B" w14:textId="77777777" w:rsidR="00D26788" w:rsidRPr="00D26788" w:rsidRDefault="00D26788" w:rsidP="00D26788">
            <w:pPr>
              <w:jc w:val="right"/>
              <w:rPr>
                <w:szCs w:val="24"/>
              </w:rPr>
            </w:pPr>
            <w:r w:rsidRPr="00D26788">
              <w:rPr>
                <w:szCs w:val="24"/>
              </w:rPr>
              <w:t>96,9</w:t>
            </w:r>
          </w:p>
        </w:tc>
      </w:tr>
      <w:tr w:rsidR="00D26788" w:rsidRPr="00D26788" w14:paraId="490CF69A" w14:textId="77777777" w:rsidTr="00E9250B">
        <w:trPr>
          <w:trHeight w:val="315"/>
        </w:trPr>
        <w:tc>
          <w:tcPr>
            <w:tcW w:w="2231" w:type="pct"/>
            <w:shd w:val="clear" w:color="000000" w:fill="F2F2F2"/>
            <w:vAlign w:val="center"/>
            <w:hideMark/>
          </w:tcPr>
          <w:p w14:paraId="6FFBBFF2" w14:textId="77777777" w:rsidR="00D26788" w:rsidRPr="00D26788" w:rsidRDefault="00D26788" w:rsidP="00D26788">
            <w:pPr>
              <w:rPr>
                <w:szCs w:val="24"/>
              </w:rPr>
            </w:pPr>
            <w:r w:rsidRPr="00D26788">
              <w:rPr>
                <w:szCs w:val="24"/>
              </w:rPr>
              <w:t>08. Poilsis, kultūra ir religija</w:t>
            </w:r>
          </w:p>
        </w:tc>
        <w:tc>
          <w:tcPr>
            <w:tcW w:w="802" w:type="pct"/>
            <w:noWrap/>
            <w:vAlign w:val="bottom"/>
            <w:hideMark/>
          </w:tcPr>
          <w:p w14:paraId="27FF8F97" w14:textId="595CCF06" w:rsidR="00D26788" w:rsidRPr="00D26788" w:rsidRDefault="00D26788" w:rsidP="00D26788">
            <w:pPr>
              <w:jc w:val="right"/>
              <w:rPr>
                <w:szCs w:val="24"/>
              </w:rPr>
            </w:pPr>
            <w:r w:rsidRPr="00D26788">
              <w:rPr>
                <w:szCs w:val="24"/>
              </w:rPr>
              <w:t>75 502,0</w:t>
            </w:r>
          </w:p>
        </w:tc>
        <w:tc>
          <w:tcPr>
            <w:tcW w:w="677" w:type="pct"/>
            <w:noWrap/>
            <w:vAlign w:val="bottom"/>
            <w:hideMark/>
          </w:tcPr>
          <w:p w14:paraId="12346442" w14:textId="05E83B83" w:rsidR="00D26788" w:rsidRPr="00D26788" w:rsidRDefault="00D26788" w:rsidP="00D26788">
            <w:pPr>
              <w:jc w:val="right"/>
              <w:rPr>
                <w:szCs w:val="24"/>
              </w:rPr>
            </w:pPr>
            <w:r w:rsidRPr="00D26788">
              <w:rPr>
                <w:szCs w:val="24"/>
              </w:rPr>
              <w:t>64 162,0</w:t>
            </w:r>
          </w:p>
        </w:tc>
        <w:tc>
          <w:tcPr>
            <w:tcW w:w="647" w:type="pct"/>
            <w:vAlign w:val="center"/>
            <w:hideMark/>
          </w:tcPr>
          <w:p w14:paraId="7EF6E7A1" w14:textId="77777777" w:rsidR="00D26788" w:rsidRPr="00D26788" w:rsidRDefault="00D26788" w:rsidP="00D26788">
            <w:pPr>
              <w:jc w:val="right"/>
              <w:rPr>
                <w:szCs w:val="24"/>
              </w:rPr>
            </w:pPr>
            <w:r w:rsidRPr="00D26788">
              <w:rPr>
                <w:szCs w:val="24"/>
              </w:rPr>
              <w:t>-11 340,0</w:t>
            </w:r>
          </w:p>
        </w:tc>
        <w:tc>
          <w:tcPr>
            <w:tcW w:w="643" w:type="pct"/>
            <w:noWrap/>
            <w:vAlign w:val="bottom"/>
            <w:hideMark/>
          </w:tcPr>
          <w:p w14:paraId="6120F968" w14:textId="77777777" w:rsidR="00D26788" w:rsidRPr="00D26788" w:rsidRDefault="00D26788" w:rsidP="00D26788">
            <w:pPr>
              <w:jc w:val="right"/>
              <w:rPr>
                <w:szCs w:val="24"/>
              </w:rPr>
            </w:pPr>
            <w:r w:rsidRPr="00D26788">
              <w:rPr>
                <w:szCs w:val="24"/>
              </w:rPr>
              <w:t>85,0</w:t>
            </w:r>
          </w:p>
        </w:tc>
      </w:tr>
      <w:tr w:rsidR="00D26788" w:rsidRPr="00D26788" w14:paraId="25E5B0FF" w14:textId="77777777" w:rsidTr="00E9250B">
        <w:trPr>
          <w:trHeight w:val="315"/>
        </w:trPr>
        <w:tc>
          <w:tcPr>
            <w:tcW w:w="2231" w:type="pct"/>
            <w:shd w:val="clear" w:color="000000" w:fill="F2F2F2"/>
            <w:vAlign w:val="center"/>
            <w:hideMark/>
          </w:tcPr>
          <w:p w14:paraId="115D5A66" w14:textId="77777777" w:rsidR="00D26788" w:rsidRPr="00D26788" w:rsidRDefault="00D26788" w:rsidP="00D26788">
            <w:pPr>
              <w:rPr>
                <w:szCs w:val="24"/>
              </w:rPr>
            </w:pPr>
            <w:r w:rsidRPr="00D26788">
              <w:rPr>
                <w:szCs w:val="24"/>
              </w:rPr>
              <w:t>09. Švietimas</w:t>
            </w:r>
          </w:p>
        </w:tc>
        <w:tc>
          <w:tcPr>
            <w:tcW w:w="802" w:type="pct"/>
            <w:noWrap/>
            <w:vAlign w:val="bottom"/>
            <w:hideMark/>
          </w:tcPr>
          <w:p w14:paraId="4561B679" w14:textId="587EEF6C" w:rsidR="00D26788" w:rsidRPr="00D26788" w:rsidRDefault="00D26788" w:rsidP="00D26788">
            <w:pPr>
              <w:jc w:val="right"/>
              <w:rPr>
                <w:szCs w:val="24"/>
              </w:rPr>
            </w:pPr>
            <w:r w:rsidRPr="00D26788">
              <w:rPr>
                <w:szCs w:val="24"/>
              </w:rPr>
              <w:t>373 756,2</w:t>
            </w:r>
          </w:p>
        </w:tc>
        <w:tc>
          <w:tcPr>
            <w:tcW w:w="677" w:type="pct"/>
            <w:noWrap/>
            <w:vAlign w:val="bottom"/>
            <w:hideMark/>
          </w:tcPr>
          <w:p w14:paraId="50A21B5E" w14:textId="393FBC46" w:rsidR="00D26788" w:rsidRPr="00D26788" w:rsidRDefault="00D26788" w:rsidP="00D26788">
            <w:pPr>
              <w:jc w:val="right"/>
              <w:rPr>
                <w:szCs w:val="24"/>
              </w:rPr>
            </w:pPr>
            <w:r w:rsidRPr="00D26788">
              <w:rPr>
                <w:szCs w:val="24"/>
              </w:rPr>
              <w:t>364 497,1</w:t>
            </w:r>
          </w:p>
        </w:tc>
        <w:tc>
          <w:tcPr>
            <w:tcW w:w="647" w:type="pct"/>
            <w:vAlign w:val="center"/>
            <w:hideMark/>
          </w:tcPr>
          <w:p w14:paraId="7600D610" w14:textId="77777777" w:rsidR="00D26788" w:rsidRPr="00D26788" w:rsidRDefault="00D26788" w:rsidP="00D26788">
            <w:pPr>
              <w:jc w:val="right"/>
              <w:rPr>
                <w:szCs w:val="24"/>
              </w:rPr>
            </w:pPr>
            <w:r w:rsidRPr="00D26788">
              <w:rPr>
                <w:szCs w:val="24"/>
              </w:rPr>
              <w:t>-9 259,1</w:t>
            </w:r>
          </w:p>
        </w:tc>
        <w:tc>
          <w:tcPr>
            <w:tcW w:w="643" w:type="pct"/>
            <w:noWrap/>
            <w:vAlign w:val="bottom"/>
            <w:hideMark/>
          </w:tcPr>
          <w:p w14:paraId="192119C1" w14:textId="77777777" w:rsidR="00D26788" w:rsidRPr="00D26788" w:rsidRDefault="00D26788" w:rsidP="00D26788">
            <w:pPr>
              <w:jc w:val="right"/>
              <w:rPr>
                <w:szCs w:val="24"/>
              </w:rPr>
            </w:pPr>
            <w:r w:rsidRPr="00D26788">
              <w:rPr>
                <w:szCs w:val="24"/>
              </w:rPr>
              <w:t>97,5</w:t>
            </w:r>
          </w:p>
        </w:tc>
      </w:tr>
      <w:tr w:rsidR="00D26788" w:rsidRPr="00D26788" w14:paraId="17D7A3C9" w14:textId="77777777" w:rsidTr="00E9250B">
        <w:trPr>
          <w:trHeight w:val="315"/>
        </w:trPr>
        <w:tc>
          <w:tcPr>
            <w:tcW w:w="2231" w:type="pct"/>
            <w:shd w:val="clear" w:color="000000" w:fill="F2F2F2"/>
            <w:vAlign w:val="center"/>
            <w:hideMark/>
          </w:tcPr>
          <w:p w14:paraId="77C3DCBB" w14:textId="77777777" w:rsidR="00D26788" w:rsidRPr="00D26788" w:rsidRDefault="00D26788" w:rsidP="00D26788">
            <w:pPr>
              <w:rPr>
                <w:szCs w:val="24"/>
              </w:rPr>
            </w:pPr>
            <w:r w:rsidRPr="00D26788">
              <w:rPr>
                <w:szCs w:val="24"/>
              </w:rPr>
              <w:t>10. Socialinė apsauga</w:t>
            </w:r>
          </w:p>
        </w:tc>
        <w:tc>
          <w:tcPr>
            <w:tcW w:w="802" w:type="pct"/>
            <w:noWrap/>
            <w:vAlign w:val="bottom"/>
            <w:hideMark/>
          </w:tcPr>
          <w:p w14:paraId="2FF7F7AF" w14:textId="18B3DEB3" w:rsidR="00D26788" w:rsidRPr="00D26788" w:rsidRDefault="00D26788" w:rsidP="00D26788">
            <w:pPr>
              <w:jc w:val="right"/>
              <w:rPr>
                <w:szCs w:val="24"/>
              </w:rPr>
            </w:pPr>
            <w:r w:rsidRPr="00D26788">
              <w:rPr>
                <w:szCs w:val="24"/>
              </w:rPr>
              <w:t>103 482,0</w:t>
            </w:r>
          </w:p>
        </w:tc>
        <w:tc>
          <w:tcPr>
            <w:tcW w:w="677" w:type="pct"/>
            <w:noWrap/>
            <w:vAlign w:val="bottom"/>
            <w:hideMark/>
          </w:tcPr>
          <w:p w14:paraId="56E5B0E4" w14:textId="5D269F4C" w:rsidR="00D26788" w:rsidRPr="00D26788" w:rsidRDefault="00D26788" w:rsidP="00D26788">
            <w:pPr>
              <w:jc w:val="right"/>
              <w:rPr>
                <w:szCs w:val="24"/>
              </w:rPr>
            </w:pPr>
            <w:r w:rsidRPr="00D26788">
              <w:rPr>
                <w:szCs w:val="24"/>
              </w:rPr>
              <w:t>101 244,0</w:t>
            </w:r>
          </w:p>
        </w:tc>
        <w:tc>
          <w:tcPr>
            <w:tcW w:w="647" w:type="pct"/>
            <w:vAlign w:val="center"/>
            <w:hideMark/>
          </w:tcPr>
          <w:p w14:paraId="44BFFD22" w14:textId="77777777" w:rsidR="00D26788" w:rsidRPr="00D26788" w:rsidRDefault="00D26788" w:rsidP="00D26788">
            <w:pPr>
              <w:jc w:val="right"/>
              <w:rPr>
                <w:szCs w:val="24"/>
              </w:rPr>
            </w:pPr>
            <w:r w:rsidRPr="00D26788">
              <w:rPr>
                <w:szCs w:val="24"/>
              </w:rPr>
              <w:t>-2 238,0</w:t>
            </w:r>
          </w:p>
        </w:tc>
        <w:tc>
          <w:tcPr>
            <w:tcW w:w="643" w:type="pct"/>
            <w:noWrap/>
            <w:vAlign w:val="bottom"/>
            <w:hideMark/>
          </w:tcPr>
          <w:p w14:paraId="145EE72F" w14:textId="77777777" w:rsidR="00D26788" w:rsidRPr="00D26788" w:rsidRDefault="00D26788" w:rsidP="00D26788">
            <w:pPr>
              <w:jc w:val="right"/>
              <w:rPr>
                <w:szCs w:val="24"/>
              </w:rPr>
            </w:pPr>
            <w:r w:rsidRPr="00D26788">
              <w:rPr>
                <w:szCs w:val="24"/>
              </w:rPr>
              <w:t>97,8</w:t>
            </w:r>
          </w:p>
        </w:tc>
      </w:tr>
      <w:tr w:rsidR="00D26788" w:rsidRPr="00D26788" w14:paraId="26A85B20" w14:textId="77777777" w:rsidTr="00E9250B">
        <w:trPr>
          <w:trHeight w:val="315"/>
        </w:trPr>
        <w:tc>
          <w:tcPr>
            <w:tcW w:w="2231" w:type="pct"/>
            <w:shd w:val="clear" w:color="000000" w:fill="F2F2F2"/>
            <w:vAlign w:val="center"/>
            <w:hideMark/>
          </w:tcPr>
          <w:p w14:paraId="46B301DA" w14:textId="77777777" w:rsidR="00D26788" w:rsidRPr="00D26788" w:rsidRDefault="00D26788" w:rsidP="006D2610">
            <w:pPr>
              <w:rPr>
                <w:szCs w:val="24"/>
              </w:rPr>
            </w:pPr>
            <w:r w:rsidRPr="00D26788">
              <w:rPr>
                <w:szCs w:val="24"/>
              </w:rPr>
              <w:t>Iš viso</w:t>
            </w:r>
          </w:p>
        </w:tc>
        <w:tc>
          <w:tcPr>
            <w:tcW w:w="802" w:type="pct"/>
            <w:shd w:val="clear" w:color="000000" w:fill="F2F2F2"/>
            <w:vAlign w:val="center"/>
            <w:hideMark/>
          </w:tcPr>
          <w:p w14:paraId="5C5AEC00" w14:textId="77777777" w:rsidR="00D26788" w:rsidRPr="00D26788" w:rsidRDefault="00D26788" w:rsidP="00D26788">
            <w:pPr>
              <w:jc w:val="right"/>
              <w:rPr>
                <w:szCs w:val="24"/>
              </w:rPr>
            </w:pPr>
            <w:r w:rsidRPr="00D26788">
              <w:rPr>
                <w:szCs w:val="24"/>
              </w:rPr>
              <w:t>815 164,3</w:t>
            </w:r>
          </w:p>
        </w:tc>
        <w:tc>
          <w:tcPr>
            <w:tcW w:w="677" w:type="pct"/>
            <w:shd w:val="clear" w:color="000000" w:fill="F2F2F2"/>
            <w:vAlign w:val="center"/>
            <w:hideMark/>
          </w:tcPr>
          <w:p w14:paraId="271C93BE" w14:textId="77777777" w:rsidR="00D26788" w:rsidRPr="00D26788" w:rsidRDefault="00D26788" w:rsidP="00D26788">
            <w:pPr>
              <w:jc w:val="right"/>
              <w:rPr>
                <w:szCs w:val="24"/>
              </w:rPr>
            </w:pPr>
            <w:r w:rsidRPr="00D26788">
              <w:rPr>
                <w:szCs w:val="24"/>
              </w:rPr>
              <w:t>777 701,4</w:t>
            </w:r>
          </w:p>
        </w:tc>
        <w:tc>
          <w:tcPr>
            <w:tcW w:w="647" w:type="pct"/>
            <w:shd w:val="clear" w:color="000000" w:fill="EDEDED"/>
            <w:vAlign w:val="center"/>
            <w:hideMark/>
          </w:tcPr>
          <w:p w14:paraId="0E5CAE67" w14:textId="77777777" w:rsidR="00D26788" w:rsidRPr="00D26788" w:rsidRDefault="00D26788" w:rsidP="00D26788">
            <w:pPr>
              <w:jc w:val="right"/>
              <w:rPr>
                <w:szCs w:val="24"/>
              </w:rPr>
            </w:pPr>
            <w:r w:rsidRPr="00D26788">
              <w:rPr>
                <w:szCs w:val="24"/>
              </w:rPr>
              <w:t>-37 462,9</w:t>
            </w:r>
          </w:p>
        </w:tc>
        <w:tc>
          <w:tcPr>
            <w:tcW w:w="643" w:type="pct"/>
            <w:shd w:val="clear" w:color="000000" w:fill="EDEDED"/>
            <w:noWrap/>
            <w:vAlign w:val="bottom"/>
            <w:hideMark/>
          </w:tcPr>
          <w:p w14:paraId="149B58BF" w14:textId="77777777" w:rsidR="00D26788" w:rsidRPr="00D26788" w:rsidRDefault="00D26788" w:rsidP="00D26788">
            <w:pPr>
              <w:jc w:val="right"/>
              <w:rPr>
                <w:szCs w:val="24"/>
              </w:rPr>
            </w:pPr>
            <w:r w:rsidRPr="00D26788">
              <w:rPr>
                <w:szCs w:val="24"/>
              </w:rPr>
              <w:t>95,4</w:t>
            </w:r>
          </w:p>
        </w:tc>
      </w:tr>
    </w:tbl>
    <w:p w14:paraId="14CF3FAC" w14:textId="4B76F37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 xml:space="preserve">2025 metų Savivaldybės biudžeto išlaidas vertinant pagal valstybės funkcijas, didžiausia išlaidų dalis 2025 metais teko švietimui – suplanuota </w:t>
      </w:r>
      <w:r w:rsidRPr="00D26788">
        <w:rPr>
          <w:szCs w:val="24"/>
        </w:rPr>
        <w:t>373 756,20 tūkst. Eur</w:t>
      </w:r>
      <w:r w:rsidRPr="00D26788">
        <w:rPr>
          <w:rFonts w:eastAsia="Aptos"/>
          <w:kern w:val="2"/>
          <w:szCs w:val="24"/>
          <w:lang w:eastAsia="en-US"/>
          <w14:ligatures w14:val="standardContextual"/>
        </w:rPr>
        <w:t xml:space="preserve"> (45,9 proc. visų išlaidų plano), panaudota 364 497,1 tūkst. Eur (įvykdymas 97,5 proc.), ekonomikai – suplanuota </w:t>
      </w:r>
      <w:r w:rsidRPr="00D26788">
        <w:rPr>
          <w:szCs w:val="24"/>
        </w:rPr>
        <w:t>154</w:t>
      </w:r>
      <w:r w:rsidR="00313741" w:rsidRPr="002519BF">
        <w:rPr>
          <w:szCs w:val="24"/>
        </w:rPr>
        <w:t> </w:t>
      </w:r>
      <w:r w:rsidRPr="00D26788">
        <w:rPr>
          <w:szCs w:val="24"/>
        </w:rPr>
        <w:t>114,40</w:t>
      </w:r>
      <w:r w:rsidR="007160B1">
        <w:rPr>
          <w:szCs w:val="24"/>
        </w:rPr>
        <w:t> </w:t>
      </w:r>
      <w:r w:rsidRPr="00D26788">
        <w:rPr>
          <w:szCs w:val="24"/>
        </w:rPr>
        <w:t xml:space="preserve">tūkst. Eur (18,9 proc. visų išlaidų plano), panaudota </w:t>
      </w:r>
      <w:r w:rsidRPr="00D26788">
        <w:rPr>
          <w:rFonts w:eastAsia="Aptos"/>
          <w:kern w:val="2"/>
          <w:szCs w:val="24"/>
          <w:lang w:eastAsia="en-US"/>
          <w14:ligatures w14:val="standardContextual"/>
        </w:rPr>
        <w:t>146</w:t>
      </w:r>
      <w:r w:rsidR="00313741" w:rsidRPr="002519BF">
        <w:rPr>
          <w:rFonts w:eastAsia="Aptos"/>
          <w:kern w:val="2"/>
          <w:szCs w:val="24"/>
          <w:lang w:eastAsia="en-US"/>
          <w14:ligatures w14:val="standardContextual"/>
        </w:rPr>
        <w:t> </w:t>
      </w:r>
      <w:r w:rsidRPr="00D26788">
        <w:rPr>
          <w:rFonts w:eastAsia="Aptos"/>
          <w:kern w:val="2"/>
          <w:szCs w:val="24"/>
          <w:lang w:eastAsia="en-US"/>
          <w14:ligatures w14:val="standardContextual"/>
        </w:rPr>
        <w:t>308,7 tūkst. Eur (įvykdymas 94,9</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 xml:space="preserve">proc.), ir socialinei apsaugai – suplanuota </w:t>
      </w:r>
      <w:r w:rsidRPr="00D26788">
        <w:rPr>
          <w:szCs w:val="24"/>
        </w:rPr>
        <w:t>103</w:t>
      </w:r>
      <w:r w:rsidR="00313741" w:rsidRPr="002519BF">
        <w:rPr>
          <w:szCs w:val="24"/>
        </w:rPr>
        <w:t> </w:t>
      </w:r>
      <w:r w:rsidRPr="00D26788">
        <w:rPr>
          <w:szCs w:val="24"/>
        </w:rPr>
        <w:t xml:space="preserve">482,00 tūkst. Eur (12,7 proc. visų išlaidų plano), panaudota </w:t>
      </w:r>
      <w:r w:rsidRPr="00D26788">
        <w:rPr>
          <w:rFonts w:eastAsia="Aptos"/>
          <w:kern w:val="2"/>
          <w:szCs w:val="24"/>
          <w:lang w:eastAsia="en-US"/>
          <w14:ligatures w14:val="standardContextual"/>
        </w:rPr>
        <w:t>101</w:t>
      </w:r>
      <w:r w:rsidR="00313741" w:rsidRPr="002519BF">
        <w:rPr>
          <w:rFonts w:eastAsia="Aptos"/>
          <w:kern w:val="2"/>
          <w:szCs w:val="24"/>
          <w:lang w:eastAsia="en-US"/>
          <w14:ligatures w14:val="standardContextual"/>
        </w:rPr>
        <w:t> </w:t>
      </w:r>
      <w:r w:rsidRPr="00D26788">
        <w:rPr>
          <w:rFonts w:eastAsia="Aptos"/>
          <w:kern w:val="2"/>
          <w:szCs w:val="24"/>
          <w:lang w:eastAsia="en-US"/>
          <w14:ligatures w14:val="standardContextual"/>
        </w:rPr>
        <w:t xml:space="preserve">244,0 tūkst. Eur (įvykdymas 97,8 proc.). Reikšmingos lėšos taip pat skirtos poilsiui, kultūrai ir religijai – suplanuota </w:t>
      </w:r>
      <w:r w:rsidRPr="00D26788">
        <w:rPr>
          <w:szCs w:val="24"/>
        </w:rPr>
        <w:t>75</w:t>
      </w:r>
      <w:r w:rsidR="007160B1">
        <w:rPr>
          <w:szCs w:val="24"/>
        </w:rPr>
        <w:t> </w:t>
      </w:r>
      <w:r w:rsidRPr="00D26788">
        <w:rPr>
          <w:szCs w:val="24"/>
        </w:rPr>
        <w:t>502</w:t>
      </w:r>
      <w:r w:rsidR="007160B1">
        <w:rPr>
          <w:szCs w:val="24"/>
        </w:rPr>
        <w:t xml:space="preserve"> </w:t>
      </w:r>
      <w:r w:rsidRPr="00D26788">
        <w:rPr>
          <w:szCs w:val="24"/>
        </w:rPr>
        <w:t xml:space="preserve">tūkst. Eur (9,3 proc. visų išlaidų plano), panaudota </w:t>
      </w:r>
      <w:r w:rsidRPr="00D26788">
        <w:rPr>
          <w:rFonts w:eastAsia="Aptos"/>
          <w:kern w:val="2"/>
          <w:szCs w:val="24"/>
          <w:lang w:eastAsia="en-US"/>
          <w14:ligatures w14:val="standardContextual"/>
        </w:rPr>
        <w:t>64</w:t>
      </w:r>
      <w:r w:rsidR="005F12F2">
        <w:rPr>
          <w:rFonts w:eastAsia="Aptos"/>
          <w:kern w:val="2"/>
          <w:szCs w:val="24"/>
          <w:lang w:eastAsia="en-US"/>
          <w14:ligatures w14:val="standardContextual"/>
        </w:rPr>
        <w:t> </w:t>
      </w:r>
      <w:r w:rsidRPr="00D26788">
        <w:rPr>
          <w:rFonts w:eastAsia="Aptos"/>
          <w:kern w:val="2"/>
          <w:szCs w:val="24"/>
          <w:lang w:eastAsia="en-US"/>
          <w14:ligatures w14:val="standardContextual"/>
        </w:rPr>
        <w:t>162</w:t>
      </w:r>
      <w:r w:rsidR="005F12F2">
        <w:rPr>
          <w:rFonts w:eastAsia="Aptos"/>
          <w:kern w:val="2"/>
          <w:szCs w:val="24"/>
          <w:lang w:eastAsia="en-US"/>
          <w14:ligatures w14:val="standardContextual"/>
        </w:rPr>
        <w:t> </w:t>
      </w:r>
      <w:r w:rsidRPr="00D26788">
        <w:rPr>
          <w:rFonts w:eastAsia="Aptos"/>
          <w:kern w:val="2"/>
          <w:szCs w:val="24"/>
          <w:lang w:eastAsia="en-US"/>
          <w14:ligatures w14:val="standardContextual"/>
        </w:rPr>
        <w:t>tūkst. Eur (įvykdymas 85</w:t>
      </w:r>
      <w:r w:rsidR="007160B1">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proc.), bendrosioms valstybės paslaugoms – suplanuota </w:t>
      </w:r>
      <w:r w:rsidRPr="00D26788">
        <w:rPr>
          <w:szCs w:val="24"/>
        </w:rPr>
        <w:t>48</w:t>
      </w:r>
      <w:r w:rsidR="00EF3ED9" w:rsidRPr="002519BF">
        <w:rPr>
          <w:szCs w:val="24"/>
        </w:rPr>
        <w:t> </w:t>
      </w:r>
      <w:r w:rsidRPr="00D26788">
        <w:rPr>
          <w:szCs w:val="24"/>
        </w:rPr>
        <w:t>640,40</w:t>
      </w:r>
      <w:r w:rsidR="005F12F2">
        <w:rPr>
          <w:szCs w:val="24"/>
        </w:rPr>
        <w:t> </w:t>
      </w:r>
      <w:r w:rsidRPr="00D26788">
        <w:rPr>
          <w:rFonts w:eastAsia="Aptos"/>
          <w:kern w:val="2"/>
          <w:szCs w:val="24"/>
          <w:lang w:eastAsia="en-US"/>
          <w14:ligatures w14:val="standardContextual"/>
        </w:rPr>
        <w:t>tūkst. Eur (6</w:t>
      </w:r>
      <w:r w:rsidR="007160B1">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proc. visų išlaidų plano), panaudota 45</w:t>
      </w:r>
      <w:r w:rsidR="00EF3ED9" w:rsidRPr="002519BF">
        <w:rPr>
          <w:rFonts w:eastAsia="Aptos"/>
          <w:kern w:val="2"/>
          <w:szCs w:val="24"/>
          <w:lang w:eastAsia="en-US"/>
          <w14:ligatures w14:val="standardContextual"/>
        </w:rPr>
        <w:t> </w:t>
      </w:r>
      <w:r w:rsidRPr="00D26788">
        <w:rPr>
          <w:rFonts w:eastAsia="Aptos"/>
          <w:kern w:val="2"/>
          <w:szCs w:val="24"/>
          <w:lang w:eastAsia="en-US"/>
          <w14:ligatures w14:val="standardContextual"/>
        </w:rPr>
        <w:t>252,9 tūkst. Eur (įvykdymas 93</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 xml:space="preserve">proc.), būstui ir komunaliniam ūkiui </w:t>
      </w:r>
      <w:r w:rsidR="0084232D">
        <w:rPr>
          <w:rFonts w:eastAsia="Aptos"/>
          <w:kern w:val="2"/>
          <w:szCs w:val="24"/>
          <w:lang w:eastAsia="en-US"/>
          <w14:ligatures w14:val="standardContextual"/>
        </w:rPr>
        <w:t>–</w:t>
      </w:r>
      <w:r w:rsidRPr="00D26788">
        <w:rPr>
          <w:rFonts w:eastAsia="Aptos"/>
          <w:kern w:val="2"/>
          <w:szCs w:val="24"/>
          <w:lang w:eastAsia="en-US"/>
          <w14:ligatures w14:val="standardContextual"/>
        </w:rPr>
        <w:t xml:space="preserve"> suplanuota </w:t>
      </w:r>
      <w:r w:rsidRPr="00D26788">
        <w:rPr>
          <w:szCs w:val="24"/>
        </w:rPr>
        <w:t>33</w:t>
      </w:r>
      <w:r w:rsidR="00EF3ED9" w:rsidRPr="002519BF">
        <w:rPr>
          <w:szCs w:val="24"/>
        </w:rPr>
        <w:t> </w:t>
      </w:r>
      <w:r w:rsidRPr="00D26788">
        <w:rPr>
          <w:szCs w:val="24"/>
        </w:rPr>
        <w:t>505,10</w:t>
      </w:r>
      <w:r w:rsidRPr="00D26788">
        <w:rPr>
          <w:rFonts w:eastAsia="Aptos"/>
          <w:kern w:val="2"/>
          <w:szCs w:val="24"/>
          <w:lang w:eastAsia="en-US"/>
          <w14:ligatures w14:val="standardContextual"/>
        </w:rPr>
        <w:t xml:space="preserve"> tūkst. Eur (4,1 proc. visų išlaidų plano), panaudota 31 144,3 tūkst. Eur (įvykdymas 96,9 proc.) bei sveikatos apsaugai – suplanuota </w:t>
      </w:r>
      <w:r w:rsidRPr="00D26788">
        <w:rPr>
          <w:szCs w:val="24"/>
        </w:rPr>
        <w:t>14</w:t>
      </w:r>
      <w:r w:rsidR="00EF3ED9" w:rsidRPr="002519BF">
        <w:rPr>
          <w:szCs w:val="24"/>
        </w:rPr>
        <w:t> </w:t>
      </w:r>
      <w:r w:rsidRPr="00D26788">
        <w:rPr>
          <w:szCs w:val="24"/>
        </w:rPr>
        <w:t>665,30</w:t>
      </w:r>
      <w:r w:rsidR="005F12F2">
        <w:rPr>
          <w:szCs w:val="24"/>
        </w:rPr>
        <w:t> </w:t>
      </w:r>
      <w:r w:rsidRPr="00D26788">
        <w:rPr>
          <w:rFonts w:eastAsia="Aptos"/>
          <w:kern w:val="2"/>
          <w:szCs w:val="24"/>
          <w:lang w:eastAsia="en-US"/>
          <w14:ligatures w14:val="standardContextual"/>
        </w:rPr>
        <w:t>tūkst.</w:t>
      </w:r>
      <w:r w:rsidR="007160B1">
        <w:rPr>
          <w:rFonts w:eastAsia="Aptos"/>
          <w:kern w:val="2"/>
          <w:szCs w:val="24"/>
          <w:lang w:eastAsia="en-US"/>
          <w14:ligatures w14:val="standardContextual"/>
        </w:rPr>
        <w:t> </w:t>
      </w:r>
      <w:r w:rsidRPr="00D26788">
        <w:rPr>
          <w:rFonts w:eastAsia="Aptos"/>
          <w:kern w:val="2"/>
          <w:szCs w:val="24"/>
          <w:lang w:eastAsia="en-US"/>
          <w14:ligatures w14:val="standardContextual"/>
        </w:rPr>
        <w:t>Eur (1,8 proc. visų išlaidų plano), panaudota 14</w:t>
      </w:r>
      <w:r w:rsidR="00EF3ED9" w:rsidRPr="002519BF">
        <w:rPr>
          <w:rFonts w:eastAsia="Aptos"/>
          <w:kern w:val="2"/>
          <w:szCs w:val="24"/>
          <w:lang w:eastAsia="en-US"/>
          <w14:ligatures w14:val="standardContextual"/>
        </w:rPr>
        <w:t> </w:t>
      </w:r>
      <w:r w:rsidRPr="00D26788">
        <w:rPr>
          <w:rFonts w:eastAsia="Aptos"/>
          <w:kern w:val="2"/>
          <w:szCs w:val="24"/>
          <w:lang w:eastAsia="en-US"/>
          <w14:ligatures w14:val="standardContextual"/>
        </w:rPr>
        <w:t>204,1 tūkst. Eur (įvykdymas 96,9</w:t>
      </w:r>
      <w:r w:rsidR="005F12F2">
        <w:rPr>
          <w:rFonts w:eastAsia="Aptos"/>
          <w:kern w:val="2"/>
          <w:szCs w:val="24"/>
          <w:lang w:eastAsia="en-US"/>
          <w14:ligatures w14:val="standardContextual"/>
        </w:rPr>
        <w:t> </w:t>
      </w:r>
      <w:r w:rsidRPr="00D26788">
        <w:rPr>
          <w:rFonts w:eastAsia="Aptos"/>
          <w:kern w:val="2"/>
          <w:szCs w:val="24"/>
          <w:lang w:eastAsia="en-US"/>
          <w14:ligatures w14:val="standardContextual"/>
        </w:rPr>
        <w:t>proc.).</w:t>
      </w:r>
      <w:r w:rsidR="007160B1">
        <w:rPr>
          <w:rFonts w:eastAsia="Aptos"/>
          <w:kern w:val="2"/>
          <w:szCs w:val="24"/>
          <w:lang w:eastAsia="en-US"/>
          <w14:ligatures w14:val="standardContextual"/>
        </w:rPr>
        <w:t xml:space="preserve"> </w:t>
      </w:r>
    </w:p>
    <w:p w14:paraId="047DC959" w14:textId="3F3648D6" w:rsidR="00D26788" w:rsidRP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Vadovaudamosi Lietuvos Respublikos biudžeto sandaros įstatymo 15</w:t>
      </w:r>
      <w:r w:rsidR="005F12F2">
        <w:rPr>
          <w:rFonts w:eastAsia="Aptos"/>
          <w:kern w:val="2"/>
          <w:szCs w:val="24"/>
          <w:lang w:eastAsia="en-US"/>
          <w14:ligatures w14:val="standardContextual"/>
        </w:rPr>
        <w:t> </w:t>
      </w:r>
      <w:r w:rsidRPr="00D26788">
        <w:rPr>
          <w:rFonts w:eastAsia="Aptos"/>
          <w:kern w:val="2"/>
          <w:szCs w:val="24"/>
          <w:lang w:eastAsia="en-US"/>
          <w14:ligatures w14:val="standardContextual"/>
        </w:rPr>
        <w:t>straipsniu, savivaldybės sudaro Savivaldybės mero rezervą, kuris turi būti ne mažesnis kaip 0,25 proc</w:t>
      </w:r>
      <w:r w:rsidR="0084232D">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ir ne didesnis kaip 1 proc</w:t>
      </w:r>
      <w:r w:rsidR="0084232D">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patvirtintų savivaldybės biudžeto pajamų (neįskaitant valstybės dotacijų savivaldybių biudžetams). </w:t>
      </w:r>
      <w:r w:rsidR="0084232D">
        <w:rPr>
          <w:rFonts w:eastAsia="Aptos"/>
          <w:kern w:val="2"/>
          <w:szCs w:val="24"/>
          <w:lang w:eastAsia="en-US"/>
          <w14:ligatures w14:val="standardContextual"/>
        </w:rPr>
        <w:t>Savivaldybės m</w:t>
      </w:r>
      <w:r w:rsidRPr="00D26788">
        <w:rPr>
          <w:rFonts w:eastAsia="Aptos"/>
          <w:kern w:val="2"/>
          <w:szCs w:val="24"/>
          <w:lang w:eastAsia="en-US"/>
          <w14:ligatures w14:val="standardContextual"/>
        </w:rPr>
        <w:t>ero rezervo lėšos Savivaldybės tarybos nustatyta tvarka gali būti naudojamos</w:t>
      </w:r>
      <w:r w:rsidR="0084232D">
        <w:rPr>
          <w:rFonts w:eastAsia="Aptos"/>
          <w:kern w:val="2"/>
          <w:szCs w:val="24"/>
          <w:lang w:eastAsia="en-US"/>
          <w14:ligatures w14:val="standardContextual"/>
        </w:rPr>
        <w:t xml:space="preserve"> šioms reikmėms</w:t>
      </w:r>
      <w:r w:rsidRPr="00D26788">
        <w:rPr>
          <w:rFonts w:eastAsia="Aptos"/>
          <w:kern w:val="2"/>
          <w:szCs w:val="24"/>
          <w:lang w:eastAsia="en-US"/>
          <w14:ligatures w14:val="standardContextual"/>
        </w:rPr>
        <w:t>:</w:t>
      </w:r>
      <w:r w:rsidR="007160B1">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krizėms ar ekstremalioms situacijoms ir (arba) ekstremaliems įvykiams likviduoti, jų padariniams šalinti ir padarytiems nuostoliams iš dalies kompensuoti;</w:t>
      </w:r>
      <w:r w:rsidR="0084232D">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gaisrų </w:t>
      </w:r>
      <w:r w:rsidRPr="00D26788">
        <w:rPr>
          <w:rFonts w:eastAsia="Aptos"/>
          <w:kern w:val="2"/>
          <w:szCs w:val="24"/>
          <w:lang w:eastAsia="en-US"/>
          <w14:ligatures w14:val="standardContextual"/>
        </w:rPr>
        <w:lastRenderedPageBreak/>
        <w:t>ar įvykių padariniams likviduoti ir jų padarytiems nuostoliams iš dalies kompensuoti;</w:t>
      </w:r>
      <w:r w:rsidR="0084232D">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dėl nepaprastosios padėties atsiradusioms išlaidoms iš dalies apmokėti ir (arba) jos padariniams šalinti.</w:t>
      </w:r>
      <w:r w:rsidR="0084232D">
        <w:rPr>
          <w:rFonts w:eastAsia="Aptos"/>
          <w:kern w:val="2"/>
          <w:szCs w:val="24"/>
          <w:lang w:eastAsia="en-US"/>
          <w14:ligatures w14:val="standardContextual"/>
        </w:rPr>
        <w:t xml:space="preserve"> </w:t>
      </w:r>
    </w:p>
    <w:p w14:paraId="68A218D9" w14:textId="4146DD0E" w:rsidR="00D26788" w:rsidRPr="00D26788" w:rsidRDefault="0084232D" w:rsidP="00D26788">
      <w:pPr>
        <w:spacing w:line="360" w:lineRule="auto"/>
        <w:ind w:firstLine="1298"/>
        <w:jc w:val="both"/>
        <w:rPr>
          <w:rFonts w:eastAsia="Aptos"/>
          <w:kern w:val="2"/>
          <w:szCs w:val="24"/>
          <w:lang w:eastAsia="en-US"/>
          <w14:ligatures w14:val="standardContextual"/>
        </w:rPr>
      </w:pPr>
      <w:r>
        <w:rPr>
          <w:rFonts w:eastAsia="Aptos"/>
          <w:kern w:val="2"/>
          <w:szCs w:val="24"/>
          <w:lang w:eastAsia="en-US"/>
          <w14:ligatures w14:val="standardContextual"/>
        </w:rPr>
        <w:t xml:space="preserve">Kadangi minėtų situacijų 2025 m. nebuvo, </w:t>
      </w:r>
      <w:r w:rsidR="00D26788" w:rsidRPr="00D26788">
        <w:rPr>
          <w:rFonts w:eastAsia="Aptos"/>
          <w:kern w:val="2"/>
          <w:szCs w:val="24"/>
          <w:lang w:eastAsia="en-US"/>
          <w14:ligatures w14:val="standardContextual"/>
        </w:rPr>
        <w:t>2025 met</w:t>
      </w:r>
      <w:r>
        <w:rPr>
          <w:rFonts w:eastAsia="Aptos"/>
          <w:kern w:val="2"/>
          <w:szCs w:val="24"/>
          <w:lang w:eastAsia="en-US"/>
          <w14:ligatures w14:val="standardContextual"/>
        </w:rPr>
        <w:t xml:space="preserve">ų Savivaldybės </w:t>
      </w:r>
      <w:r w:rsidR="00D26788" w:rsidRPr="00D26788">
        <w:rPr>
          <w:rFonts w:eastAsia="Aptos"/>
          <w:kern w:val="2"/>
          <w:szCs w:val="24"/>
          <w:lang w:eastAsia="en-US"/>
          <w14:ligatures w14:val="standardContextual"/>
        </w:rPr>
        <w:t>mero rezervui skirtos lėšos – 1 09</w:t>
      </w:r>
      <w:r w:rsidR="00B44287" w:rsidRPr="008D760D">
        <w:rPr>
          <w:rFonts w:eastAsia="Aptos"/>
          <w:kern w:val="2"/>
          <w:szCs w:val="24"/>
          <w:lang w:eastAsia="en-US"/>
          <w14:ligatures w14:val="standardContextual"/>
        </w:rPr>
        <w:t>6</w:t>
      </w:r>
      <w:r w:rsidR="00D26788" w:rsidRPr="00D26788">
        <w:rPr>
          <w:rFonts w:eastAsia="Aptos"/>
          <w:kern w:val="2"/>
          <w:szCs w:val="24"/>
          <w:lang w:eastAsia="en-US"/>
          <w14:ligatures w14:val="standardContextual"/>
        </w:rPr>
        <w:t>,</w:t>
      </w:r>
      <w:r w:rsidR="00B44287" w:rsidRPr="008D760D">
        <w:rPr>
          <w:rFonts w:eastAsia="Aptos"/>
          <w:kern w:val="2"/>
          <w:szCs w:val="24"/>
          <w:lang w:eastAsia="en-US"/>
          <w14:ligatures w14:val="standardContextual"/>
        </w:rPr>
        <w:t>7</w:t>
      </w:r>
      <w:r w:rsidR="00D26788" w:rsidRPr="00D26788">
        <w:rPr>
          <w:rFonts w:eastAsia="Aptos"/>
          <w:kern w:val="2"/>
          <w:szCs w:val="24"/>
          <w:lang w:eastAsia="en-US"/>
          <w14:ligatures w14:val="standardContextual"/>
        </w:rPr>
        <w:t xml:space="preserve"> tūkst.</w:t>
      </w:r>
      <w:r>
        <w:rPr>
          <w:rFonts w:eastAsia="Aptos"/>
          <w:kern w:val="2"/>
          <w:szCs w:val="24"/>
          <w:lang w:eastAsia="en-US"/>
          <w14:ligatures w14:val="standardContextual"/>
        </w:rPr>
        <w:t> </w:t>
      </w:r>
      <w:r w:rsidR="00D26788" w:rsidRPr="00D26788">
        <w:rPr>
          <w:rFonts w:eastAsia="Aptos"/>
          <w:kern w:val="2"/>
          <w:szCs w:val="24"/>
          <w:lang w:eastAsia="en-US"/>
          <w14:ligatures w14:val="standardContextual"/>
        </w:rPr>
        <w:t xml:space="preserve">Eur </w:t>
      </w:r>
      <w:r>
        <w:rPr>
          <w:rFonts w:eastAsia="Aptos"/>
          <w:kern w:val="2"/>
          <w:szCs w:val="24"/>
          <w:lang w:eastAsia="en-US"/>
          <w14:ligatures w14:val="standardContextual"/>
        </w:rPr>
        <w:t>–</w:t>
      </w:r>
      <w:r w:rsidR="00D26788" w:rsidRPr="00D26788">
        <w:rPr>
          <w:rFonts w:eastAsia="Aptos"/>
          <w:kern w:val="2"/>
          <w:szCs w:val="24"/>
          <w:lang w:eastAsia="en-US"/>
          <w14:ligatures w14:val="standardContextual"/>
        </w:rPr>
        <w:t xml:space="preserve"> </w:t>
      </w:r>
      <w:r>
        <w:rPr>
          <w:rFonts w:eastAsia="Aptos"/>
          <w:kern w:val="2"/>
          <w:szCs w:val="24"/>
          <w:lang w:eastAsia="en-US"/>
          <w14:ligatures w14:val="standardContextual"/>
        </w:rPr>
        <w:t xml:space="preserve">liko </w:t>
      </w:r>
      <w:r w:rsidR="00D26788" w:rsidRPr="00D26788">
        <w:rPr>
          <w:rFonts w:eastAsia="Aptos"/>
          <w:kern w:val="2"/>
          <w:szCs w:val="24"/>
          <w:lang w:eastAsia="en-US"/>
          <w14:ligatures w14:val="standardContextual"/>
        </w:rPr>
        <w:t>panaudotos.</w:t>
      </w:r>
      <w:r>
        <w:rPr>
          <w:rFonts w:eastAsia="Aptos"/>
          <w:kern w:val="2"/>
          <w:szCs w:val="24"/>
          <w:lang w:eastAsia="en-US"/>
          <w14:ligatures w14:val="standardContextual"/>
        </w:rPr>
        <w:t xml:space="preserve"> </w:t>
      </w:r>
    </w:p>
    <w:p w14:paraId="2DA01B8B" w14:textId="79A9B35E" w:rsidR="00D26788" w:rsidRPr="00D26788" w:rsidRDefault="00D26788" w:rsidP="00D26788">
      <w:pPr>
        <w:spacing w:line="360" w:lineRule="auto"/>
        <w:ind w:firstLine="1298"/>
        <w:jc w:val="both"/>
        <w:rPr>
          <w:rFonts w:eastAsia="Aptos"/>
          <w:kern w:val="2"/>
          <w:szCs w:val="24"/>
          <w:lang w:val="en-US" w:eastAsia="en-US"/>
          <w14:ligatures w14:val="standardContextual"/>
        </w:rPr>
      </w:pPr>
      <w:r w:rsidRPr="00D26788">
        <w:rPr>
          <w:rFonts w:eastAsia="Aptos"/>
          <w:kern w:val="2"/>
          <w:szCs w:val="24"/>
          <w:lang w:eastAsia="en-US"/>
          <w14:ligatures w14:val="standardContextual"/>
        </w:rPr>
        <w:t xml:space="preserve">Savivaldybės mero fondui, kuris sudaromas atstovavimo Savivaldybei Lietuvoje ir užsienyje (reprezentacinėms) išlaidoms finansuoti ir kuris nustatomas nedidinant bendrų Savivaldybės reprezentacijai skirtų lėšų, 2025 metų biudžeto išlaidų patikslintame plane buvo numatyta </w:t>
      </w:r>
      <w:r w:rsidR="008D760D" w:rsidRPr="008D760D">
        <w:rPr>
          <w:rFonts w:eastAsia="Aptos"/>
          <w:kern w:val="2"/>
          <w:szCs w:val="24"/>
          <w:lang w:eastAsia="en-US"/>
          <w14:ligatures w14:val="standardContextual"/>
        </w:rPr>
        <w:t>80,6</w:t>
      </w:r>
      <w:r w:rsidRPr="00D26788">
        <w:rPr>
          <w:rFonts w:eastAsia="Aptos"/>
          <w:kern w:val="2"/>
          <w:szCs w:val="24"/>
          <w:lang w:eastAsia="en-US"/>
          <w14:ligatures w14:val="standardContextual"/>
        </w:rPr>
        <w:t xml:space="preserve"> tūkst. Eur. </w:t>
      </w:r>
      <w:r w:rsidR="007F0D9D">
        <w:rPr>
          <w:rFonts w:eastAsia="Aptos"/>
          <w:kern w:val="2"/>
          <w:szCs w:val="24"/>
          <w:lang w:eastAsia="en-US"/>
          <w14:ligatures w14:val="standardContextual"/>
        </w:rPr>
        <w:t xml:space="preserve">Kadangi nebuvo </w:t>
      </w:r>
      <w:r w:rsidRPr="00D26788">
        <w:rPr>
          <w:rFonts w:eastAsia="Aptos"/>
          <w:kern w:val="2"/>
          <w:szCs w:val="24"/>
          <w:lang w:eastAsia="en-US"/>
          <w14:ligatures w14:val="standardContextual"/>
        </w:rPr>
        <w:t>poreikio,</w:t>
      </w:r>
      <w:r w:rsidR="007F0D9D">
        <w:rPr>
          <w:rFonts w:eastAsia="Aptos"/>
          <w:kern w:val="2"/>
          <w:szCs w:val="24"/>
          <w:lang w:eastAsia="en-US"/>
          <w14:ligatures w14:val="standardContextual"/>
        </w:rPr>
        <w:t xml:space="preserve"> Savivaldybės</w:t>
      </w:r>
      <w:r w:rsidRPr="00D26788">
        <w:rPr>
          <w:rFonts w:eastAsia="Aptos"/>
          <w:kern w:val="2"/>
          <w:szCs w:val="24"/>
          <w:lang w:eastAsia="en-US"/>
          <w14:ligatures w14:val="standardContextual"/>
        </w:rPr>
        <w:t xml:space="preserve"> mero fondui skirtos lėšos 2025</w:t>
      </w:r>
      <w:r w:rsidR="007F0D9D">
        <w:rPr>
          <w:rFonts w:eastAsia="Aptos"/>
          <w:kern w:val="2"/>
          <w:szCs w:val="24"/>
          <w:lang w:eastAsia="en-US"/>
          <w14:ligatures w14:val="standardContextual"/>
        </w:rPr>
        <w:t> </w:t>
      </w:r>
      <w:r w:rsidRPr="00D26788">
        <w:rPr>
          <w:rFonts w:eastAsia="Aptos"/>
          <w:kern w:val="2"/>
          <w:szCs w:val="24"/>
          <w:lang w:eastAsia="en-US"/>
          <w14:ligatures w14:val="standardContextual"/>
        </w:rPr>
        <w:t>metais nebuvo panaudotos.</w:t>
      </w:r>
      <w:r w:rsidR="007F0D9D">
        <w:rPr>
          <w:rFonts w:eastAsia="Aptos"/>
          <w:kern w:val="2"/>
          <w:szCs w:val="24"/>
          <w:lang w:eastAsia="en-US"/>
          <w14:ligatures w14:val="standardContextual"/>
        </w:rPr>
        <w:t xml:space="preserve"> </w:t>
      </w:r>
    </w:p>
    <w:p w14:paraId="724D6DBF" w14:textId="181FAE2E" w:rsidR="00D26788" w:rsidRPr="00D26788" w:rsidRDefault="00D26788" w:rsidP="00D26788">
      <w:pPr>
        <w:spacing w:line="360" w:lineRule="auto"/>
        <w:ind w:firstLine="1298"/>
        <w:jc w:val="both"/>
        <w:rPr>
          <w:rFonts w:eastAsia="Aptos"/>
          <w:kern w:val="2"/>
          <w:szCs w:val="24"/>
          <w:lang w:eastAsia="en-US"/>
          <w14:ligatures w14:val="standardContextual"/>
        </w:rPr>
      </w:pPr>
      <w:r w:rsidRPr="00D26788">
        <w:rPr>
          <w:rFonts w:eastAsia="Aptos"/>
          <w:kern w:val="2"/>
          <w:szCs w:val="24"/>
          <w:lang w:eastAsia="en-US"/>
          <w14:ligatures w14:val="standardContextual"/>
        </w:rPr>
        <w:t>Savivaldybės finansinės būklės požiūriu svarbu pažymėti, kad biudžeto lėšų mokėtina suma</w:t>
      </w:r>
      <w:r w:rsidR="007F0D9D">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 kartu su išlaidomis dėl finansinių įsipareigojimų vykdymo</w:t>
      </w:r>
      <w:r w:rsidR="007F0D9D">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2025 m. gruodžio 31 d. sudarė 89 142,1 tūkst. </w:t>
      </w:r>
      <w:r w:rsidR="007F0D9D">
        <w:rPr>
          <w:rFonts w:eastAsia="Aptos"/>
          <w:kern w:val="2"/>
          <w:szCs w:val="24"/>
          <w:lang w:eastAsia="en-US"/>
          <w14:ligatures w14:val="standardContextual"/>
        </w:rPr>
        <w:t xml:space="preserve">Eur </w:t>
      </w:r>
      <w:r w:rsidRPr="00D26788">
        <w:rPr>
          <w:rFonts w:eastAsia="Aptos"/>
          <w:kern w:val="2"/>
          <w:szCs w:val="24"/>
          <w:lang w:eastAsia="en-US"/>
          <w14:ligatures w14:val="standardContextual"/>
        </w:rPr>
        <w:t>ir, palyginti su 2024 m. gruodžio 31 d., padidėjo 8</w:t>
      </w:r>
      <w:r w:rsidR="001658BB" w:rsidRPr="001658BB">
        <w:rPr>
          <w:rFonts w:eastAsia="Aptos"/>
          <w:kern w:val="2"/>
          <w:szCs w:val="24"/>
          <w:lang w:eastAsia="en-US"/>
          <w14:ligatures w14:val="standardContextual"/>
        </w:rPr>
        <w:t> </w:t>
      </w:r>
      <w:r w:rsidRPr="00D26788">
        <w:rPr>
          <w:rFonts w:eastAsia="Aptos"/>
          <w:kern w:val="2"/>
          <w:szCs w:val="24"/>
          <w:lang w:eastAsia="en-US"/>
          <w14:ligatures w14:val="standardContextual"/>
        </w:rPr>
        <w:t>948,6 tūkst. Eur arba 11,2</w:t>
      </w:r>
      <w:r w:rsidR="007F0D9D">
        <w:rPr>
          <w:rFonts w:eastAsia="Aptos"/>
          <w:kern w:val="2"/>
          <w:szCs w:val="24"/>
          <w:lang w:eastAsia="en-US"/>
          <w14:ligatures w14:val="standardContextual"/>
        </w:rPr>
        <w:t> </w:t>
      </w:r>
      <w:r w:rsidRPr="00D26788">
        <w:rPr>
          <w:rFonts w:eastAsia="Aptos"/>
          <w:kern w:val="2"/>
          <w:szCs w:val="24"/>
          <w:lang w:eastAsia="en-US"/>
          <w14:ligatures w14:val="standardContextual"/>
        </w:rPr>
        <w:t>proc</w:t>
      </w:r>
      <w:r w:rsidR="007F0D9D">
        <w:rPr>
          <w:rFonts w:eastAsia="Aptos"/>
          <w:kern w:val="2"/>
          <w:szCs w:val="24"/>
          <w:lang w:eastAsia="en-US"/>
          <w14:ligatures w14:val="standardContextual"/>
        </w:rPr>
        <w:t>ento</w:t>
      </w:r>
      <w:r w:rsidRPr="00D26788">
        <w:rPr>
          <w:rFonts w:eastAsia="Aptos"/>
          <w:kern w:val="2"/>
          <w:szCs w:val="24"/>
          <w:lang w:eastAsia="en-US"/>
          <w14:ligatures w14:val="standardContextual"/>
        </w:rPr>
        <w:t>. Trumpalaikė mokėtina suma padidėjo 3 161,8 tūkst. Eur. Finansinių įsipareigojimų vykdymo išlaidos padidėjo 5 786,8 tūkst. Eur, nes 2025 metais iš Europos Tarybos vystymo banko buvo gauta 13 000,00 tūkst. Eur ilgalaikė paskola baseinų infrastruktūr</w:t>
      </w:r>
      <w:r w:rsidR="007F0D9D">
        <w:rPr>
          <w:rFonts w:eastAsia="Aptos"/>
          <w:kern w:val="2"/>
          <w:szCs w:val="24"/>
          <w:lang w:eastAsia="en-US"/>
          <w14:ligatures w14:val="standardContextual"/>
        </w:rPr>
        <w:t>ai</w:t>
      </w:r>
      <w:r w:rsidRPr="00D26788">
        <w:rPr>
          <w:rFonts w:eastAsia="Aptos"/>
          <w:kern w:val="2"/>
          <w:szCs w:val="24"/>
          <w:lang w:eastAsia="en-US"/>
          <w14:ligatures w14:val="standardContextual"/>
        </w:rPr>
        <w:t xml:space="preserve"> gerin</w:t>
      </w:r>
      <w:r w:rsidR="007F0D9D">
        <w:rPr>
          <w:rFonts w:eastAsia="Aptos"/>
          <w:kern w:val="2"/>
          <w:szCs w:val="24"/>
          <w:lang w:eastAsia="en-US"/>
          <w14:ligatures w14:val="standardContextual"/>
        </w:rPr>
        <w:t xml:space="preserve">ti ir </w:t>
      </w:r>
      <w:r w:rsidRPr="00D26788">
        <w:rPr>
          <w:rFonts w:eastAsia="Aptos"/>
          <w:kern w:val="2"/>
          <w:szCs w:val="24"/>
          <w:lang w:eastAsia="en-US"/>
          <w14:ligatures w14:val="standardContextual"/>
        </w:rPr>
        <w:t>Rotušės aikštės rekonstravimo darbams finansuoti, o pagal su kredito įstaigomis pasirašytas ilgalaikių paskolų sutartis grąžinta 7 213,2 tūkst. Eur. Mokėtinų sumų iš skolintų lėšų 2025 m. gruodžio 31 d. nebuvo.</w:t>
      </w:r>
      <w:r w:rsidR="007F0D9D">
        <w:rPr>
          <w:rFonts w:eastAsia="Aptos"/>
          <w:kern w:val="2"/>
          <w:szCs w:val="24"/>
          <w:lang w:eastAsia="en-US"/>
          <w14:ligatures w14:val="standardContextual"/>
        </w:rPr>
        <w:t xml:space="preserve"> </w:t>
      </w:r>
    </w:p>
    <w:p w14:paraId="1F7838D1" w14:textId="37FF1922" w:rsidR="00D26788" w:rsidRPr="00D26788" w:rsidRDefault="00D26788" w:rsidP="00D26788">
      <w:pPr>
        <w:spacing w:line="360" w:lineRule="auto"/>
        <w:ind w:firstLine="1296"/>
        <w:jc w:val="both"/>
        <w:rPr>
          <w:rFonts w:eastAsia="Aptos"/>
          <w:kern w:val="2"/>
          <w:szCs w:val="24"/>
          <w:lang w:eastAsia="en-US"/>
          <w14:ligatures w14:val="standardContextual"/>
        </w:rPr>
      </w:pPr>
      <w:r w:rsidRPr="00887130">
        <w:rPr>
          <w:rFonts w:eastAsia="Aptos"/>
          <w:b/>
          <w:bCs/>
          <w:kern w:val="2"/>
          <w:szCs w:val="24"/>
          <w:lang w:eastAsia="en-US"/>
          <w14:ligatures w14:val="standardContextual"/>
        </w:rPr>
        <w:t>Mokesčių politikos srityje</w:t>
      </w:r>
      <w:r w:rsidRPr="00D26788">
        <w:rPr>
          <w:rFonts w:eastAsia="Aptos"/>
          <w:kern w:val="2"/>
          <w:szCs w:val="24"/>
          <w:lang w:eastAsia="en-US"/>
          <w14:ligatures w14:val="standardContextual"/>
        </w:rPr>
        <w:t xml:space="preserve"> 2025 metais buvo tęsiamas Savivaldybei tenkančių mokesčių bazės stiprinimas ir kryptingas mokesčių administravimo efektyvumo didinimas. Atsižvelgiant į išaugusias nekilnojamojo turto vidutines rinkos vertes, 2025 metais priimtas </w:t>
      </w:r>
      <w:r w:rsidR="007F0D9D">
        <w:rPr>
          <w:rFonts w:eastAsia="Aptos"/>
          <w:kern w:val="2"/>
          <w:szCs w:val="24"/>
          <w:lang w:eastAsia="en-US"/>
          <w14:ligatures w14:val="standardContextual"/>
        </w:rPr>
        <w:t>Savivaldybės t</w:t>
      </w:r>
      <w:r w:rsidRPr="00D26788">
        <w:rPr>
          <w:rFonts w:eastAsia="Aptos"/>
          <w:kern w:val="2"/>
          <w:szCs w:val="24"/>
          <w:lang w:eastAsia="en-US"/>
          <w14:ligatures w14:val="standardContextual"/>
        </w:rPr>
        <w:t>arybos sprendimas nuo 2026 metų Savivaldybėje komerciniam nekilnojamajam turtui taikyti minimalųjį 0,5</w:t>
      </w:r>
      <w:r w:rsidR="007F0D9D">
        <w:rPr>
          <w:rFonts w:eastAsia="Aptos"/>
          <w:kern w:val="2"/>
          <w:szCs w:val="24"/>
          <w:lang w:eastAsia="en-US"/>
          <w14:ligatures w14:val="standardContextual"/>
        </w:rPr>
        <w:t> </w:t>
      </w:r>
      <w:r w:rsidRPr="00D26788">
        <w:rPr>
          <w:rFonts w:eastAsia="Aptos"/>
          <w:kern w:val="2"/>
          <w:szCs w:val="24"/>
          <w:lang w:eastAsia="en-US"/>
          <w14:ligatures w14:val="standardContextual"/>
        </w:rPr>
        <w:t>proc. nekilnojamojo turto mokestinės vertės tarifą (2025 metais buvo taikomi 0,7 proc. ir 1</w:t>
      </w:r>
      <w:r w:rsidR="007F0D9D">
        <w:rPr>
          <w:rFonts w:eastAsia="Aptos"/>
          <w:kern w:val="2"/>
          <w:szCs w:val="24"/>
          <w:lang w:eastAsia="en-US"/>
          <w14:ligatures w14:val="standardContextual"/>
        </w:rPr>
        <w:t> </w:t>
      </w:r>
      <w:r w:rsidRPr="00D26788">
        <w:rPr>
          <w:rFonts w:eastAsia="Aptos"/>
          <w:kern w:val="2"/>
          <w:szCs w:val="24"/>
          <w:lang w:eastAsia="en-US"/>
          <w14:ligatures w14:val="standardContextual"/>
        </w:rPr>
        <w:t>proc. tarifai). Apleistam ir neprižiūrimam nekilnojamajam turtui nustatytas maksimalus 5</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proc. nekilnojamojo turto mokestinės vertės tarifas. Savivaldybėje įgyvendinant efektyvesnę žemės nuomos mokesčio surinkimo politiką (mokesčio bazės plėtimas, skolų administravimas bei išieškojimas, kt.), 2025 metais į Savivaldybės biudžetą surinkta 400,7 tūkst. Eur (arba 13,8</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proc.) daugiau valstybinės žemės nuomos mokesčio (planuota 2 900 tūkst. Eur, gauta 3 300,7 tūkst. Eur), o šio mokesčio nepriemoka sumažinta 418,9 tūkst. Eur. Pajamų iš verslo liudijimų planas viršytas 508,9</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tūkst. Eur (arba 23,1 proc.).</w:t>
      </w:r>
      <w:r w:rsidR="005F12F2">
        <w:rPr>
          <w:rFonts w:eastAsia="Aptos"/>
          <w:kern w:val="2"/>
          <w:szCs w:val="24"/>
          <w:lang w:eastAsia="en-US"/>
          <w14:ligatures w14:val="standardContextual"/>
        </w:rPr>
        <w:t xml:space="preserve"> </w:t>
      </w:r>
    </w:p>
    <w:p w14:paraId="62286A4A" w14:textId="5E3B1250"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 xml:space="preserve">Savivaldybės </w:t>
      </w:r>
      <w:r w:rsidRPr="00D26788">
        <w:rPr>
          <w:rFonts w:eastAsia="Aptos"/>
          <w:b/>
          <w:bCs/>
          <w:kern w:val="2"/>
          <w:szCs w:val="24"/>
          <w:lang w:eastAsia="en-US"/>
          <w14:ligatures w14:val="standardContextual"/>
        </w:rPr>
        <w:t>turto valdymo srityje</w:t>
      </w:r>
      <w:r w:rsidRPr="00D26788">
        <w:rPr>
          <w:rFonts w:eastAsia="Aptos"/>
          <w:kern w:val="2"/>
          <w:szCs w:val="24"/>
          <w:lang w:eastAsia="en-US"/>
          <w14:ligatures w14:val="standardContextual"/>
        </w:rPr>
        <w:t xml:space="preserve"> 2025 metų pabaigoje Kauno miesto savivaldybė nuosavybės teise valdė 75 žemės sklypus ir 7 980 nekilnojamojo turto (NT) vienetų (NT vienetas – Nekilnojamojo turto registre įregistruotas nekilnojamasis daiktas (statinys, jo dalis), kuriam suteiktas unikalusis numeris), iš jų:</w:t>
      </w:r>
      <w:r w:rsidR="00887130">
        <w:rPr>
          <w:rFonts w:eastAsia="Aptos"/>
          <w:kern w:val="2"/>
          <w:szCs w:val="24"/>
          <w:lang w:eastAsia="en-US"/>
          <w14:ligatures w14:val="standardContextual"/>
        </w:rPr>
        <w:t xml:space="preserve"> </w:t>
      </w:r>
    </w:p>
    <w:p w14:paraId="438273D9" w14:textId="00138216"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lastRenderedPageBreak/>
        <w:t>4</w:t>
      </w:r>
      <w:r w:rsidR="00595E27">
        <w:rPr>
          <w:rFonts w:eastAsia="Aptos"/>
          <w:kern w:val="2"/>
          <w:szCs w:val="24"/>
          <w:lang w:eastAsia="en-US"/>
          <w14:ligatures w14:val="standardContextual"/>
        </w:rPr>
        <w:t> </w:t>
      </w:r>
      <w:r w:rsidRPr="00D26788">
        <w:rPr>
          <w:rFonts w:eastAsia="Aptos"/>
          <w:kern w:val="2"/>
          <w:szCs w:val="24"/>
          <w:lang w:eastAsia="en-US"/>
          <w14:ligatures w14:val="standardContextual"/>
        </w:rPr>
        <w:t>410 pastatus (patalpas, jų dalis), kurių bendras plotas 1</w:t>
      </w:r>
      <w:r w:rsidR="00595E27">
        <w:rPr>
          <w:rFonts w:eastAsia="Aptos"/>
          <w:kern w:val="2"/>
          <w:szCs w:val="24"/>
          <w:lang w:eastAsia="en-US"/>
          <w14:ligatures w14:val="standardContextual"/>
        </w:rPr>
        <w:t> </w:t>
      </w:r>
      <w:r w:rsidRPr="00D26788">
        <w:rPr>
          <w:rFonts w:eastAsia="Aptos"/>
          <w:kern w:val="2"/>
          <w:szCs w:val="24"/>
          <w:lang w:eastAsia="en-US"/>
          <w14:ligatures w14:val="standardContextual"/>
        </w:rPr>
        <w:t xml:space="preserve">170,7 tūkst. kv. m; </w:t>
      </w:r>
    </w:p>
    <w:p w14:paraId="7EA312EF" w14:textId="06F1FCC8"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3</w:t>
      </w:r>
      <w:r w:rsidR="00595E27">
        <w:rPr>
          <w:rFonts w:eastAsia="Aptos"/>
          <w:kern w:val="2"/>
          <w:szCs w:val="24"/>
          <w:lang w:eastAsia="en-US"/>
          <w14:ligatures w14:val="standardContextual"/>
        </w:rPr>
        <w:t> </w:t>
      </w:r>
      <w:r w:rsidRPr="00D26788">
        <w:rPr>
          <w:rFonts w:eastAsia="Aptos"/>
          <w:kern w:val="2"/>
          <w:szCs w:val="24"/>
          <w:lang w:eastAsia="en-US"/>
          <w14:ligatures w14:val="standardContextual"/>
        </w:rPr>
        <w:t>570 inžinerinių statinių;</w:t>
      </w:r>
      <w:r w:rsidR="00887130">
        <w:rPr>
          <w:rFonts w:eastAsia="Aptos"/>
          <w:kern w:val="2"/>
          <w:szCs w:val="24"/>
          <w:lang w:eastAsia="en-US"/>
          <w14:ligatures w14:val="standardContextual"/>
        </w:rPr>
        <w:t xml:space="preserve"> </w:t>
      </w:r>
    </w:p>
    <w:p w14:paraId="511A697D" w14:textId="1CF6B5B5"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 xml:space="preserve">1 154 NT vienetus (1 022,91 tūkst. kv. m ploto) </w:t>
      </w:r>
      <w:r w:rsidR="00887130">
        <w:rPr>
          <w:rFonts w:eastAsia="Aptos"/>
          <w:kern w:val="2"/>
          <w:szCs w:val="24"/>
          <w:lang w:eastAsia="en-US"/>
          <w14:ligatures w14:val="standardContextual"/>
        </w:rPr>
        <w:t>–</w:t>
      </w:r>
      <w:r w:rsidRPr="00D26788">
        <w:rPr>
          <w:rFonts w:eastAsia="Aptos"/>
          <w:kern w:val="2"/>
          <w:szCs w:val="24"/>
          <w:lang w:eastAsia="en-US"/>
          <w14:ligatures w14:val="standardContextual"/>
        </w:rPr>
        <w:t xml:space="preserve"> negyvenamosios paskirties pastatus, kurių 56</w:t>
      </w:r>
      <w:r w:rsidR="00887130">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proc. ploto </w:t>
      </w:r>
      <w:r w:rsidR="00887130">
        <w:rPr>
          <w:rFonts w:eastAsia="Aptos"/>
          <w:kern w:val="2"/>
          <w:szCs w:val="24"/>
          <w:lang w:eastAsia="en-US"/>
          <w14:ligatures w14:val="standardContextual"/>
        </w:rPr>
        <w:t>–</w:t>
      </w:r>
      <w:r w:rsidRPr="00D26788">
        <w:rPr>
          <w:rFonts w:eastAsia="Aptos"/>
          <w:kern w:val="2"/>
          <w:szCs w:val="24"/>
          <w:lang w:eastAsia="en-US"/>
          <w14:ligatures w14:val="standardContextual"/>
        </w:rPr>
        <w:t xml:space="preserve"> mokslo paskirties pastatai; </w:t>
      </w:r>
    </w:p>
    <w:p w14:paraId="7D4DB440" w14:textId="5B4F760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3 256 NT vienetus (147,8 tūkst. kv. m</w:t>
      </w:r>
      <w:r w:rsidR="00887130">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 xml:space="preserve">ploto) </w:t>
      </w:r>
      <w:r w:rsidR="00887130">
        <w:rPr>
          <w:rFonts w:eastAsia="Aptos"/>
          <w:kern w:val="2"/>
          <w:szCs w:val="24"/>
          <w:lang w:eastAsia="en-US"/>
          <w14:ligatures w14:val="standardContextual"/>
        </w:rPr>
        <w:t>–</w:t>
      </w:r>
      <w:r w:rsidRPr="00D26788">
        <w:rPr>
          <w:rFonts w:eastAsia="Aptos"/>
          <w:kern w:val="2"/>
          <w:szCs w:val="24"/>
          <w:lang w:eastAsia="en-US"/>
          <w14:ligatures w14:val="standardContextual"/>
        </w:rPr>
        <w:t xml:space="preserve"> gyvenamosios paskirties pastatus, patalpas;</w:t>
      </w:r>
      <w:r w:rsidR="00887130">
        <w:rPr>
          <w:rFonts w:eastAsia="Aptos"/>
          <w:kern w:val="2"/>
          <w:szCs w:val="24"/>
          <w:lang w:eastAsia="en-US"/>
          <w14:ligatures w14:val="standardContextual"/>
        </w:rPr>
        <w:t xml:space="preserve"> </w:t>
      </w:r>
    </w:p>
    <w:p w14:paraId="29090545" w14:textId="7EE0EFC9"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3 036 NT vienetus (3 040 būstų; 131,6 tūkst. kv. m ploto), įtrauktus į Savivaldybės būsto fondo sąrašą.</w:t>
      </w:r>
      <w:r w:rsidR="00887130">
        <w:rPr>
          <w:rFonts w:eastAsia="Aptos"/>
          <w:kern w:val="2"/>
          <w:szCs w:val="24"/>
          <w:lang w:eastAsia="en-US"/>
          <w14:ligatures w14:val="standardContextual"/>
        </w:rPr>
        <w:t xml:space="preserve"> </w:t>
      </w:r>
    </w:p>
    <w:p w14:paraId="5A1BF205" w14:textId="2FC31CFC"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Įgyvendinant Savivaldybės politiką nekilnojamojo turto valdymo srityje, neplanuojamo naudoti Savivaldybės funkcijoms vykdyti turto kiekis mažinamas jį nuomojant, parduodant, perduodant VĮ „Turto bankas“ ar griaunant.</w:t>
      </w:r>
      <w:r w:rsidR="00887130">
        <w:rPr>
          <w:rFonts w:eastAsia="Aptos"/>
          <w:kern w:val="2"/>
          <w:szCs w:val="24"/>
          <w:lang w:eastAsia="en-US"/>
          <w14:ligatures w14:val="standardContextual"/>
        </w:rPr>
        <w:t xml:space="preserve"> </w:t>
      </w:r>
    </w:p>
    <w:p w14:paraId="7D208E5E" w14:textId="2DE437DE"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2025 m. gruodžio 31 d. Savivaldybės valdomo menkaverčio, nenaudojamo ir neplanuojamo naudoti (arba dėl kurių panaudojimo Savivaldybės funkcijoms vykdyti nepriimtas galutinis sprendimas) turto (pastatų, patalpų, jų dalių) ploto dalis nuo viso valdomo turto (pastatų, patalpų, jų dalių) ploto sudarė 2,6 proc</w:t>
      </w:r>
      <w:r w:rsidR="00887130">
        <w:rPr>
          <w:rFonts w:eastAsia="Aptos"/>
          <w:kern w:val="2"/>
          <w:szCs w:val="24"/>
          <w:lang w:eastAsia="en-US"/>
          <w14:ligatures w14:val="standardContextual"/>
        </w:rPr>
        <w:t>ento</w:t>
      </w:r>
      <w:r w:rsidRPr="00D26788">
        <w:rPr>
          <w:rFonts w:eastAsia="Aptos"/>
          <w:kern w:val="2"/>
          <w:szCs w:val="24"/>
          <w:lang w:eastAsia="en-US"/>
          <w14:ligatures w14:val="standardContextual"/>
        </w:rPr>
        <w:t xml:space="preserve">. </w:t>
      </w:r>
    </w:p>
    <w:p w14:paraId="6502A335" w14:textId="7C1FCABD"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Siekiant efektyv</w:t>
      </w:r>
      <w:r w:rsidR="005F12F2">
        <w:rPr>
          <w:rFonts w:eastAsia="Aptos"/>
          <w:kern w:val="2"/>
          <w:szCs w:val="24"/>
          <w:lang w:eastAsia="en-US"/>
          <w14:ligatures w14:val="standardContextual"/>
        </w:rPr>
        <w:t xml:space="preserve">iai valdyti </w:t>
      </w:r>
      <w:r w:rsidRPr="00D26788">
        <w:rPr>
          <w:rFonts w:eastAsia="Aptos"/>
          <w:kern w:val="2"/>
          <w:szCs w:val="24"/>
          <w:lang w:eastAsia="en-US"/>
          <w14:ligatures w14:val="standardContextual"/>
        </w:rPr>
        <w:t>Savivaldybės turt</w:t>
      </w:r>
      <w:r w:rsidR="005F12F2">
        <w:rPr>
          <w:rFonts w:eastAsia="Aptos"/>
          <w:kern w:val="2"/>
          <w:szCs w:val="24"/>
          <w:lang w:eastAsia="en-US"/>
          <w14:ligatures w14:val="standardContextual"/>
        </w:rPr>
        <w:t>ą</w:t>
      </w:r>
      <w:r w:rsidRPr="00D26788">
        <w:rPr>
          <w:rFonts w:eastAsia="Aptos"/>
          <w:kern w:val="2"/>
          <w:szCs w:val="24"/>
          <w:lang w:eastAsia="en-US"/>
          <w14:ligatures w14:val="standardContextual"/>
        </w:rPr>
        <w:t>, 2025 metais:</w:t>
      </w:r>
      <w:r w:rsidR="00887130">
        <w:rPr>
          <w:rFonts w:eastAsia="Aptos"/>
          <w:kern w:val="2"/>
          <w:szCs w:val="24"/>
          <w:lang w:eastAsia="en-US"/>
          <w14:ligatures w14:val="standardContextual"/>
        </w:rPr>
        <w:t xml:space="preserve"> </w:t>
      </w:r>
    </w:p>
    <w:p w14:paraId="313C1A39" w14:textId="7777777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 xml:space="preserve">suorganizuoti ir įvykdyti 72 parduodamo nekilnojamojo turto vieši aukcionai; </w:t>
      </w:r>
    </w:p>
    <w:p w14:paraId="69C6BABF" w14:textId="1D66728D"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priimti 79 Savivaldybės tarybos sprendimai dėl Savivaldybės būsto ir pagalbinio ūkio paskirties pastatų pardavimo;</w:t>
      </w:r>
      <w:r w:rsidR="00887130">
        <w:rPr>
          <w:rFonts w:eastAsia="Aptos"/>
          <w:kern w:val="2"/>
          <w:szCs w:val="24"/>
          <w:lang w:eastAsia="en-US"/>
          <w14:ligatures w14:val="standardContextual"/>
        </w:rPr>
        <w:t xml:space="preserve"> </w:t>
      </w:r>
    </w:p>
    <w:p w14:paraId="07F71A84" w14:textId="74B82389"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sudaryti 135 nekilnojamojo turto pardavimo sandoriai.</w:t>
      </w:r>
      <w:r w:rsidR="00887130">
        <w:rPr>
          <w:rFonts w:eastAsia="Aptos"/>
          <w:kern w:val="2"/>
          <w:szCs w:val="24"/>
          <w:lang w:eastAsia="en-US"/>
          <w14:ligatures w14:val="standardContextual"/>
        </w:rPr>
        <w:t xml:space="preserve"> </w:t>
      </w:r>
    </w:p>
    <w:p w14:paraId="5C78911B" w14:textId="44E0C826" w:rsidR="00D26788" w:rsidRPr="00D26788" w:rsidRDefault="00D26788" w:rsidP="006418E4">
      <w:pPr>
        <w:spacing w:line="360" w:lineRule="auto"/>
        <w:jc w:val="both"/>
        <w:rPr>
          <w:rFonts w:eastAsia="Aptos"/>
          <w:kern w:val="2"/>
          <w:szCs w:val="24"/>
          <w:lang w:eastAsia="en-US"/>
          <w14:ligatures w14:val="standardContextual"/>
        </w:rPr>
      </w:pPr>
      <w:r w:rsidRPr="00D26788">
        <w:rPr>
          <w:rFonts w:eastAsia="Aptos"/>
          <w:kern w:val="2"/>
          <w:szCs w:val="24"/>
          <w:lang w:eastAsia="en-US"/>
          <w14:ligatures w14:val="standardContextual"/>
        </w:rPr>
        <w:tab/>
        <w:t>Socialinio būsto fondo efektyvus administravimas 2025 metais išliko viena svarbiausių savivaldybės turto valdymo sričių. Savivaldybės būsto fondą sudarė apie 3</w:t>
      </w:r>
      <w:r w:rsidR="00E86A72" w:rsidRPr="00E86A72">
        <w:rPr>
          <w:rFonts w:eastAsia="Aptos"/>
          <w:kern w:val="2"/>
          <w:szCs w:val="24"/>
          <w:lang w:eastAsia="en-US"/>
          <w14:ligatures w14:val="standardContextual"/>
        </w:rPr>
        <w:t> </w:t>
      </w:r>
      <w:r w:rsidRPr="00D26788">
        <w:rPr>
          <w:rFonts w:eastAsia="Aptos"/>
          <w:kern w:val="2"/>
          <w:szCs w:val="24"/>
          <w:lang w:eastAsia="en-US"/>
          <w14:ligatures w14:val="standardContextual"/>
        </w:rPr>
        <w:t>040 būstų. 2025 metais į socialinio būsto fondą buvo susigrąžinta 60 būstų, socialinio būsto nuomai perduoti 167 būstai, atlikti 95 butų remontai ir 132 smulkūs remonto darbai, o 51 būstas buvo išnuomotas be remonto poreikio. Atlikus 253 nuomos sutarčių peržiūrą, 36 sutartys nebuvo pratęstos. Būsto nuomininkų, kurių įsiskolinimas viršija 6 mėnesių būsto nuomos mokesčio sumą, skola sumažėjo 37,7 proc</w:t>
      </w:r>
      <w:r w:rsidR="00887130">
        <w:rPr>
          <w:rFonts w:eastAsia="Aptos"/>
          <w:kern w:val="2"/>
          <w:szCs w:val="24"/>
          <w:lang w:eastAsia="en-US"/>
          <w14:ligatures w14:val="standardContextual"/>
        </w:rPr>
        <w:t>ento</w:t>
      </w:r>
      <w:r w:rsidRPr="00D26788">
        <w:rPr>
          <w:rFonts w:eastAsia="Aptos"/>
          <w:kern w:val="2"/>
          <w:szCs w:val="24"/>
          <w:lang w:eastAsia="en-US"/>
          <w14:ligatures w14:val="standardContextual"/>
        </w:rPr>
        <w:t>.</w:t>
      </w:r>
      <w:r w:rsidR="00887130">
        <w:rPr>
          <w:rFonts w:eastAsia="Aptos"/>
          <w:kern w:val="2"/>
          <w:szCs w:val="24"/>
          <w:lang w:eastAsia="en-US"/>
          <w14:ligatures w14:val="standardContextual"/>
        </w:rPr>
        <w:t xml:space="preserve"> </w:t>
      </w:r>
    </w:p>
    <w:p w14:paraId="1863AD1A" w14:textId="4DC3E348"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Valstybinės žemės administravimo srityje 2025 metais Kauno miesto savivaldybė patikėjimo teise valdė 5</w:t>
      </w:r>
      <w:r w:rsidR="00E86A72" w:rsidRPr="00E86A72">
        <w:rPr>
          <w:rFonts w:eastAsia="Aptos"/>
          <w:kern w:val="2"/>
          <w:szCs w:val="24"/>
          <w:lang w:eastAsia="en-US"/>
          <w14:ligatures w14:val="standardContextual"/>
        </w:rPr>
        <w:t> </w:t>
      </w:r>
      <w:r w:rsidRPr="00D26788">
        <w:rPr>
          <w:rFonts w:eastAsia="Aptos"/>
          <w:kern w:val="2"/>
          <w:szCs w:val="24"/>
          <w:lang w:eastAsia="en-US"/>
          <w14:ligatures w14:val="standardContextual"/>
        </w:rPr>
        <w:t>653 valstybinės žemės sklypus (ar jų dalis) bei žemės sklypais nesuformuotos valstybinės žemės plotus, kurių bendras plotas sudarė 4</w:t>
      </w:r>
      <w:r w:rsidR="00E86A72" w:rsidRPr="00E86A72">
        <w:rPr>
          <w:rFonts w:eastAsia="Aptos"/>
          <w:kern w:val="2"/>
          <w:szCs w:val="24"/>
          <w:lang w:eastAsia="en-US"/>
          <w14:ligatures w14:val="standardContextual"/>
        </w:rPr>
        <w:t> </w:t>
      </w:r>
      <w:r w:rsidRPr="00D26788">
        <w:rPr>
          <w:rFonts w:eastAsia="Aptos"/>
          <w:kern w:val="2"/>
          <w:szCs w:val="24"/>
          <w:lang w:eastAsia="en-US"/>
          <w14:ligatures w14:val="standardContextual"/>
        </w:rPr>
        <w:t>733,2075 ha. Per metus įregistruoti 484</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 xml:space="preserve">nauji sklypai. </w:t>
      </w:r>
    </w:p>
    <w:p w14:paraId="42F46E53" w14:textId="7BB59C11"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Įgyvendinant funkcijas valstybinės žemės valdymo ir administravimo srityse:</w:t>
      </w:r>
      <w:r w:rsidR="00887130">
        <w:rPr>
          <w:rFonts w:eastAsia="Aptos"/>
          <w:kern w:val="2"/>
          <w:szCs w:val="24"/>
          <w:lang w:eastAsia="en-US"/>
          <w14:ligatures w14:val="standardContextual"/>
        </w:rPr>
        <w:t xml:space="preserve"> </w:t>
      </w:r>
    </w:p>
    <w:p w14:paraId="3639429D" w14:textId="09913424"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 xml:space="preserve">parengta daugiau kaip 800 Savivaldybės teisės aktų dėl žemės sklypų dalių nustatymo, žemės sklypų (jų dalių) nuomos ar perdavimo neatlygintinai naudotis (panauda), nuomos teisės </w:t>
      </w:r>
      <w:r w:rsidRPr="00D26788">
        <w:rPr>
          <w:rFonts w:eastAsia="Aptos"/>
          <w:kern w:val="2"/>
          <w:szCs w:val="24"/>
          <w:lang w:eastAsia="en-US"/>
          <w14:ligatures w14:val="standardContextual"/>
        </w:rPr>
        <w:lastRenderedPageBreak/>
        <w:t>perleidimo ar įkeitimo, servitutų nustatymo sandoriu ar bendraturčių teisių įgyvendinimo (naudojimosi tvarkos nustatymo);</w:t>
      </w:r>
      <w:r w:rsidR="00887130">
        <w:rPr>
          <w:rFonts w:eastAsia="Aptos"/>
          <w:kern w:val="2"/>
          <w:szCs w:val="24"/>
          <w:lang w:eastAsia="en-US"/>
          <w14:ligatures w14:val="standardContextual"/>
        </w:rPr>
        <w:t xml:space="preserve"> </w:t>
      </w:r>
    </w:p>
    <w:p w14:paraId="4DBD606B" w14:textId="7440E40C"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išnagrinėti 1 692 asmenų prašymai dėl valstybinės žemės patikėtinio sutikimų tiesti susisiekimo komunikacijas, inžinerinius tinklus nesuformuotoje valstybinėje žemėje, statyti ar rekonstruoti statinius neišlaikant norminio atstumo, naudoti valstybinę žemę statybos metu ir kt.;</w:t>
      </w:r>
      <w:r w:rsidR="00887130">
        <w:rPr>
          <w:rFonts w:eastAsia="Aptos"/>
          <w:kern w:val="2"/>
          <w:szCs w:val="24"/>
          <w:lang w:eastAsia="en-US"/>
          <w14:ligatures w14:val="standardContextual"/>
        </w:rPr>
        <w:t xml:space="preserve"> </w:t>
      </w:r>
    </w:p>
    <w:p w14:paraId="7528CB79" w14:textId="5DD686A6"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išduota (ar atsisakyta išduoti) daugiau kaip 2 000 įvairių rūšių sutikimų;</w:t>
      </w:r>
      <w:r w:rsidR="00887130">
        <w:rPr>
          <w:rFonts w:eastAsia="Aptos"/>
          <w:kern w:val="2"/>
          <w:szCs w:val="24"/>
          <w:lang w:eastAsia="en-US"/>
          <w14:ligatures w14:val="standardContextual"/>
        </w:rPr>
        <w:t xml:space="preserve"> </w:t>
      </w:r>
    </w:p>
    <w:p w14:paraId="3912E2A9" w14:textId="0DE7B248"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sudarytos 345 nuomos ir panaudos sutartys;</w:t>
      </w:r>
      <w:r w:rsidR="00887130">
        <w:rPr>
          <w:rFonts w:eastAsia="Aptos"/>
          <w:kern w:val="2"/>
          <w:szCs w:val="24"/>
          <w:lang w:eastAsia="en-US"/>
          <w14:ligatures w14:val="standardContextual"/>
        </w:rPr>
        <w:t xml:space="preserve"> </w:t>
      </w:r>
    </w:p>
    <w:p w14:paraId="248E310F" w14:textId="13270308"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išduoti 174 sutikimai perleisti ar įkeisti nuomos teisę bei subnuomoti;</w:t>
      </w:r>
      <w:r w:rsidR="00887130">
        <w:rPr>
          <w:rFonts w:eastAsia="Aptos"/>
          <w:kern w:val="2"/>
          <w:szCs w:val="24"/>
          <w:lang w:eastAsia="en-US"/>
          <w14:ligatures w14:val="standardContextual"/>
        </w:rPr>
        <w:t xml:space="preserve"> </w:t>
      </w:r>
    </w:p>
    <w:p w14:paraId="7DFCC0BF" w14:textId="4544FF16"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patvirtinti 144 notariniai sandoriai dėl servitutų nustatymo;</w:t>
      </w:r>
      <w:r w:rsidR="00887130">
        <w:rPr>
          <w:rFonts w:eastAsia="Aptos"/>
          <w:kern w:val="2"/>
          <w:szCs w:val="24"/>
          <w:lang w:eastAsia="en-US"/>
          <w14:ligatures w14:val="standardContextual"/>
        </w:rPr>
        <w:t xml:space="preserve"> </w:t>
      </w:r>
    </w:p>
    <w:p w14:paraId="647B5758" w14:textId="1D9BCBBE"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teisės aktais patvirtintas 41 sutikimas nustatyti specialiąsias žemės naudojimo sąlygas;</w:t>
      </w:r>
      <w:r w:rsidR="00887130">
        <w:rPr>
          <w:rFonts w:eastAsia="Aptos"/>
          <w:kern w:val="2"/>
          <w:szCs w:val="24"/>
          <w:lang w:eastAsia="en-US"/>
          <w14:ligatures w14:val="standardContextual"/>
        </w:rPr>
        <w:t xml:space="preserve"> </w:t>
      </w:r>
    </w:p>
    <w:p w14:paraId="6AD2C3D3" w14:textId="06024E15"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atliktos 437 žemės sklypų faktinių duomenų patikros vietoje ir surašyti aktai.</w:t>
      </w:r>
      <w:r w:rsidR="00887130">
        <w:rPr>
          <w:rFonts w:eastAsia="Aptos"/>
          <w:kern w:val="2"/>
          <w:szCs w:val="24"/>
          <w:lang w:eastAsia="en-US"/>
          <w14:ligatures w14:val="standardContextual"/>
        </w:rPr>
        <w:t xml:space="preserve"> </w:t>
      </w:r>
    </w:p>
    <w:p w14:paraId="32AF7555" w14:textId="12435661"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Už statybą ar statinių rekonstrukciją nuomojamoje valstybinėje žemėje apskaičiuotas atlyginimas sudarė 2</w:t>
      </w:r>
      <w:r w:rsidR="00E86A72" w:rsidRPr="00E86A72">
        <w:rPr>
          <w:rFonts w:eastAsia="Aptos"/>
          <w:kern w:val="2"/>
          <w:szCs w:val="24"/>
          <w:lang w:eastAsia="en-US"/>
          <w14:ligatures w14:val="standardContextual"/>
        </w:rPr>
        <w:t> </w:t>
      </w:r>
      <w:r w:rsidRPr="00D26788">
        <w:rPr>
          <w:rFonts w:eastAsia="Aptos"/>
          <w:kern w:val="2"/>
          <w:szCs w:val="24"/>
          <w:lang w:eastAsia="en-US"/>
          <w14:ligatures w14:val="standardContextual"/>
        </w:rPr>
        <w:t xml:space="preserve">312,9 tūkst. Eur (42 asmenų prašymai). </w:t>
      </w:r>
    </w:p>
    <w:p w14:paraId="10350524" w14:textId="2245E915"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2025 metais savivaldybė už 647 tūkst. Eur įsigijo nekilnojamojo turto objektų:</w:t>
      </w:r>
      <w:r w:rsidR="00887130">
        <w:rPr>
          <w:rFonts w:eastAsia="Aptos"/>
          <w:kern w:val="2"/>
          <w:szCs w:val="24"/>
          <w:lang w:eastAsia="en-US"/>
          <w14:ligatures w14:val="standardContextual"/>
        </w:rPr>
        <w:t xml:space="preserve"> </w:t>
      </w:r>
    </w:p>
    <w:p w14:paraId="5D12DF96" w14:textId="7EBBB3E2"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butą A. Mickevičiaus g. 2-1, Kaune, kurį planuojama pritaikyti poliklinikos veiklai;</w:t>
      </w:r>
      <w:r w:rsidR="00887130">
        <w:rPr>
          <w:rFonts w:eastAsia="Aptos"/>
          <w:kern w:val="2"/>
          <w:szCs w:val="24"/>
          <w:lang w:eastAsia="en-US"/>
          <w14:ligatures w14:val="standardContextual"/>
        </w:rPr>
        <w:t xml:space="preserve"> </w:t>
      </w:r>
    </w:p>
    <w:p w14:paraId="38186F75" w14:textId="51FDACBE"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nekilnojamąjį turtą Baltijos g. 1B, Kaune, patenkantį į teritoriją, reikalingą Žemaičių</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pl.</w:t>
      </w:r>
      <w:r w:rsidR="005F12F2">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ir Baltijos g. žiedinei sankryžai įrengti;</w:t>
      </w:r>
      <w:r w:rsidR="00887130">
        <w:rPr>
          <w:rFonts w:eastAsia="Aptos"/>
          <w:kern w:val="2"/>
          <w:szCs w:val="24"/>
          <w:lang w:eastAsia="en-US"/>
          <w14:ligatures w14:val="standardContextual"/>
        </w:rPr>
        <w:t xml:space="preserve"> </w:t>
      </w:r>
    </w:p>
    <w:p w14:paraId="1C78BFE9" w14:textId="2A11A175"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nekilnojamąjį turtą Vaidoto g. 17, 17A, Kaune, patenkantį į teritoriją, reikalingą inžinieriniams statiniams įrengti šalia Panemunės baseino.</w:t>
      </w:r>
      <w:r w:rsidR="00887130">
        <w:rPr>
          <w:rFonts w:eastAsia="Aptos"/>
          <w:kern w:val="2"/>
          <w:szCs w:val="24"/>
          <w:lang w:eastAsia="en-US"/>
          <w14:ligatures w14:val="standardContextual"/>
        </w:rPr>
        <w:t xml:space="preserve"> </w:t>
      </w:r>
    </w:p>
    <w:p w14:paraId="5F671067" w14:textId="38AA4178"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Pagal teisės aktus Kauno miesto savivaldybės nuosavybėn iš valstybės perimti 65</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nekilnojamojo turto objektai:</w:t>
      </w:r>
      <w:r w:rsidR="00887130">
        <w:rPr>
          <w:rFonts w:eastAsia="Aptos"/>
          <w:kern w:val="2"/>
          <w:szCs w:val="24"/>
          <w:lang w:eastAsia="en-US"/>
          <w14:ligatures w14:val="standardContextual"/>
        </w:rPr>
        <w:t xml:space="preserve"> </w:t>
      </w:r>
    </w:p>
    <w:p w14:paraId="0FED398E" w14:textId="726A1075"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1 gatvė;</w:t>
      </w:r>
      <w:r w:rsidR="00887130">
        <w:rPr>
          <w:rFonts w:eastAsia="Aptos"/>
          <w:kern w:val="2"/>
          <w:szCs w:val="24"/>
          <w:lang w:eastAsia="en-US"/>
          <w14:ligatures w14:val="standardContextual"/>
        </w:rPr>
        <w:t xml:space="preserve"> </w:t>
      </w:r>
    </w:p>
    <w:p w14:paraId="1AC5B2E9" w14:textId="046A246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51 pr</w:t>
      </w:r>
      <w:r w:rsidR="00887130">
        <w:rPr>
          <w:rFonts w:eastAsia="Aptos"/>
          <w:kern w:val="2"/>
          <w:szCs w:val="24"/>
          <w:lang w:eastAsia="en-US"/>
          <w14:ligatures w14:val="standardContextual"/>
        </w:rPr>
        <w:t>i</w:t>
      </w:r>
      <w:r w:rsidRPr="00D26788">
        <w:rPr>
          <w:rFonts w:eastAsia="Aptos"/>
          <w:kern w:val="2"/>
          <w:szCs w:val="24"/>
          <w:lang w:eastAsia="en-US"/>
          <w14:ligatures w14:val="standardContextual"/>
        </w:rPr>
        <w:t>važiavimo kelias;</w:t>
      </w:r>
      <w:r w:rsidR="00887130">
        <w:rPr>
          <w:rFonts w:eastAsia="Aptos"/>
          <w:kern w:val="2"/>
          <w:szCs w:val="24"/>
          <w:lang w:eastAsia="en-US"/>
          <w14:ligatures w14:val="standardContextual"/>
        </w:rPr>
        <w:t xml:space="preserve"> </w:t>
      </w:r>
    </w:p>
    <w:p w14:paraId="2D6D6292" w14:textId="76DEB013"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13 pagalbinio ūkio paskirties pastatų (jų dalų), esančių gyvenamosiose valdose.</w:t>
      </w:r>
      <w:r w:rsidR="00887130">
        <w:rPr>
          <w:rFonts w:eastAsia="Aptos"/>
          <w:kern w:val="2"/>
          <w:szCs w:val="24"/>
          <w:lang w:eastAsia="en-US"/>
          <w14:ligatures w14:val="standardContextual"/>
        </w:rPr>
        <w:t xml:space="preserve"> </w:t>
      </w:r>
    </w:p>
    <w:p w14:paraId="586B5148" w14:textId="124DB690"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Tęsiamos žemės sklypų, reikalingų H. ir O. Minkovskių g. rekonstr</w:t>
      </w:r>
      <w:r w:rsidR="00887130">
        <w:rPr>
          <w:rFonts w:eastAsia="Aptos"/>
          <w:kern w:val="2"/>
          <w:szCs w:val="24"/>
          <w:lang w:eastAsia="en-US"/>
          <w14:ligatures w14:val="standardContextual"/>
        </w:rPr>
        <w:t xml:space="preserve">uoti </w:t>
      </w:r>
      <w:r w:rsidRPr="00D26788">
        <w:rPr>
          <w:rFonts w:eastAsia="Aptos"/>
          <w:kern w:val="2"/>
          <w:szCs w:val="24"/>
          <w:lang w:eastAsia="en-US"/>
          <w14:ligatures w14:val="standardContextual"/>
        </w:rPr>
        <w:t>ir Vijūkų</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g.</w:t>
      </w:r>
      <w:r w:rsidR="00887130">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ties</w:t>
      </w:r>
      <w:r w:rsidR="00887130">
        <w:rPr>
          <w:rFonts w:eastAsia="Aptos"/>
          <w:kern w:val="2"/>
          <w:szCs w:val="24"/>
          <w:lang w:eastAsia="en-US"/>
          <w14:ligatures w14:val="standardContextual"/>
        </w:rPr>
        <w:t>ti</w:t>
      </w:r>
      <w:r w:rsidRPr="00D26788">
        <w:rPr>
          <w:rFonts w:eastAsia="Aptos"/>
          <w:kern w:val="2"/>
          <w:szCs w:val="24"/>
          <w:lang w:eastAsia="en-US"/>
          <w14:ligatures w14:val="standardContextual"/>
        </w:rPr>
        <w:t xml:space="preserve"> paėmimo visuomenės poreikiams procedūros, taip pat žemės sklypų dalių Raktažolių</w:t>
      </w:r>
      <w:r w:rsidR="00887130">
        <w:rPr>
          <w:rFonts w:eastAsia="Aptos"/>
          <w:kern w:val="2"/>
          <w:szCs w:val="24"/>
          <w:lang w:eastAsia="en-US"/>
          <w14:ligatures w14:val="standardContextual"/>
        </w:rPr>
        <w:t xml:space="preserve"> </w:t>
      </w:r>
      <w:r w:rsidRPr="00D26788">
        <w:rPr>
          <w:rFonts w:eastAsia="Aptos"/>
          <w:kern w:val="2"/>
          <w:szCs w:val="24"/>
          <w:lang w:eastAsia="en-US"/>
          <w14:ligatures w14:val="standardContextual"/>
        </w:rPr>
        <w:t>g. 15, 17, reikalingų žemės sklypams, skirtiems Ateities pl. rekonstruoti ir Kauno pietrytiniam aplinkkeliui tiesti, paėmimo visuomenės poreikiams procedūros. Žemės paėmimo visuomenės poreikiams projektai patvirtinti, dalis paimtų visuomenės poreikiams objektų įregistruota valstybės nuosavybės teise. 2025</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metais inicijuoti 2 nauji paėmimo visuomenės poreikiams projektai:</w:t>
      </w:r>
      <w:r w:rsidR="00887130">
        <w:rPr>
          <w:rFonts w:eastAsia="Aptos"/>
          <w:kern w:val="2"/>
          <w:szCs w:val="24"/>
          <w:lang w:eastAsia="en-US"/>
          <w14:ligatures w14:val="standardContextual"/>
        </w:rPr>
        <w:t xml:space="preserve"> </w:t>
      </w:r>
    </w:p>
    <w:p w14:paraId="281A139F" w14:textId="1B84952B"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žemės sklypų (jų dalių), reikalingų Vijūkų gatvės daliai nuo Girios gatvės iki A.</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Šapokos</w:t>
      </w:r>
      <w:r w:rsidR="00887130">
        <w:rPr>
          <w:rFonts w:eastAsia="Aptos"/>
          <w:kern w:val="2"/>
          <w:szCs w:val="24"/>
          <w:lang w:eastAsia="en-US"/>
          <w14:ligatures w14:val="standardContextual"/>
        </w:rPr>
        <w:t> </w:t>
      </w:r>
      <w:r w:rsidRPr="00D26788">
        <w:rPr>
          <w:rFonts w:eastAsia="Aptos"/>
          <w:kern w:val="2"/>
          <w:szCs w:val="24"/>
          <w:lang w:eastAsia="en-US"/>
          <w14:ligatures w14:val="standardContextual"/>
        </w:rPr>
        <w:t>gatvės įrengti;</w:t>
      </w:r>
      <w:r w:rsidR="00887130">
        <w:rPr>
          <w:rFonts w:eastAsia="Aptos"/>
          <w:kern w:val="2"/>
          <w:szCs w:val="24"/>
          <w:lang w:eastAsia="en-US"/>
          <w14:ligatures w14:val="standardContextual"/>
        </w:rPr>
        <w:t xml:space="preserve"> </w:t>
      </w:r>
    </w:p>
    <w:p w14:paraId="0B6F73C9" w14:textId="341D540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lastRenderedPageBreak/>
        <w:t>žemės sklypų (jų dalių), reikalingų žemės sklypui, skirtam Europos prospekto tęsiniui nuo Marvelės upelio iki Vakarinio lanksto, Kaune, suformuoti.</w:t>
      </w:r>
      <w:r w:rsidR="00887130">
        <w:rPr>
          <w:rFonts w:eastAsia="Aptos"/>
          <w:kern w:val="2"/>
          <w:szCs w:val="24"/>
          <w:lang w:eastAsia="en-US"/>
          <w14:ligatures w14:val="standardContextual"/>
        </w:rPr>
        <w:t xml:space="preserve"> </w:t>
      </w:r>
    </w:p>
    <w:p w14:paraId="4DB9A243" w14:textId="3022C773"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Strateginio turto valdymo ir investicijų pritraukimo kontekste pažymėtina ir tai, kad 2025 m. sudaryta investuotojo sutartis dėl 4</w:t>
      </w:r>
      <w:r w:rsidR="00E86A72" w:rsidRPr="00E86A72">
        <w:rPr>
          <w:rFonts w:eastAsia="Aptos"/>
          <w:kern w:val="2"/>
          <w:szCs w:val="24"/>
          <w:lang w:eastAsia="en-US"/>
          <w14:ligatures w14:val="standardContextual"/>
        </w:rPr>
        <w:t>,0</w:t>
      </w:r>
      <w:r w:rsidRPr="00D26788">
        <w:rPr>
          <w:rFonts w:eastAsia="Aptos"/>
          <w:kern w:val="2"/>
          <w:szCs w:val="24"/>
          <w:lang w:eastAsia="en-US"/>
          <w14:ligatures w14:val="standardContextual"/>
        </w:rPr>
        <w:t xml:space="preserve"> ha teritorijos nuomos Aleksoto inovacijų parke.</w:t>
      </w:r>
      <w:r w:rsidR="00887130">
        <w:rPr>
          <w:rFonts w:eastAsia="Aptos"/>
          <w:kern w:val="2"/>
          <w:szCs w:val="24"/>
          <w:lang w:eastAsia="en-US"/>
          <w14:ligatures w14:val="standardContextual"/>
        </w:rPr>
        <w:t xml:space="preserve"> </w:t>
      </w:r>
    </w:p>
    <w:p w14:paraId="6592BFAD" w14:textId="7ACE1E27" w:rsidR="00D26788" w:rsidRPr="00D26788" w:rsidRDefault="00D26788" w:rsidP="00D26788">
      <w:pPr>
        <w:spacing w:line="360" w:lineRule="auto"/>
        <w:ind w:firstLine="1296"/>
        <w:jc w:val="both"/>
        <w:rPr>
          <w:rFonts w:eastAsia="Aptos"/>
          <w:kern w:val="2"/>
          <w:szCs w:val="24"/>
          <w:lang w:eastAsia="en-US"/>
          <w14:ligatures w14:val="standardContextual"/>
        </w:rPr>
      </w:pPr>
      <w:r w:rsidRPr="00D26788">
        <w:rPr>
          <w:rFonts w:eastAsia="Aptos"/>
          <w:kern w:val="2"/>
          <w:szCs w:val="24"/>
          <w:lang w:eastAsia="en-US"/>
          <w14:ligatures w14:val="standardContextual"/>
        </w:rPr>
        <w:t>Apibendrinant, 2025 metais Kauno miesto savivaldybės biudžeto vykdymas buvo stabilus: pajamų planas viršytas, svarbiausi savarankiški pajamų šaltiniai augo, asignavimų panaudojimo lygis išliko aukštas. Mokesčių politikos srityje buvo tęsiamas Savivaldybei tenkančių mokesčių bazės stiprinimas ir kryptingas mokesčių administravimo efektyvumo didinimas, o turto valdymo srityje tęstas nuoseklus turto portfelio optimizavimas, socialinio būsto fondo administravimas ir valstybinės žemės administravimo procesų stiprinimas.</w:t>
      </w:r>
      <w:r w:rsidR="00887130">
        <w:rPr>
          <w:rFonts w:eastAsia="Aptos"/>
          <w:kern w:val="2"/>
          <w:szCs w:val="24"/>
          <w:lang w:eastAsia="en-US"/>
          <w14:ligatures w14:val="standardContextual"/>
        </w:rPr>
        <w:t xml:space="preserve"> </w:t>
      </w:r>
    </w:p>
    <w:p w14:paraId="54461ACE" w14:textId="64CDC4B0" w:rsidR="00D26788" w:rsidRPr="00D26788" w:rsidRDefault="00D26788" w:rsidP="00887130">
      <w:pPr>
        <w:spacing w:line="360" w:lineRule="auto"/>
        <w:rPr>
          <w:szCs w:val="24"/>
          <w:lang w:eastAsia="en-US" w:bidi="he-IL"/>
        </w:rPr>
      </w:pPr>
    </w:p>
    <w:p w14:paraId="207F268E" w14:textId="79717912" w:rsidR="00D26788" w:rsidRPr="00887130" w:rsidRDefault="00D26788" w:rsidP="0007328C">
      <w:pPr>
        <w:spacing w:line="276" w:lineRule="auto"/>
        <w:jc w:val="center"/>
        <w:rPr>
          <w:b/>
          <w:szCs w:val="24"/>
          <w:lang w:eastAsia="en-US" w:bidi="he-IL"/>
        </w:rPr>
      </w:pPr>
      <w:r w:rsidRPr="00D26788">
        <w:rPr>
          <w:rFonts w:eastAsia="Calibri"/>
          <w:b/>
          <w:szCs w:val="24"/>
          <w:lang w:eastAsia="en-US" w:bidi="he-IL"/>
        </w:rPr>
        <w:t>VI SKYRIUS</w:t>
      </w:r>
      <w:r w:rsidR="00887130">
        <w:rPr>
          <w:rFonts w:eastAsia="Calibri"/>
          <w:b/>
          <w:szCs w:val="24"/>
          <w:lang w:eastAsia="en-US" w:bidi="he-IL"/>
        </w:rPr>
        <w:t xml:space="preserve"> </w:t>
      </w:r>
    </w:p>
    <w:p w14:paraId="48F6E7A2" w14:textId="5EF52A5F" w:rsidR="00D26788" w:rsidRDefault="00D26788" w:rsidP="0007328C">
      <w:pPr>
        <w:spacing w:line="276" w:lineRule="auto"/>
        <w:jc w:val="center"/>
        <w:rPr>
          <w:rFonts w:eastAsia="Calibri"/>
          <w:b/>
          <w:szCs w:val="24"/>
          <w:lang w:eastAsia="en-US" w:bidi="he-IL"/>
        </w:rPr>
      </w:pPr>
      <w:r w:rsidRPr="00D26788">
        <w:rPr>
          <w:rFonts w:eastAsia="Calibri"/>
          <w:b/>
          <w:szCs w:val="24"/>
          <w:lang w:eastAsia="en-US" w:bidi="he-IL"/>
        </w:rPr>
        <w:t>MIESTO PLĖTRA</w:t>
      </w:r>
      <w:r w:rsidR="00887130">
        <w:rPr>
          <w:rFonts w:eastAsia="Calibri"/>
          <w:b/>
          <w:szCs w:val="24"/>
          <w:lang w:eastAsia="en-US" w:bidi="he-IL"/>
        </w:rPr>
        <w:t xml:space="preserve"> </w:t>
      </w:r>
    </w:p>
    <w:p w14:paraId="185F433B" w14:textId="77777777" w:rsidR="0007328C" w:rsidRPr="00D26788" w:rsidRDefault="0007328C" w:rsidP="00D26788">
      <w:pPr>
        <w:spacing w:line="360" w:lineRule="auto"/>
        <w:jc w:val="center"/>
        <w:rPr>
          <w:szCs w:val="24"/>
          <w:lang w:eastAsia="en-US" w:bidi="he-IL"/>
        </w:rPr>
      </w:pPr>
    </w:p>
    <w:p w14:paraId="4CBA64DE" w14:textId="6F8C865C"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 xml:space="preserve">2025 metais Kauno miesto plėtra buvo grindžiama nuosekliu strateginių prioritetų įgyvendinimu, orientuotu į investicijų pritraukimą, stambių infrastruktūros objektų vystymą, susisiekimo sistemos modernizavimą, švietimo, sveikatos, sporto ir kultūros infrastruktūros stiprinimą, urbanistinę plėtrą, viešųjų erdvių atnaujinimą bei miesto konkurencingumo didinimą. Miestas plėtėsi ne fragmentiškai, o kryptingai ir kompleksiškai – vienu metu buvo vystomi tiek didelės apimties statybos ir rekonstrukcijos projektai, tiek ekonominį, socialinį, kultūrinį ir inovacinį potencialą stiprinančios kryptys. 2025 metais Kaunui buvo pritraukta daugiau kaip </w:t>
      </w:r>
      <w:r w:rsidRPr="00D40EBB">
        <w:rPr>
          <w:rFonts w:eastAsia="Calibri"/>
          <w:szCs w:val="24"/>
          <w:lang w:eastAsia="en-US" w:bidi="he-IL"/>
        </w:rPr>
        <w:t>15</w:t>
      </w:r>
      <w:r w:rsidR="00887130">
        <w:rPr>
          <w:rFonts w:eastAsia="Calibri"/>
          <w:szCs w:val="24"/>
          <w:lang w:eastAsia="en-US" w:bidi="he-IL"/>
        </w:rPr>
        <w:t> </w:t>
      </w:r>
      <w:r w:rsidRPr="00D40EBB">
        <w:rPr>
          <w:rFonts w:eastAsia="Calibri"/>
          <w:szCs w:val="24"/>
          <w:lang w:eastAsia="en-US" w:bidi="he-IL"/>
        </w:rPr>
        <w:t>000 tūkst.</w:t>
      </w:r>
      <w:r>
        <w:rPr>
          <w:rFonts w:eastAsia="Calibri"/>
          <w:szCs w:val="24"/>
          <w:lang w:eastAsia="en-US" w:bidi="he-IL"/>
        </w:rPr>
        <w:t> </w:t>
      </w:r>
      <w:r w:rsidRPr="00D354BA">
        <w:rPr>
          <w:rFonts w:eastAsia="Calibri"/>
          <w:szCs w:val="24"/>
          <w:lang w:eastAsia="en-US" w:bidi="he-IL"/>
        </w:rPr>
        <w:t>Eur Europos Sąjungos investicijų, o miesto plėtros sprendiniai nuosekliai sieti su ilgalaike Kauno raidos vizija.</w:t>
      </w:r>
      <w:r w:rsidR="00887130">
        <w:rPr>
          <w:rFonts w:eastAsia="Calibri"/>
          <w:szCs w:val="24"/>
          <w:lang w:eastAsia="en-US" w:bidi="he-IL"/>
        </w:rPr>
        <w:t xml:space="preserve"> </w:t>
      </w:r>
    </w:p>
    <w:p w14:paraId="25BC7F28" w14:textId="19346784"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 xml:space="preserve">Vienu ryškiausių 2025 metų miesto plėtros ženklų tapo M. K. Čiurlionio koncertų centro projektas. Lapkritį buvo pasirašyta rangos sutartis, o kairiajame Nemuno krante pradėti parengiamieji statybvietės įrengimo darbai. Šis projektas reikšmingas ne tik kultūros sektoriui – jis keičia ir pačią miesto struktūrą, stiprina Žemosios Fredos, kairiojo Nemuno kranto ir visos reprezentacinės miesto dalies svarbą. Greta jo pažanga pasiekta ir kitose strategiškai svarbiose viešosiose erdvėse: užbaigtas </w:t>
      </w:r>
      <w:r>
        <w:rPr>
          <w:rFonts w:eastAsia="Calibri"/>
          <w:szCs w:val="24"/>
          <w:lang w:eastAsia="en-US" w:bidi="he-IL"/>
        </w:rPr>
        <w:t xml:space="preserve">miestui svarbios </w:t>
      </w:r>
      <w:r w:rsidRPr="00D354BA">
        <w:rPr>
          <w:rFonts w:eastAsia="Calibri"/>
          <w:szCs w:val="24"/>
          <w:lang w:eastAsia="en-US" w:bidi="he-IL"/>
        </w:rPr>
        <w:t>Steigiamojo Seimo aikštės detalusis planas, surengtas architektūrinės idėjos konkursas, o metų pabaigoje pasirašyta projektavimo paslaugų sutartis. Taip pat gautas statybos leidimas Stoties turgaus konversijos projektui „Kauno vartai“, pradėtas rangos konkurso etapas. Tokie projektai rodo, kad 2025 metais Kaunas nuosekliai formavo ne tik funkciškai stiprų, bet ir reprezentaciškai brandų miesto veidą.</w:t>
      </w:r>
      <w:r w:rsidR="00887130">
        <w:rPr>
          <w:rFonts w:eastAsia="Calibri"/>
          <w:szCs w:val="24"/>
          <w:lang w:eastAsia="en-US" w:bidi="he-IL"/>
        </w:rPr>
        <w:t xml:space="preserve"> </w:t>
      </w:r>
    </w:p>
    <w:p w14:paraId="4B66D83B" w14:textId="56AC6F95"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lastRenderedPageBreak/>
        <w:t>Stambiųjų projektų mastą atspindėjo ir bendras statybos, rekonstrukcijos bei kapitalinio remonto darbų portfelis. 2025 metais darbai vyko švietimo, kultūros, sporto, sveikatos, socialinių ir administracinių objektų srityse. Tarp reikšmingiausių projektų paminėtini Kauno Veršvų gimnazijos modernizavimas, Tirkiliškių mokyklos-darželio projektai,</w:t>
      </w:r>
      <w:r w:rsidR="00887130">
        <w:rPr>
          <w:rFonts w:eastAsia="Calibri"/>
          <w:szCs w:val="24"/>
          <w:lang w:eastAsia="en-US" w:bidi="he-IL"/>
        </w:rPr>
        <w:t xml:space="preserve"> </w:t>
      </w:r>
      <w:r w:rsidR="00887130" w:rsidRPr="00D354BA">
        <w:rPr>
          <w:rFonts w:eastAsia="Calibri"/>
          <w:szCs w:val="24"/>
          <w:lang w:eastAsia="en-US" w:bidi="he-IL"/>
        </w:rPr>
        <w:t xml:space="preserve">darželio </w:t>
      </w:r>
      <w:r w:rsidRPr="00D354BA">
        <w:rPr>
          <w:rFonts w:eastAsia="Calibri"/>
          <w:szCs w:val="24"/>
          <w:lang w:eastAsia="en-US" w:bidi="he-IL"/>
        </w:rPr>
        <w:t xml:space="preserve">Vijūkų g. 78 statyba, Girstučio kultūros centro projektai, sporto mokyklų ir baseinų infrastruktūros gerinimas, K. Griniaus </w:t>
      </w:r>
      <w:r w:rsidR="001A2E91" w:rsidRPr="001A2E91">
        <w:rPr>
          <w:rFonts w:eastAsia="Calibri"/>
          <w:szCs w:val="24"/>
          <w:lang w:eastAsia="en-US" w:bidi="he-IL"/>
        </w:rPr>
        <w:t xml:space="preserve">slaugos ir palaikomojo gydymo </w:t>
      </w:r>
      <w:r w:rsidRPr="00D354BA">
        <w:rPr>
          <w:rFonts w:eastAsia="Calibri"/>
          <w:szCs w:val="24"/>
          <w:lang w:eastAsia="en-US" w:bidi="he-IL"/>
        </w:rPr>
        <w:t xml:space="preserve">ligoninės ir </w:t>
      </w:r>
      <w:r w:rsidR="001A2E91">
        <w:rPr>
          <w:rFonts w:eastAsia="Calibri"/>
          <w:szCs w:val="24"/>
          <w:lang w:eastAsia="en-US" w:bidi="he-IL"/>
        </w:rPr>
        <w:t>jos padalinio Kulautuvoje</w:t>
      </w:r>
      <w:r w:rsidRPr="00D354BA">
        <w:rPr>
          <w:rFonts w:eastAsia="Calibri"/>
          <w:szCs w:val="24"/>
          <w:lang w:eastAsia="en-US" w:bidi="he-IL"/>
        </w:rPr>
        <w:t xml:space="preserve"> projektai, socialinių įstaigų bei seniūnijų pastatų atnaujinimas. </w:t>
      </w:r>
      <w:r w:rsidR="001A2E91">
        <w:rPr>
          <w:rFonts w:eastAsia="Calibri"/>
          <w:szCs w:val="24"/>
          <w:lang w:eastAsia="en-US" w:bidi="he-IL"/>
        </w:rPr>
        <w:t>M</w:t>
      </w:r>
      <w:r w:rsidRPr="00D354BA">
        <w:rPr>
          <w:rFonts w:eastAsia="Calibri"/>
          <w:szCs w:val="24"/>
          <w:lang w:eastAsia="en-US" w:bidi="he-IL"/>
        </w:rPr>
        <w:t>iesto plėtra 2025 metais buvo sisteminė ir kryptingai apėmė miestui svarbiausius viešųjų paslaugų sektorius, o statybos ir rekonstrukcijos nebuvo atsietos nuo bendrų miesto gyvenimo kokybės tikslų.</w:t>
      </w:r>
      <w:r w:rsidR="00887130">
        <w:rPr>
          <w:rFonts w:eastAsia="Calibri"/>
          <w:szCs w:val="24"/>
          <w:lang w:eastAsia="en-US" w:bidi="he-IL"/>
        </w:rPr>
        <w:t xml:space="preserve"> </w:t>
      </w:r>
    </w:p>
    <w:p w14:paraId="438219D6" w14:textId="4E1A9A4F"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 xml:space="preserve">Ypač </w:t>
      </w:r>
      <w:r w:rsidR="001A2E91">
        <w:rPr>
          <w:rFonts w:eastAsia="Calibri"/>
          <w:szCs w:val="24"/>
          <w:lang w:eastAsia="en-US" w:bidi="he-IL"/>
        </w:rPr>
        <w:t>stipriai</w:t>
      </w:r>
      <w:r w:rsidRPr="00D354BA">
        <w:rPr>
          <w:rFonts w:eastAsia="Calibri"/>
          <w:szCs w:val="24"/>
          <w:lang w:eastAsia="en-US" w:bidi="he-IL"/>
        </w:rPr>
        <w:t xml:space="preserve"> 2025 metais pažengė naujų jungčių, tiltų, viadukų ir kitų strategiškai svarbių infrastruktūros objektų įgyvendinimas. Viaduko ties Ašigalio gatve per A1 magistralę statyba metų pabaigoje buvo pasiekusi apie 85</w:t>
      </w:r>
      <w:r w:rsidR="00887130">
        <w:rPr>
          <w:rFonts w:eastAsia="Calibri"/>
          <w:szCs w:val="24"/>
          <w:lang w:eastAsia="en-US" w:bidi="he-IL"/>
        </w:rPr>
        <w:t xml:space="preserve"> </w:t>
      </w:r>
      <w:r w:rsidRPr="00D354BA">
        <w:rPr>
          <w:rFonts w:eastAsia="Calibri"/>
          <w:szCs w:val="24"/>
          <w:lang w:eastAsia="en-US" w:bidi="he-IL"/>
        </w:rPr>
        <w:t xml:space="preserve">proc. darbų. Toliau vyko Vilijampolės pėsčiųjų tilto, Nemuno salos pėsčiųjų tiltų ir Santakos </w:t>
      </w:r>
      <w:r w:rsidR="001A2E91">
        <w:rPr>
          <w:rFonts w:eastAsia="Calibri"/>
          <w:szCs w:val="24"/>
          <w:lang w:eastAsia="en-US" w:bidi="he-IL"/>
        </w:rPr>
        <w:t xml:space="preserve">(Kėdainių) </w:t>
      </w:r>
      <w:r w:rsidRPr="00D354BA">
        <w:rPr>
          <w:rFonts w:eastAsia="Calibri"/>
          <w:szCs w:val="24"/>
          <w:lang w:eastAsia="en-US" w:bidi="he-IL"/>
        </w:rPr>
        <w:t xml:space="preserve">tilto darbai, </w:t>
      </w:r>
      <w:r w:rsidR="001A2E91">
        <w:rPr>
          <w:rFonts w:eastAsia="Calibri"/>
          <w:szCs w:val="24"/>
          <w:lang w:eastAsia="en-US" w:bidi="he-IL"/>
        </w:rPr>
        <w:t>taip pat sėkmingai įgyvendinamas</w:t>
      </w:r>
      <w:r w:rsidRPr="00D354BA">
        <w:rPr>
          <w:rFonts w:eastAsia="Calibri"/>
          <w:szCs w:val="24"/>
          <w:lang w:eastAsia="en-US" w:bidi="he-IL"/>
        </w:rPr>
        <w:t xml:space="preserve"> P. Vileišio tilto prietilčio transporto mazg</w:t>
      </w:r>
      <w:r w:rsidR="001A2E91">
        <w:rPr>
          <w:rFonts w:eastAsia="Calibri"/>
          <w:szCs w:val="24"/>
          <w:lang w:eastAsia="en-US" w:bidi="he-IL"/>
        </w:rPr>
        <w:t>o pertvarkymas</w:t>
      </w:r>
      <w:r w:rsidRPr="00D354BA">
        <w:rPr>
          <w:rFonts w:eastAsia="Calibri"/>
          <w:szCs w:val="24"/>
          <w:lang w:eastAsia="en-US" w:bidi="he-IL"/>
        </w:rPr>
        <w:t>. Šie projektai gerin</w:t>
      </w:r>
      <w:r w:rsidR="001A2E91">
        <w:rPr>
          <w:rFonts w:eastAsia="Calibri"/>
          <w:szCs w:val="24"/>
          <w:lang w:eastAsia="en-US" w:bidi="he-IL"/>
        </w:rPr>
        <w:t>s</w:t>
      </w:r>
      <w:r w:rsidRPr="00D354BA">
        <w:rPr>
          <w:rFonts w:eastAsia="Calibri"/>
          <w:szCs w:val="24"/>
          <w:lang w:eastAsia="en-US" w:bidi="he-IL"/>
        </w:rPr>
        <w:t xml:space="preserve"> susisiekimą, stiprin</w:t>
      </w:r>
      <w:r w:rsidR="001A2E91">
        <w:rPr>
          <w:rFonts w:eastAsia="Calibri"/>
          <w:szCs w:val="24"/>
          <w:lang w:eastAsia="en-US" w:bidi="he-IL"/>
        </w:rPr>
        <w:t>s</w:t>
      </w:r>
      <w:r w:rsidRPr="00D354BA">
        <w:rPr>
          <w:rFonts w:eastAsia="Calibri"/>
          <w:szCs w:val="24"/>
          <w:lang w:eastAsia="en-US" w:bidi="he-IL"/>
        </w:rPr>
        <w:t xml:space="preserve"> miesto vientisumą ir k</w:t>
      </w:r>
      <w:r w:rsidR="001A2E91">
        <w:rPr>
          <w:rFonts w:eastAsia="Calibri"/>
          <w:szCs w:val="24"/>
          <w:lang w:eastAsia="en-US" w:bidi="he-IL"/>
        </w:rPr>
        <w:t>urs</w:t>
      </w:r>
      <w:r w:rsidRPr="00D354BA">
        <w:rPr>
          <w:rFonts w:eastAsia="Calibri"/>
          <w:szCs w:val="24"/>
          <w:lang w:eastAsia="en-US" w:bidi="he-IL"/>
        </w:rPr>
        <w:t xml:space="preserve"> patogesnes jungtis pėstiesiems, dviratininkams bei transportui, formuodami naują miesto judumo struktūrą. Tuo pat metu užbaigti Bitininkų g., Linkuvos g., Vėjo g. ir Griunvaldo</w:t>
      </w:r>
      <w:r w:rsidR="00887130">
        <w:rPr>
          <w:rFonts w:eastAsia="Calibri"/>
          <w:szCs w:val="24"/>
          <w:lang w:eastAsia="en-US" w:bidi="he-IL"/>
        </w:rPr>
        <w:t> </w:t>
      </w:r>
      <w:r w:rsidRPr="00D354BA">
        <w:rPr>
          <w:rFonts w:eastAsia="Calibri"/>
          <w:szCs w:val="24"/>
          <w:lang w:eastAsia="en-US" w:bidi="he-IL"/>
        </w:rPr>
        <w:t>g. rekonstravimo darbai, per metus suremontuota 24,9 km gatvių važiuojamosios dalies, 17,2</w:t>
      </w:r>
      <w:r w:rsidR="00887130">
        <w:rPr>
          <w:rFonts w:eastAsia="Calibri"/>
          <w:szCs w:val="24"/>
          <w:lang w:eastAsia="en-US" w:bidi="he-IL"/>
        </w:rPr>
        <w:t> </w:t>
      </w:r>
      <w:r w:rsidRPr="00D354BA">
        <w:rPr>
          <w:rFonts w:eastAsia="Calibri"/>
          <w:szCs w:val="24"/>
          <w:lang w:eastAsia="en-US" w:bidi="he-IL"/>
        </w:rPr>
        <w:t>km šaligatvių ir naujai įrengta 3</w:t>
      </w:r>
      <w:r w:rsidR="00887130">
        <w:rPr>
          <w:rFonts w:eastAsia="Calibri"/>
          <w:szCs w:val="24"/>
          <w:lang w:eastAsia="en-US" w:bidi="he-IL"/>
        </w:rPr>
        <w:t xml:space="preserve"> </w:t>
      </w:r>
      <w:r w:rsidRPr="00D354BA">
        <w:rPr>
          <w:rFonts w:eastAsia="Calibri"/>
          <w:szCs w:val="24"/>
          <w:lang w:eastAsia="en-US" w:bidi="he-IL"/>
        </w:rPr>
        <w:t>km dviračių takų, kartu atnaujinant apšvietimo ir požeminių komunikacijų tinklus. Tai apčiuopiamas pokytis kasdienėje miesto aplinkoje.</w:t>
      </w:r>
      <w:r w:rsidR="00887130">
        <w:rPr>
          <w:rFonts w:eastAsia="Calibri"/>
          <w:szCs w:val="24"/>
          <w:lang w:eastAsia="en-US" w:bidi="he-IL"/>
        </w:rPr>
        <w:t xml:space="preserve"> </w:t>
      </w:r>
    </w:p>
    <w:p w14:paraId="71260EBD" w14:textId="6892DB79"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Judumo modernizavimą papildė ir išmanesni sprendimai. Nuo 2025 m. rugpjūčio 1</w:t>
      </w:r>
      <w:r w:rsidR="00887130">
        <w:rPr>
          <w:rFonts w:eastAsia="Calibri"/>
          <w:szCs w:val="24"/>
          <w:lang w:eastAsia="en-US" w:bidi="he-IL"/>
        </w:rPr>
        <w:t> </w:t>
      </w:r>
      <w:r w:rsidRPr="00D354BA">
        <w:rPr>
          <w:rFonts w:eastAsia="Calibri"/>
          <w:szCs w:val="24"/>
          <w:lang w:eastAsia="en-US" w:bidi="he-IL"/>
        </w:rPr>
        <w:t>d. viešajame transporte įdiegta bekontakčio atsiskaitymo sistema, įrengtos 4 vidutinio greičio matavimo atkarpos, sumontuota 2</w:t>
      </w:r>
      <w:r w:rsidR="001A2E91">
        <w:rPr>
          <w:rFonts w:eastAsia="Calibri"/>
          <w:szCs w:val="24"/>
          <w:lang w:eastAsia="en-US" w:bidi="he-IL"/>
        </w:rPr>
        <w:t> </w:t>
      </w:r>
      <w:r w:rsidRPr="00D354BA">
        <w:rPr>
          <w:rFonts w:eastAsia="Calibri"/>
          <w:szCs w:val="24"/>
          <w:lang w:eastAsia="en-US" w:bidi="he-IL"/>
        </w:rPr>
        <w:t>054 m</w:t>
      </w:r>
      <w:r w:rsidR="001A2E91">
        <w:rPr>
          <w:rFonts w:eastAsia="Calibri"/>
          <w:szCs w:val="24"/>
          <w:lang w:eastAsia="en-US" w:bidi="he-IL"/>
        </w:rPr>
        <w:t>etrų</w:t>
      </w:r>
      <w:r w:rsidRPr="00D354BA">
        <w:rPr>
          <w:rFonts w:eastAsia="Calibri"/>
          <w:szCs w:val="24"/>
          <w:lang w:eastAsia="en-US" w:bidi="he-IL"/>
        </w:rPr>
        <w:t xml:space="preserve"> apsauginių atitvarų, atnaujinti ar įrengti 3</w:t>
      </w:r>
      <w:r w:rsidR="001A2E91">
        <w:rPr>
          <w:rFonts w:eastAsia="Calibri"/>
          <w:szCs w:val="24"/>
          <w:lang w:eastAsia="en-US" w:bidi="he-IL"/>
        </w:rPr>
        <w:t> </w:t>
      </w:r>
      <w:r w:rsidRPr="00D354BA">
        <w:rPr>
          <w:rFonts w:eastAsia="Calibri"/>
          <w:szCs w:val="24"/>
          <w:lang w:eastAsia="en-US" w:bidi="he-IL"/>
        </w:rPr>
        <w:t>386 kelio ženklai, o horizontalusis ženklinimas atliktas 44</w:t>
      </w:r>
      <w:r w:rsidR="001A2E91">
        <w:rPr>
          <w:rFonts w:eastAsia="Calibri"/>
          <w:szCs w:val="24"/>
          <w:lang w:eastAsia="en-US" w:bidi="he-IL"/>
        </w:rPr>
        <w:t> </w:t>
      </w:r>
      <w:r w:rsidRPr="00D354BA">
        <w:rPr>
          <w:rFonts w:eastAsia="Calibri"/>
          <w:szCs w:val="24"/>
          <w:lang w:eastAsia="en-US" w:bidi="he-IL"/>
        </w:rPr>
        <w:t>853,</w:t>
      </w:r>
      <w:r w:rsidR="001A2E91">
        <w:rPr>
          <w:rFonts w:eastAsia="Calibri"/>
          <w:szCs w:val="24"/>
          <w:lang w:eastAsia="en-US" w:bidi="he-IL"/>
        </w:rPr>
        <w:t>5</w:t>
      </w:r>
      <w:r w:rsidRPr="00D354BA">
        <w:rPr>
          <w:rFonts w:eastAsia="Calibri"/>
          <w:szCs w:val="24"/>
          <w:lang w:eastAsia="en-US" w:bidi="he-IL"/>
        </w:rPr>
        <w:t xml:space="preserve"> kv. m plote. </w:t>
      </w:r>
      <w:r w:rsidR="001A2E91">
        <w:rPr>
          <w:rFonts w:eastAsia="Calibri"/>
          <w:szCs w:val="24"/>
          <w:lang w:eastAsia="en-US" w:bidi="he-IL"/>
        </w:rPr>
        <w:t>Šiais sprendimais</w:t>
      </w:r>
      <w:r w:rsidRPr="00D354BA">
        <w:rPr>
          <w:rFonts w:eastAsia="Calibri"/>
          <w:szCs w:val="24"/>
          <w:lang w:eastAsia="en-US" w:bidi="he-IL"/>
        </w:rPr>
        <w:t xml:space="preserve"> miesto plėtra Kaune 2025 metais buvo siejama ne tik su naujų objektų statyba, bet ir su išmanesniu bei saugesniu kasdienio judėjimo organizavimu.</w:t>
      </w:r>
      <w:r w:rsidR="00887130">
        <w:rPr>
          <w:rFonts w:eastAsia="Calibri"/>
          <w:szCs w:val="24"/>
          <w:lang w:eastAsia="en-US" w:bidi="he-IL"/>
        </w:rPr>
        <w:t xml:space="preserve"> </w:t>
      </w:r>
    </w:p>
    <w:p w14:paraId="540516C5" w14:textId="6862A051" w:rsidR="00437BAF"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Nuosekliai tęstos ir urbanistinės plėtros bei teritorijų planavimo procedūros. 2025</w:t>
      </w:r>
      <w:r w:rsidR="00887130">
        <w:rPr>
          <w:rFonts w:eastAsia="Calibri"/>
          <w:szCs w:val="24"/>
          <w:lang w:eastAsia="en-US" w:bidi="he-IL"/>
        </w:rPr>
        <w:t> </w:t>
      </w:r>
      <w:r w:rsidRPr="00D354BA">
        <w:rPr>
          <w:rFonts w:eastAsia="Calibri"/>
          <w:szCs w:val="24"/>
          <w:lang w:eastAsia="en-US" w:bidi="he-IL"/>
        </w:rPr>
        <w:t xml:space="preserve">metais parengta Kauno miesto bendrojo plano esamos būklės analizė, patvirtinta Žemosios Fredos urbanistinė koncepcija, pradėtas Kazliškių teritorijos plano rengimas ir baigta Kairiosios Neries krantinės urbanistinė studija. Per metus parengti 75 kompleksinio planavimo dokumentai ir atlikti 155 kadastriniai matavimai. Urbanistinę kryptį papildė ir kiti viešųjų erdvių bei teritorijų projektavimo darbai – parengti priešprojektiniai pasiūlymai Sodų gatvės teritorijai, tęsti projektavimo procesai, susiję su Linkuvos dvaro teritorija, </w:t>
      </w:r>
      <w:r w:rsidR="00437BAF">
        <w:rPr>
          <w:rFonts w:eastAsia="Calibri"/>
          <w:szCs w:val="24"/>
          <w:lang w:eastAsia="en-US" w:bidi="he-IL"/>
        </w:rPr>
        <w:t xml:space="preserve">Aukštųjų </w:t>
      </w:r>
      <w:r w:rsidRPr="00D354BA">
        <w:rPr>
          <w:rFonts w:eastAsia="Calibri"/>
          <w:szCs w:val="24"/>
          <w:lang w:eastAsia="en-US" w:bidi="he-IL"/>
        </w:rPr>
        <w:t xml:space="preserve">Šančių piliakalnio laiptais bei administracinių ir viešųjų pastatų aplinkos atnaujinimu. </w:t>
      </w:r>
      <w:r w:rsidR="009A2B2A" w:rsidRPr="009A2B2A">
        <w:rPr>
          <w:rFonts w:eastAsia="Calibri"/>
          <w:szCs w:val="24"/>
          <w:lang w:eastAsia="en-US" w:bidi="he-IL"/>
        </w:rPr>
        <w:t xml:space="preserve">Baigta Kairiosios Neries krantinės nuo </w:t>
      </w:r>
      <w:r w:rsidR="009A2B2A" w:rsidRPr="009A2B2A">
        <w:rPr>
          <w:rFonts w:eastAsia="Calibri"/>
          <w:szCs w:val="24"/>
          <w:lang w:eastAsia="en-US" w:bidi="he-IL"/>
        </w:rPr>
        <w:lastRenderedPageBreak/>
        <w:t>A.</w:t>
      </w:r>
      <w:r w:rsidR="00887130">
        <w:rPr>
          <w:rFonts w:eastAsia="Calibri"/>
          <w:szCs w:val="24"/>
          <w:lang w:eastAsia="en-US" w:bidi="he-IL"/>
        </w:rPr>
        <w:t> </w:t>
      </w:r>
      <w:r w:rsidR="009A2B2A" w:rsidRPr="009A2B2A">
        <w:rPr>
          <w:rFonts w:eastAsia="Calibri"/>
          <w:szCs w:val="24"/>
          <w:lang w:eastAsia="en-US" w:bidi="he-IL"/>
        </w:rPr>
        <w:t xml:space="preserve">Meškinio tilto iki P. Vileišio tilto ir Jonavos g. su besiribojančiomis teritorijomis urbanistinio vystymo studija. </w:t>
      </w:r>
      <w:r w:rsidR="009A2B2A">
        <w:rPr>
          <w:rFonts w:eastAsia="Calibri"/>
          <w:szCs w:val="24"/>
          <w:lang w:eastAsia="en-US" w:bidi="he-IL"/>
        </w:rPr>
        <w:t>Rezultatyviai o</w:t>
      </w:r>
      <w:r w:rsidR="009A2B2A" w:rsidRPr="009A2B2A">
        <w:rPr>
          <w:rFonts w:eastAsia="Calibri"/>
          <w:szCs w:val="24"/>
          <w:lang w:eastAsia="en-US" w:bidi="he-IL"/>
        </w:rPr>
        <w:t>rganizuotas Steigiamojo Seimo aikštės architektūrinis konkursas</w:t>
      </w:r>
      <w:r w:rsidR="009A2B2A">
        <w:rPr>
          <w:rFonts w:eastAsia="Calibri"/>
          <w:szCs w:val="24"/>
          <w:lang w:eastAsia="en-US" w:bidi="he-IL"/>
        </w:rPr>
        <w:t xml:space="preserve"> </w:t>
      </w:r>
      <w:r w:rsidR="00887130">
        <w:rPr>
          <w:rFonts w:eastAsia="Calibri"/>
          <w:szCs w:val="24"/>
          <w:lang w:eastAsia="en-US" w:bidi="he-IL"/>
        </w:rPr>
        <w:t>–</w:t>
      </w:r>
      <w:r w:rsidR="009A2B2A" w:rsidRPr="009A2B2A">
        <w:rPr>
          <w:rFonts w:eastAsia="Calibri"/>
          <w:szCs w:val="24"/>
          <w:lang w:eastAsia="en-US" w:bidi="he-IL"/>
        </w:rPr>
        <w:t xml:space="preserve"> laimėjusi vizija harmoningai derina istorinių pastatų restauravimą, naujos gimnazijos ir bendruomenės centro statybas bei viešų erdvių atvėrimą, siekiant sukurti saugią ir gyvybingą aikštę.</w:t>
      </w:r>
      <w:r w:rsidR="009A2B2A">
        <w:rPr>
          <w:rFonts w:eastAsia="Calibri"/>
          <w:szCs w:val="24"/>
          <w:lang w:eastAsia="en-US" w:bidi="he-IL"/>
        </w:rPr>
        <w:t xml:space="preserve"> </w:t>
      </w:r>
    </w:p>
    <w:p w14:paraId="70D63BE0" w14:textId="4AB26A72" w:rsidR="00437BAF" w:rsidRPr="00437BAF" w:rsidRDefault="00437BAF" w:rsidP="00437BAF">
      <w:pPr>
        <w:spacing w:line="360" w:lineRule="auto"/>
        <w:ind w:firstLine="1298"/>
        <w:jc w:val="both"/>
        <w:rPr>
          <w:rFonts w:eastAsia="Calibri"/>
          <w:szCs w:val="24"/>
          <w:lang w:eastAsia="en-US" w:bidi="he-IL"/>
        </w:rPr>
      </w:pPr>
      <w:r w:rsidRPr="00437BAF">
        <w:rPr>
          <w:rFonts w:eastAsia="Calibri"/>
          <w:szCs w:val="24"/>
          <w:lang w:eastAsia="en-US" w:bidi="he-IL"/>
        </w:rPr>
        <w:t>2025 m</w:t>
      </w:r>
      <w:r>
        <w:rPr>
          <w:rFonts w:eastAsia="Calibri"/>
          <w:szCs w:val="24"/>
          <w:lang w:eastAsia="en-US" w:bidi="he-IL"/>
        </w:rPr>
        <w:t>etais</w:t>
      </w:r>
      <w:r w:rsidRPr="00437BAF">
        <w:rPr>
          <w:rFonts w:eastAsia="Calibri"/>
          <w:szCs w:val="24"/>
          <w:lang w:eastAsia="en-US" w:bidi="he-IL"/>
        </w:rPr>
        <w:t xml:space="preserve"> buvo tęsiamas Kauno miesto savivaldybės paveldotvarkos programos įgyvendinamas, kurios metu vykdyti 38 kultūros paveldo objektų tvarkybos projektai. Tai apėmė tiek avarinės būklės šalinimą, tiek projektavimo ir parengiamuosius darbus, sudarančius prielaidas tolimesniam objektų pritaikymui visuomenės ir kultūros reikmėms.</w:t>
      </w:r>
      <w:r w:rsidR="00887130">
        <w:rPr>
          <w:rFonts w:eastAsia="Calibri"/>
          <w:szCs w:val="24"/>
          <w:lang w:eastAsia="en-US" w:bidi="he-IL"/>
        </w:rPr>
        <w:t xml:space="preserve"> </w:t>
      </w:r>
    </w:p>
    <w:p w14:paraId="65C3E5D3" w14:textId="4A7F4605" w:rsidR="00437BAF" w:rsidRPr="00437BAF" w:rsidRDefault="00437BAF" w:rsidP="00437BAF">
      <w:pPr>
        <w:spacing w:line="360" w:lineRule="auto"/>
        <w:ind w:firstLine="1298"/>
        <w:jc w:val="both"/>
        <w:rPr>
          <w:rFonts w:eastAsia="Calibri"/>
          <w:szCs w:val="24"/>
          <w:lang w:eastAsia="en-US" w:bidi="he-IL"/>
        </w:rPr>
      </w:pPr>
      <w:r w:rsidRPr="00437BAF">
        <w:rPr>
          <w:rFonts w:eastAsia="Calibri"/>
          <w:szCs w:val="24"/>
          <w:lang w:eastAsia="en-US" w:bidi="he-IL"/>
        </w:rPr>
        <w:t xml:space="preserve">Didelis dėmesys skirtas UNESCO pasaulio paveldo vertybės apsaugai ir valdymui. </w:t>
      </w:r>
      <w:r>
        <w:rPr>
          <w:rFonts w:eastAsia="Calibri"/>
          <w:szCs w:val="24"/>
          <w:lang w:eastAsia="en-US" w:bidi="he-IL"/>
        </w:rPr>
        <w:t>P</w:t>
      </w:r>
      <w:r w:rsidRPr="00437BAF">
        <w:rPr>
          <w:rFonts w:eastAsia="Calibri"/>
          <w:szCs w:val="24"/>
          <w:lang w:eastAsia="en-US" w:bidi="he-IL"/>
        </w:rPr>
        <w:t xml:space="preserve">radėtas rengti UNESCO pasaulio paveldo vertybės </w:t>
      </w:r>
      <w:r>
        <w:rPr>
          <w:rFonts w:eastAsia="Calibri"/>
          <w:szCs w:val="24"/>
          <w:lang w:eastAsia="en-US" w:bidi="he-IL"/>
        </w:rPr>
        <w:t>v</w:t>
      </w:r>
      <w:r w:rsidRPr="00437BAF">
        <w:rPr>
          <w:rFonts w:eastAsia="Calibri"/>
          <w:szCs w:val="24"/>
          <w:lang w:eastAsia="en-US" w:bidi="he-IL"/>
        </w:rPr>
        <w:t>aldymo planas, kuris taps pagrindiniu strateginiu dokumentu, apibrėžiančiu teritorijos apsaugos, naudojimo ir plėtros principus. Taip pat pradėta 1919–1930 m. laikotarpio pastatų, esančių į UNESCO sąrašą įrašytos vertybės teritorijoje, inventorizacija – sukurtas tarpukario pastatų GIS inventorius, inventorizuota apie 30</w:t>
      </w:r>
      <w:r w:rsidR="005F12F2">
        <w:rPr>
          <w:rFonts w:eastAsia="Calibri"/>
          <w:szCs w:val="24"/>
          <w:lang w:eastAsia="en-US" w:bidi="he-IL"/>
        </w:rPr>
        <w:t xml:space="preserve"> </w:t>
      </w:r>
      <w:r>
        <w:rPr>
          <w:rFonts w:eastAsia="Calibri"/>
          <w:szCs w:val="24"/>
          <w:lang w:eastAsia="en-US" w:bidi="he-IL"/>
        </w:rPr>
        <w:t xml:space="preserve">proc. </w:t>
      </w:r>
      <w:r w:rsidRPr="00437BAF">
        <w:rPr>
          <w:rFonts w:eastAsia="Calibri"/>
          <w:szCs w:val="24"/>
          <w:lang w:eastAsia="en-US" w:bidi="he-IL"/>
        </w:rPr>
        <w:t>pastatų. Svarbūs darbai vykdyti ir fortifikacinio paveldo srityje. Tęsti VI forto avarinės būklės šalinimo darbai, pradėti IV forto užnugario kareivinių tvarkybos darbai, parengti projektiniai sprendiniai Miesto sienos ir koplyčios pastato tvarkybai. Šie veiksmai prisideda prie nuoseklaus Kauno tvirtovės komplekso išsaugojimo ir integravimo į miesto kultūrinę bei rekreacinę struktūrą.</w:t>
      </w:r>
      <w:r w:rsidR="00887130">
        <w:rPr>
          <w:rFonts w:eastAsia="Calibri"/>
          <w:szCs w:val="24"/>
          <w:lang w:eastAsia="en-US" w:bidi="he-IL"/>
        </w:rPr>
        <w:t xml:space="preserve"> </w:t>
      </w:r>
    </w:p>
    <w:p w14:paraId="2754CDC2" w14:textId="25122815" w:rsidR="00437BAF" w:rsidRPr="00437BAF" w:rsidRDefault="00437BAF" w:rsidP="00437BAF">
      <w:pPr>
        <w:spacing w:line="360" w:lineRule="auto"/>
        <w:ind w:firstLine="1298"/>
        <w:jc w:val="both"/>
        <w:rPr>
          <w:rFonts w:eastAsia="Calibri"/>
          <w:szCs w:val="24"/>
          <w:lang w:eastAsia="en-US" w:bidi="he-IL"/>
        </w:rPr>
      </w:pPr>
      <w:r w:rsidRPr="00437BAF">
        <w:rPr>
          <w:rFonts w:eastAsia="Calibri"/>
          <w:szCs w:val="24"/>
          <w:lang w:eastAsia="en-US" w:bidi="he-IL"/>
        </w:rPr>
        <w:t xml:space="preserve">Viešųjų erdvių kultūrinio identiteto stiprinimui tęsta mažosios architektūros programa „Kauno akcentai“. Mieste įrengta daugiau nei </w:t>
      </w:r>
      <w:r>
        <w:rPr>
          <w:rFonts w:eastAsia="Calibri"/>
          <w:szCs w:val="24"/>
          <w:lang w:eastAsia="en-US" w:bidi="he-IL"/>
        </w:rPr>
        <w:t>30</w:t>
      </w:r>
      <w:r w:rsidRPr="00437BAF">
        <w:rPr>
          <w:rFonts w:eastAsia="Calibri"/>
          <w:szCs w:val="24"/>
          <w:lang w:eastAsia="en-US" w:bidi="he-IL"/>
        </w:rPr>
        <w:t xml:space="preserve"> naujų meninių objektų</w:t>
      </w:r>
      <w:r>
        <w:rPr>
          <w:rFonts w:eastAsia="Calibri"/>
          <w:szCs w:val="24"/>
          <w:lang w:eastAsia="en-US" w:bidi="he-IL"/>
        </w:rPr>
        <w:t>.</w:t>
      </w:r>
      <w:r w:rsidRPr="00437BAF">
        <w:rPr>
          <w:rFonts w:eastAsia="Calibri"/>
          <w:szCs w:val="24"/>
          <w:lang w:eastAsia="en-US" w:bidi="he-IL"/>
        </w:rPr>
        <w:t xml:space="preserve"> </w:t>
      </w:r>
      <w:r>
        <w:rPr>
          <w:rFonts w:eastAsia="Calibri"/>
          <w:szCs w:val="24"/>
          <w:lang w:eastAsia="en-US" w:bidi="he-IL"/>
        </w:rPr>
        <w:t>S</w:t>
      </w:r>
      <w:r w:rsidRPr="00437BAF">
        <w:rPr>
          <w:rFonts w:eastAsia="Calibri"/>
          <w:szCs w:val="24"/>
          <w:lang w:eastAsia="en-US" w:bidi="he-IL"/>
        </w:rPr>
        <w:t xml:space="preserve">urengtas tarptautinis skulptūrų simpoziumas, kurio metu sukurtos 10 skulptūrų buvo įrengtos Mažajame Ąžuolyne. </w:t>
      </w:r>
    </w:p>
    <w:p w14:paraId="5C106D5B" w14:textId="4D46B6DE" w:rsidR="00D354BA" w:rsidRPr="00D354BA" w:rsidRDefault="00437BAF" w:rsidP="00437BAF">
      <w:pPr>
        <w:spacing w:line="360" w:lineRule="auto"/>
        <w:ind w:firstLine="1298"/>
        <w:jc w:val="both"/>
        <w:rPr>
          <w:rFonts w:eastAsia="Calibri"/>
          <w:szCs w:val="24"/>
          <w:lang w:eastAsia="en-US" w:bidi="he-IL"/>
        </w:rPr>
      </w:pPr>
      <w:r w:rsidRPr="00437BAF">
        <w:rPr>
          <w:rFonts w:eastAsia="Calibri"/>
          <w:szCs w:val="24"/>
          <w:lang w:eastAsia="en-US" w:bidi="he-IL"/>
        </w:rPr>
        <w:t>2025 m</w:t>
      </w:r>
      <w:r>
        <w:rPr>
          <w:rFonts w:eastAsia="Calibri"/>
          <w:szCs w:val="24"/>
          <w:lang w:eastAsia="en-US" w:bidi="he-IL"/>
        </w:rPr>
        <w:t xml:space="preserve">etais </w:t>
      </w:r>
      <w:r w:rsidRPr="00437BAF">
        <w:rPr>
          <w:rFonts w:eastAsia="Calibri"/>
          <w:szCs w:val="24"/>
          <w:lang w:eastAsia="en-US" w:bidi="he-IL"/>
        </w:rPr>
        <w:t xml:space="preserve">miesto plėtros ir paveldosaugos veikla buvo orientuota į ilgalaikę urbanistinę viziją, aukštos architektūrinės kokybės viešųjų erdvių kūrimą ir kultūros paveldo integravimą į šiuolaikinį Kauną. </w:t>
      </w:r>
      <w:r w:rsidR="009A2B2A">
        <w:rPr>
          <w:rFonts w:eastAsia="Calibri"/>
          <w:szCs w:val="24"/>
          <w:lang w:eastAsia="en-US" w:bidi="he-IL"/>
        </w:rPr>
        <w:t>M</w:t>
      </w:r>
      <w:r w:rsidR="000E29F9" w:rsidRPr="00D354BA">
        <w:rPr>
          <w:rFonts w:eastAsia="Calibri"/>
          <w:szCs w:val="24"/>
          <w:lang w:eastAsia="en-US" w:bidi="he-IL"/>
        </w:rPr>
        <w:t>iesto plėtra</w:t>
      </w:r>
      <w:r w:rsidR="009A2B2A">
        <w:rPr>
          <w:rFonts w:eastAsia="Calibri"/>
          <w:szCs w:val="24"/>
          <w:lang w:eastAsia="en-US" w:bidi="he-IL"/>
        </w:rPr>
        <w:t xml:space="preserve"> ir toliau</w:t>
      </w:r>
      <w:r w:rsidR="000E29F9" w:rsidRPr="00D354BA">
        <w:rPr>
          <w:rFonts w:eastAsia="Calibri"/>
          <w:szCs w:val="24"/>
          <w:lang w:eastAsia="en-US" w:bidi="he-IL"/>
        </w:rPr>
        <w:t xml:space="preserve"> buvo grindžiama ne atsitiktiniais sprendimais, o nuosekliu, ilgalaikiu ir subalansuotu planavimu.</w:t>
      </w:r>
      <w:r w:rsidR="00887130">
        <w:rPr>
          <w:rFonts w:eastAsia="Calibri"/>
          <w:szCs w:val="24"/>
          <w:lang w:eastAsia="en-US" w:bidi="he-IL"/>
        </w:rPr>
        <w:t xml:space="preserve"> </w:t>
      </w:r>
    </w:p>
    <w:p w14:paraId="7D403045" w14:textId="7F9A642D"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Švietimo infrastruktūra 2025 metais išliko viena svarbiausių miesto plėtros ašių. Tęsta Tūkstantmečio mokyklų, kurioje dalyvaujančiose vienuolikoje Kauno miesto švietimo įstaigų buvo atnaujinama infrastruktūra, įrengiamos laboratorijos, kūrybinės ir poilsio erdvės, modernizuojamos aktų salės, diegiama komunikavimo platforma ir stiprinamos pedagogų kompetencijos lyderystės, įtraukties, STEAM ir kultūrinio ugdymo srityse. 2025 metais mokykloms paskirstyt</w:t>
      </w:r>
      <w:r w:rsidR="00086087">
        <w:rPr>
          <w:rFonts w:eastAsia="Calibri"/>
          <w:szCs w:val="24"/>
          <w:lang w:eastAsia="en-US" w:bidi="he-IL"/>
        </w:rPr>
        <w:t>a</w:t>
      </w:r>
      <w:r w:rsidRPr="00D354BA">
        <w:rPr>
          <w:rFonts w:eastAsia="Calibri"/>
          <w:szCs w:val="24"/>
          <w:lang w:eastAsia="en-US" w:bidi="he-IL"/>
        </w:rPr>
        <w:t xml:space="preserve"> </w:t>
      </w:r>
      <w:r w:rsidR="00086087">
        <w:rPr>
          <w:rFonts w:eastAsia="Calibri"/>
          <w:szCs w:val="24"/>
          <w:lang w:eastAsia="en-US" w:bidi="he-IL"/>
        </w:rPr>
        <w:t>daugiau kaip 4</w:t>
      </w:r>
      <w:r w:rsidR="00887130">
        <w:rPr>
          <w:rFonts w:eastAsia="Calibri"/>
          <w:szCs w:val="24"/>
          <w:lang w:eastAsia="en-US" w:bidi="he-IL"/>
        </w:rPr>
        <w:t> </w:t>
      </w:r>
      <w:r w:rsidR="00086087">
        <w:rPr>
          <w:rFonts w:eastAsia="Calibri"/>
          <w:szCs w:val="24"/>
          <w:lang w:eastAsia="en-US" w:bidi="he-IL"/>
        </w:rPr>
        <w:t>tūkst.</w:t>
      </w:r>
      <w:r w:rsidRPr="00D354BA">
        <w:rPr>
          <w:rFonts w:eastAsia="Calibri"/>
          <w:szCs w:val="24"/>
          <w:lang w:eastAsia="en-US" w:bidi="he-IL"/>
        </w:rPr>
        <w:t xml:space="preserve"> </w:t>
      </w:r>
      <w:r w:rsidR="00086087">
        <w:rPr>
          <w:rFonts w:eastAsia="Calibri"/>
          <w:szCs w:val="24"/>
          <w:lang w:eastAsia="en-US" w:bidi="he-IL"/>
        </w:rPr>
        <w:t>nešiojamųjų kompiuterių</w:t>
      </w:r>
      <w:r w:rsidRPr="00D354BA">
        <w:rPr>
          <w:rFonts w:eastAsia="Calibri"/>
          <w:szCs w:val="24"/>
          <w:lang w:eastAsia="en-US" w:bidi="he-IL"/>
        </w:rPr>
        <w:t xml:space="preserve">, plėtota kalbų laboratorijų ir STEAM laboratorijų infrastruktūra. Tarp reikšmingiausių metų sprendimų išskirtini trys nauji projektų įgyvendinimo </w:t>
      </w:r>
      <w:r w:rsidR="000E29F9">
        <w:rPr>
          <w:rFonts w:eastAsia="Calibri"/>
          <w:szCs w:val="24"/>
          <w:lang w:eastAsia="en-US" w:bidi="he-IL"/>
        </w:rPr>
        <w:t>projektai</w:t>
      </w:r>
      <w:r w:rsidRPr="00D354BA">
        <w:rPr>
          <w:rFonts w:eastAsia="Calibri"/>
          <w:szCs w:val="24"/>
          <w:lang w:eastAsia="en-US" w:bidi="he-IL"/>
        </w:rPr>
        <w:t xml:space="preserve"> – STEAM</w:t>
      </w:r>
      <w:r w:rsidR="00887130">
        <w:rPr>
          <w:rFonts w:eastAsia="Calibri"/>
          <w:szCs w:val="24"/>
          <w:lang w:eastAsia="en-US" w:bidi="he-IL"/>
        </w:rPr>
        <w:t> </w:t>
      </w:r>
      <w:r w:rsidRPr="00D354BA">
        <w:rPr>
          <w:rFonts w:eastAsia="Calibri"/>
          <w:szCs w:val="24"/>
          <w:lang w:eastAsia="en-US" w:bidi="he-IL"/>
        </w:rPr>
        <w:t xml:space="preserve">neformaliojo ugdymo centro įrengimo, Prezidento Valdo Adamkaus gimnazijos pastato rekonstrukcijos ir Vaišvydavos parko įjungimo į miesto urbanistinę struktūrą. </w:t>
      </w:r>
      <w:r w:rsidR="000E29F9">
        <w:rPr>
          <w:rFonts w:eastAsia="Calibri"/>
          <w:szCs w:val="24"/>
          <w:lang w:eastAsia="en-US" w:bidi="he-IL"/>
        </w:rPr>
        <w:t xml:space="preserve">Be to, pažymėtini </w:t>
      </w:r>
      <w:r w:rsidR="000E29F9">
        <w:rPr>
          <w:rFonts w:eastAsia="Calibri"/>
          <w:szCs w:val="24"/>
          <w:lang w:eastAsia="en-US" w:bidi="he-IL"/>
        </w:rPr>
        <w:lastRenderedPageBreak/>
        <w:t>sėkmingai vykdomi</w:t>
      </w:r>
      <w:r w:rsidRPr="00D354BA">
        <w:rPr>
          <w:rFonts w:eastAsia="Calibri"/>
          <w:szCs w:val="24"/>
          <w:lang w:eastAsia="en-US" w:bidi="he-IL"/>
        </w:rPr>
        <w:t xml:space="preserve"> Tirkiliškių mokyklos-darželio bei Vijūkų g. 78 darželio statybos projektai</w:t>
      </w:r>
      <w:r w:rsidR="000E29F9">
        <w:rPr>
          <w:rFonts w:eastAsia="Calibri"/>
          <w:szCs w:val="24"/>
          <w:lang w:eastAsia="en-US" w:bidi="he-IL"/>
        </w:rPr>
        <w:t>, kuriuos užbaigus, bus sukurta daugiau kaip 500 vietų vaikams</w:t>
      </w:r>
      <w:r w:rsidRPr="00D354BA">
        <w:rPr>
          <w:rFonts w:eastAsia="Calibri"/>
          <w:szCs w:val="24"/>
          <w:lang w:eastAsia="en-US" w:bidi="he-IL"/>
        </w:rPr>
        <w:t xml:space="preserve">. </w:t>
      </w:r>
      <w:r w:rsidR="000E29F9">
        <w:rPr>
          <w:rFonts w:eastAsia="Calibri"/>
          <w:szCs w:val="24"/>
          <w:lang w:eastAsia="en-US" w:bidi="he-IL"/>
        </w:rPr>
        <w:t>K</w:t>
      </w:r>
      <w:r w:rsidRPr="00D354BA">
        <w:rPr>
          <w:rFonts w:eastAsia="Calibri"/>
          <w:szCs w:val="24"/>
          <w:lang w:eastAsia="en-US" w:bidi="he-IL"/>
        </w:rPr>
        <w:t>okybiškos ugdymo aplinkos kūrim</w:t>
      </w:r>
      <w:r w:rsidR="000E29F9">
        <w:rPr>
          <w:rFonts w:eastAsia="Calibri"/>
          <w:szCs w:val="24"/>
          <w:lang w:eastAsia="en-US" w:bidi="he-IL"/>
        </w:rPr>
        <w:t>as</w:t>
      </w:r>
      <w:r w:rsidRPr="00D354BA">
        <w:rPr>
          <w:rFonts w:eastAsia="Calibri"/>
          <w:szCs w:val="24"/>
          <w:lang w:eastAsia="en-US" w:bidi="he-IL"/>
        </w:rPr>
        <w:t xml:space="preserve"> ir jaunajai kartai palankios miesto struktūros stiprinim</w:t>
      </w:r>
      <w:r w:rsidR="000E29F9">
        <w:rPr>
          <w:rFonts w:eastAsia="Calibri"/>
          <w:szCs w:val="24"/>
          <w:lang w:eastAsia="en-US" w:bidi="he-IL"/>
        </w:rPr>
        <w:t>as – vienas iš svarbiausių akcentų Savivaldybės veikloje</w:t>
      </w:r>
      <w:r w:rsidRPr="00D354BA">
        <w:rPr>
          <w:rFonts w:eastAsia="Calibri"/>
          <w:szCs w:val="24"/>
          <w:lang w:eastAsia="en-US" w:bidi="he-IL"/>
        </w:rPr>
        <w:t>.</w:t>
      </w:r>
      <w:r w:rsidR="00887130">
        <w:rPr>
          <w:rFonts w:eastAsia="Calibri"/>
          <w:szCs w:val="24"/>
          <w:lang w:eastAsia="en-US" w:bidi="he-IL"/>
        </w:rPr>
        <w:t xml:space="preserve"> </w:t>
      </w:r>
    </w:p>
    <w:p w14:paraId="2288BCB5" w14:textId="7D3DB37F" w:rsid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 xml:space="preserve">Reikšminga miesto plėtros dalis buvo ir sveikatos priežiūros infrastruktūros stiprinimas. 2025 metais tęsti ambulatorinės slaugos paslaugų namuose kokybės ir prieinamumo gerinimo, sveikatos priežiūros paslaugų kokybės ir prieinamumo gerinimo, sveikatos priežiūros paslaugoms teikti reikiamos infrastruktūros modernizavimo, specialistų rengimo ir pritraukimo bei Kauno miesto sveikatos centro veiklos modelio diegimo projektai. Metų pabaigoje pasirašyta finansavimo sutartis projektui „Švietimo pagalbos ir koordinuotai teikiamų paslaugų užtikrinimas Kauno mieste“, o kolektyvinės apsaugos ir priedangų infrastruktūros </w:t>
      </w:r>
      <w:r w:rsidR="000E29F9">
        <w:rPr>
          <w:rFonts w:eastAsia="Calibri"/>
          <w:szCs w:val="24"/>
          <w:lang w:eastAsia="en-US" w:bidi="he-IL"/>
        </w:rPr>
        <w:t>plėtros projektai</w:t>
      </w:r>
      <w:r w:rsidRPr="00D354BA">
        <w:rPr>
          <w:rFonts w:eastAsia="Calibri"/>
          <w:szCs w:val="24"/>
          <w:lang w:eastAsia="en-US" w:bidi="he-IL"/>
        </w:rPr>
        <w:t xml:space="preserve"> papildė šią kryptį </w:t>
      </w:r>
      <w:r w:rsidR="000E29F9">
        <w:rPr>
          <w:rFonts w:eastAsia="Calibri"/>
          <w:szCs w:val="24"/>
          <w:lang w:eastAsia="en-US" w:bidi="he-IL"/>
        </w:rPr>
        <w:t>saugumo</w:t>
      </w:r>
      <w:r w:rsidRPr="00D354BA">
        <w:rPr>
          <w:rFonts w:eastAsia="Calibri"/>
          <w:szCs w:val="24"/>
          <w:lang w:eastAsia="en-US" w:bidi="he-IL"/>
        </w:rPr>
        <w:t xml:space="preserve"> aspektu. 2025 metais buvo baigtas projektas „Ambulatorinės slaugos paslaugų namuose kokybės ir prieinamumo gerinimas“, o paslaugas gavo apie 6</w:t>
      </w:r>
      <w:r w:rsidR="000E29F9">
        <w:rPr>
          <w:rFonts w:eastAsia="Calibri"/>
          <w:szCs w:val="24"/>
          <w:lang w:eastAsia="en-US" w:bidi="he-IL"/>
        </w:rPr>
        <w:t> </w:t>
      </w:r>
      <w:r w:rsidRPr="00D354BA">
        <w:rPr>
          <w:rFonts w:eastAsia="Calibri"/>
          <w:szCs w:val="24"/>
          <w:lang w:eastAsia="en-US" w:bidi="he-IL"/>
        </w:rPr>
        <w:t xml:space="preserve">500 gyventojų. Taip pat pradėtas paliatyviosios pagalbos paslaugų plėtros projektas. Šie rezultatai rodo, kad miesto plėtra </w:t>
      </w:r>
      <w:r w:rsidR="000E29F9">
        <w:rPr>
          <w:rFonts w:eastAsia="Calibri"/>
          <w:szCs w:val="24"/>
          <w:lang w:eastAsia="en-US" w:bidi="he-IL"/>
        </w:rPr>
        <w:t>orientuojama</w:t>
      </w:r>
      <w:r w:rsidRPr="00D354BA">
        <w:rPr>
          <w:rFonts w:eastAsia="Calibri"/>
          <w:szCs w:val="24"/>
          <w:lang w:eastAsia="en-US" w:bidi="he-IL"/>
        </w:rPr>
        <w:t xml:space="preserve"> ne tik į statinius, bet ir į realų paslaugų prieinamumo bei kokybės gerinimą.</w:t>
      </w:r>
      <w:r w:rsidR="00887130">
        <w:rPr>
          <w:rFonts w:eastAsia="Calibri"/>
          <w:szCs w:val="24"/>
          <w:lang w:eastAsia="en-US" w:bidi="he-IL"/>
        </w:rPr>
        <w:t xml:space="preserve"> </w:t>
      </w:r>
    </w:p>
    <w:p w14:paraId="25A466BE" w14:textId="7FC2166A" w:rsidR="00007F11" w:rsidRPr="00D354BA" w:rsidRDefault="00007F11" w:rsidP="00D354BA">
      <w:pPr>
        <w:spacing w:line="360" w:lineRule="auto"/>
        <w:ind w:firstLine="1298"/>
        <w:jc w:val="both"/>
        <w:rPr>
          <w:rFonts w:eastAsia="Calibri"/>
          <w:szCs w:val="24"/>
          <w:lang w:eastAsia="en-US" w:bidi="he-IL"/>
        </w:rPr>
      </w:pPr>
      <w:r>
        <w:rPr>
          <w:rFonts w:eastAsia="Calibri"/>
          <w:szCs w:val="24"/>
          <w:lang w:eastAsia="en-US" w:bidi="he-IL"/>
        </w:rPr>
        <w:t>Atliepiant geopolitinę situaciją, didinant miesto saugumą, p</w:t>
      </w:r>
      <w:r w:rsidRPr="00FF4F5D">
        <w:rPr>
          <w:rFonts w:eastAsia="Calibri"/>
          <w:szCs w:val="24"/>
          <w:lang w:eastAsia="en-US" w:bidi="he-IL"/>
        </w:rPr>
        <w:t>er metus įrengtos 6</w:t>
      </w:r>
      <w:r w:rsidR="00887130">
        <w:rPr>
          <w:rFonts w:eastAsia="Calibri"/>
          <w:szCs w:val="24"/>
          <w:lang w:eastAsia="en-US" w:bidi="he-IL"/>
        </w:rPr>
        <w:t> </w:t>
      </w:r>
      <w:r w:rsidRPr="00FF4F5D">
        <w:rPr>
          <w:rFonts w:eastAsia="Calibri"/>
          <w:szCs w:val="24"/>
          <w:lang w:eastAsia="en-US" w:bidi="he-IL"/>
        </w:rPr>
        <w:t>priedangos daugiabučiuose namuose, o metų pabaigoje kolektyvinės apsaugos statinių sąraše buvo 223 objektai, kurių bendras plotas sudarė 541</w:t>
      </w:r>
      <w:r>
        <w:rPr>
          <w:rFonts w:eastAsia="Calibri"/>
          <w:szCs w:val="24"/>
          <w:lang w:eastAsia="en-US" w:bidi="he-IL"/>
        </w:rPr>
        <w:t>,2 tūkst.</w:t>
      </w:r>
      <w:r w:rsidRPr="00FF4F5D">
        <w:rPr>
          <w:rFonts w:eastAsia="Calibri"/>
          <w:szCs w:val="24"/>
          <w:lang w:eastAsia="en-US" w:bidi="he-IL"/>
        </w:rPr>
        <w:t xml:space="preserve"> kv. m ir kurie galėtų talpinti 154</w:t>
      </w:r>
      <w:r>
        <w:rPr>
          <w:rFonts w:eastAsia="Calibri"/>
          <w:szCs w:val="24"/>
          <w:lang w:eastAsia="en-US" w:bidi="he-IL"/>
        </w:rPr>
        <w:t>,6</w:t>
      </w:r>
      <w:r w:rsidR="005F12F2">
        <w:rPr>
          <w:rFonts w:eastAsia="Calibri"/>
          <w:szCs w:val="24"/>
          <w:lang w:eastAsia="en-US" w:bidi="he-IL"/>
        </w:rPr>
        <w:t> </w:t>
      </w:r>
      <w:r>
        <w:rPr>
          <w:rFonts w:eastAsia="Calibri"/>
          <w:szCs w:val="24"/>
          <w:lang w:eastAsia="en-US" w:bidi="he-IL"/>
        </w:rPr>
        <w:t>tūkst.</w:t>
      </w:r>
      <w:r w:rsidR="005F12F2">
        <w:rPr>
          <w:rFonts w:eastAsia="Calibri"/>
          <w:szCs w:val="24"/>
          <w:lang w:eastAsia="en-US" w:bidi="he-IL"/>
        </w:rPr>
        <w:t> </w:t>
      </w:r>
      <w:r w:rsidRPr="00FF4F5D">
        <w:rPr>
          <w:rFonts w:eastAsia="Calibri"/>
          <w:szCs w:val="24"/>
          <w:lang w:eastAsia="en-US" w:bidi="he-IL"/>
        </w:rPr>
        <w:t>gyventoj</w:t>
      </w:r>
      <w:r>
        <w:rPr>
          <w:rFonts w:eastAsia="Calibri"/>
          <w:szCs w:val="24"/>
          <w:lang w:eastAsia="en-US" w:bidi="he-IL"/>
        </w:rPr>
        <w:t>ų</w:t>
      </w:r>
      <w:r w:rsidRPr="00FF4F5D">
        <w:rPr>
          <w:rFonts w:eastAsia="Calibri"/>
          <w:szCs w:val="24"/>
          <w:lang w:eastAsia="en-US" w:bidi="he-IL"/>
        </w:rPr>
        <w:t xml:space="preserve">. Priedangų sąraše </w:t>
      </w:r>
      <w:r w:rsidR="00887130">
        <w:rPr>
          <w:rFonts w:eastAsia="Calibri"/>
          <w:szCs w:val="24"/>
          <w:lang w:eastAsia="en-US" w:bidi="he-IL"/>
        </w:rPr>
        <w:t>–</w:t>
      </w:r>
      <w:r>
        <w:rPr>
          <w:rFonts w:eastAsia="Calibri"/>
          <w:szCs w:val="24"/>
          <w:lang w:eastAsia="en-US" w:bidi="he-IL"/>
        </w:rPr>
        <w:t xml:space="preserve"> </w:t>
      </w:r>
      <w:r w:rsidRPr="00FF4F5D">
        <w:rPr>
          <w:rFonts w:eastAsia="Calibri"/>
          <w:szCs w:val="24"/>
          <w:lang w:eastAsia="en-US" w:bidi="he-IL"/>
        </w:rPr>
        <w:t>334 objektai, kurių bendras plotas</w:t>
      </w:r>
      <w:r w:rsidR="00C85B8B">
        <w:rPr>
          <w:rFonts w:eastAsia="Calibri"/>
          <w:szCs w:val="24"/>
          <w:lang w:eastAsia="en-US" w:bidi="he-IL"/>
        </w:rPr>
        <w:t xml:space="preserve"> –</w:t>
      </w:r>
      <w:r w:rsidRPr="00FF4F5D">
        <w:rPr>
          <w:rFonts w:eastAsia="Calibri"/>
          <w:szCs w:val="24"/>
          <w:lang w:eastAsia="en-US" w:bidi="he-IL"/>
        </w:rPr>
        <w:t xml:space="preserve"> 204</w:t>
      </w:r>
      <w:r>
        <w:rPr>
          <w:rFonts w:eastAsia="Calibri"/>
          <w:szCs w:val="24"/>
          <w:lang w:eastAsia="en-US" w:bidi="he-IL"/>
        </w:rPr>
        <w:t>,9 tūkst.</w:t>
      </w:r>
      <w:r w:rsidRPr="00FF4F5D">
        <w:rPr>
          <w:rFonts w:eastAsia="Calibri"/>
          <w:szCs w:val="24"/>
          <w:lang w:eastAsia="en-US" w:bidi="he-IL"/>
        </w:rPr>
        <w:t xml:space="preserve"> kv. m ir kuri</w:t>
      </w:r>
      <w:r w:rsidR="00C85B8B">
        <w:rPr>
          <w:rFonts w:eastAsia="Calibri"/>
          <w:szCs w:val="24"/>
          <w:lang w:eastAsia="en-US" w:bidi="he-IL"/>
        </w:rPr>
        <w:t>uose</w:t>
      </w:r>
      <w:r w:rsidRPr="00FF4F5D">
        <w:rPr>
          <w:rFonts w:eastAsia="Calibri"/>
          <w:szCs w:val="24"/>
          <w:lang w:eastAsia="en-US" w:bidi="he-IL"/>
        </w:rPr>
        <w:t xml:space="preserve"> galėtų </w:t>
      </w:r>
      <w:r w:rsidR="00C85B8B">
        <w:rPr>
          <w:rFonts w:eastAsia="Calibri"/>
          <w:szCs w:val="24"/>
          <w:lang w:eastAsia="en-US" w:bidi="he-IL"/>
        </w:rPr>
        <w:t xml:space="preserve">tilpti </w:t>
      </w:r>
      <w:r w:rsidRPr="00FF4F5D">
        <w:rPr>
          <w:rFonts w:eastAsia="Calibri"/>
          <w:szCs w:val="24"/>
          <w:lang w:eastAsia="en-US" w:bidi="he-IL"/>
        </w:rPr>
        <w:t>136</w:t>
      </w:r>
      <w:r>
        <w:rPr>
          <w:rFonts w:eastAsia="Calibri"/>
          <w:szCs w:val="24"/>
          <w:lang w:eastAsia="en-US" w:bidi="he-IL"/>
        </w:rPr>
        <w:t>,6 tūkst.</w:t>
      </w:r>
      <w:r w:rsidRPr="00FF4F5D">
        <w:rPr>
          <w:rFonts w:eastAsia="Calibri"/>
          <w:szCs w:val="24"/>
          <w:lang w:eastAsia="en-US" w:bidi="he-IL"/>
        </w:rPr>
        <w:t xml:space="preserve"> gyventojų arba 44,9 proc. </w:t>
      </w:r>
      <w:r w:rsidR="00C85B8B">
        <w:rPr>
          <w:rFonts w:eastAsia="Calibri"/>
          <w:szCs w:val="24"/>
          <w:lang w:eastAsia="en-US" w:bidi="he-IL"/>
        </w:rPr>
        <w:t xml:space="preserve">visų </w:t>
      </w:r>
      <w:r w:rsidR="00032961">
        <w:rPr>
          <w:rFonts w:eastAsia="Calibri"/>
          <w:szCs w:val="24"/>
          <w:lang w:eastAsia="en-US" w:bidi="he-IL"/>
        </w:rPr>
        <w:t>S</w:t>
      </w:r>
      <w:r w:rsidRPr="00FF4F5D">
        <w:rPr>
          <w:rFonts w:eastAsia="Calibri"/>
          <w:szCs w:val="24"/>
          <w:lang w:eastAsia="en-US" w:bidi="he-IL"/>
        </w:rPr>
        <w:t>avivaldybės gyventojų.</w:t>
      </w:r>
      <w:r w:rsidR="00887130">
        <w:rPr>
          <w:rFonts w:eastAsia="Calibri"/>
          <w:szCs w:val="24"/>
          <w:lang w:eastAsia="en-US" w:bidi="he-IL"/>
        </w:rPr>
        <w:t xml:space="preserve"> </w:t>
      </w:r>
    </w:p>
    <w:p w14:paraId="72BC261F" w14:textId="631C4A84" w:rsidR="00D354BA" w:rsidRPr="00D354BA" w:rsidRDefault="00D354BA" w:rsidP="00D354BA">
      <w:pPr>
        <w:spacing w:line="360" w:lineRule="auto"/>
        <w:ind w:firstLine="1298"/>
        <w:jc w:val="both"/>
        <w:rPr>
          <w:rFonts w:eastAsia="Calibri"/>
          <w:szCs w:val="24"/>
          <w:lang w:eastAsia="en-US" w:bidi="he-IL"/>
        </w:rPr>
      </w:pPr>
      <w:r w:rsidRPr="00F31D75">
        <w:rPr>
          <w:rFonts w:eastAsia="Calibri"/>
          <w:szCs w:val="24"/>
          <w:lang w:eastAsia="en-US" w:bidi="he-IL"/>
        </w:rPr>
        <w:t>Sporto</w:t>
      </w:r>
      <w:r w:rsidRPr="00D354BA">
        <w:rPr>
          <w:rFonts w:eastAsia="Calibri"/>
          <w:szCs w:val="24"/>
          <w:lang w:eastAsia="en-US" w:bidi="he-IL"/>
        </w:rPr>
        <w:t xml:space="preserve"> infrastruktūra 2025 metais tapo viena ryškiausių miesto plėtros krypčių. Gegužės 6 d. atidarytas Prezidento Valdo Adamkaus lengvosios atletikos maniežas tapo moderniausiu tokio pobūdžio objektu Baltijos šalyse. Rugsėjo 30 d. atidarytas Kauno plaukimo mokyklos Šilainių baseinas, rugsėjo 6 d. </w:t>
      </w:r>
      <w:r w:rsidR="000E29F9">
        <w:rPr>
          <w:rFonts w:eastAsia="Calibri"/>
          <w:szCs w:val="24"/>
          <w:lang w:eastAsia="en-US" w:bidi="he-IL"/>
        </w:rPr>
        <w:t xml:space="preserve">Neptūno įlankoje </w:t>
      </w:r>
      <w:r w:rsidRPr="00D354BA">
        <w:rPr>
          <w:rFonts w:eastAsia="Calibri"/>
          <w:szCs w:val="24"/>
          <w:lang w:eastAsia="en-US" w:bidi="he-IL"/>
        </w:rPr>
        <w:t xml:space="preserve">atidaryta nauja Kauno sporto mokyklos „Bangpūtys“ buriavimo sporto bazė, o spalio 23 d. – Kauno Maironio gimnazijos sporto salė. Kartu tęsta </w:t>
      </w:r>
      <w:r w:rsidR="000E29F9">
        <w:rPr>
          <w:rFonts w:eastAsia="Calibri"/>
          <w:szCs w:val="24"/>
          <w:lang w:eastAsia="en-US" w:bidi="he-IL"/>
        </w:rPr>
        <w:t xml:space="preserve">Panemunės </w:t>
      </w:r>
      <w:r w:rsidRPr="00D354BA">
        <w:rPr>
          <w:rFonts w:eastAsia="Calibri"/>
          <w:szCs w:val="24"/>
          <w:lang w:eastAsia="en-US" w:bidi="he-IL"/>
        </w:rPr>
        <w:t>baseino statyba. Toks sporto objektų tinklo augimas ne tik išplėtė miestiečiams prieinamas sporto erdves, bet ir sustiprino Kauno, kaip fiziškai aktyvaus miesto, identitetą.</w:t>
      </w:r>
      <w:r w:rsidR="00F31D75">
        <w:rPr>
          <w:rFonts w:eastAsia="Calibri"/>
          <w:szCs w:val="24"/>
          <w:lang w:eastAsia="en-US" w:bidi="he-IL"/>
        </w:rPr>
        <w:t xml:space="preserve"> </w:t>
      </w:r>
    </w:p>
    <w:p w14:paraId="370F6035" w14:textId="0DF0011A"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Pažanga fiksuota ir vystomuose sporto infrastruktūros projektuose, ypač Aleksote ir kitose strategiškai svarbiose miesto teritorijose. Europos pr. 105A teritorijoje buvo parengtas universalaus futbolo ir regbio maniežo projektas, išduotas statybos leidimas ir vykdytos rango</w:t>
      </w:r>
      <w:r w:rsidR="00EC149D">
        <w:rPr>
          <w:rFonts w:eastAsia="Calibri"/>
          <w:szCs w:val="24"/>
          <w:lang w:eastAsia="en-US" w:bidi="he-IL"/>
        </w:rPr>
        <w:t>vo atrankos</w:t>
      </w:r>
      <w:r w:rsidRPr="00D354BA">
        <w:rPr>
          <w:rFonts w:eastAsia="Calibri"/>
          <w:szCs w:val="24"/>
          <w:lang w:eastAsia="en-US" w:bidi="he-IL"/>
        </w:rPr>
        <w:t xml:space="preserve"> procedūros. Veiverių g. 132 vystomas atviro lauko sporto aikštyno projektas</w:t>
      </w:r>
      <w:r w:rsidR="00EC149D">
        <w:rPr>
          <w:rFonts w:eastAsia="Calibri"/>
          <w:szCs w:val="24"/>
          <w:lang w:eastAsia="en-US" w:bidi="he-IL"/>
        </w:rPr>
        <w:t>,</w:t>
      </w:r>
      <w:r w:rsidRPr="00D354BA">
        <w:rPr>
          <w:rFonts w:eastAsia="Calibri"/>
          <w:szCs w:val="24"/>
          <w:lang w:eastAsia="en-US" w:bidi="he-IL"/>
        </w:rPr>
        <w:t xml:space="preserve"> S. Dariaus ir S.</w:t>
      </w:r>
      <w:r w:rsidR="00F31D75">
        <w:rPr>
          <w:rFonts w:eastAsia="Calibri"/>
          <w:szCs w:val="24"/>
          <w:lang w:eastAsia="en-US" w:bidi="he-IL"/>
        </w:rPr>
        <w:t> </w:t>
      </w:r>
      <w:r w:rsidRPr="00D354BA">
        <w:rPr>
          <w:rFonts w:eastAsia="Calibri"/>
          <w:szCs w:val="24"/>
          <w:lang w:eastAsia="en-US" w:bidi="he-IL"/>
        </w:rPr>
        <w:t>Girėno g. 29A buvo plėtojamas ekstremalaus sporto centro projektas, kuriam gautos teigiamos ekspertizės išvados ir leidimas statybai</w:t>
      </w:r>
      <w:r w:rsidR="00EC149D">
        <w:rPr>
          <w:rFonts w:eastAsia="Calibri"/>
          <w:szCs w:val="24"/>
          <w:lang w:eastAsia="en-US" w:bidi="he-IL"/>
        </w:rPr>
        <w:t>, o V. Mirono g. p</w:t>
      </w:r>
      <w:r w:rsidR="00EC149D" w:rsidRPr="00EC149D">
        <w:rPr>
          <w:rFonts w:eastAsia="Calibri"/>
          <w:szCs w:val="24"/>
          <w:lang w:eastAsia="en-US" w:bidi="he-IL"/>
        </w:rPr>
        <w:t xml:space="preserve">rojektuojamas sporto trijų zonų kompleksas </w:t>
      </w:r>
      <w:r w:rsidR="00EC149D" w:rsidRPr="00EC149D">
        <w:rPr>
          <w:rFonts w:eastAsia="Calibri"/>
          <w:szCs w:val="24"/>
          <w:lang w:eastAsia="en-US" w:bidi="he-IL"/>
        </w:rPr>
        <w:lastRenderedPageBreak/>
        <w:t>(baseino zona, smėlio zona, kietų dangų zona)</w:t>
      </w:r>
      <w:r w:rsidR="004F5D84">
        <w:rPr>
          <w:rFonts w:eastAsia="Calibri"/>
          <w:szCs w:val="24"/>
          <w:lang w:eastAsia="en-US" w:bidi="he-IL"/>
        </w:rPr>
        <w:t xml:space="preserve">. Be to, </w:t>
      </w:r>
      <w:r w:rsidRPr="00D354BA">
        <w:rPr>
          <w:rFonts w:eastAsia="Calibri"/>
          <w:szCs w:val="24"/>
          <w:lang w:eastAsia="en-US" w:bidi="he-IL"/>
        </w:rPr>
        <w:t>Baltijos g. 30, prie Milikonių progimnazijos, 2025</w:t>
      </w:r>
      <w:r w:rsidR="00F31D75">
        <w:rPr>
          <w:rFonts w:eastAsia="Calibri"/>
          <w:szCs w:val="24"/>
          <w:lang w:eastAsia="en-US" w:bidi="he-IL"/>
        </w:rPr>
        <w:t> </w:t>
      </w:r>
      <w:r w:rsidRPr="00D354BA">
        <w:rPr>
          <w:rFonts w:eastAsia="Calibri"/>
          <w:szCs w:val="24"/>
          <w:lang w:eastAsia="en-US" w:bidi="he-IL"/>
        </w:rPr>
        <w:t xml:space="preserve">metais vyko naujo sporto paskirties pastato projektavimas, o Ašigalio gatvės teritorijoje patvirtinti planavimo sprendiniai, sudarantys sąlygas tolesnei sporto infrastruktūros plėtrai. Ryškus metų aktyvaus laisvalaikio akcentas – Panemunės šile atidaryta didžiausia Lietuvoje </w:t>
      </w:r>
      <w:r w:rsidR="004F5D84" w:rsidRPr="004F5D84">
        <w:rPr>
          <w:rFonts w:eastAsia="Calibri"/>
          <w:szCs w:val="24"/>
          <w:lang w:eastAsia="en-US" w:bidi="he-IL"/>
        </w:rPr>
        <w:t>ekstremal</w:t>
      </w:r>
      <w:r w:rsidR="00F31D75">
        <w:rPr>
          <w:rFonts w:eastAsia="Calibri"/>
          <w:szCs w:val="24"/>
          <w:lang w:eastAsia="en-US" w:bidi="he-IL"/>
        </w:rPr>
        <w:t xml:space="preserve">iojo </w:t>
      </w:r>
      <w:r w:rsidR="004F5D84" w:rsidRPr="004F5D84">
        <w:rPr>
          <w:rFonts w:eastAsia="Calibri"/>
          <w:szCs w:val="24"/>
          <w:lang w:eastAsia="en-US" w:bidi="he-IL"/>
        </w:rPr>
        <w:t xml:space="preserve">bėgimo su kliūtimis </w:t>
      </w:r>
      <w:r w:rsidR="00F31D75">
        <w:rPr>
          <w:rFonts w:eastAsia="Calibri"/>
          <w:szCs w:val="24"/>
          <w:lang w:eastAsia="en-US" w:bidi="he-IL"/>
        </w:rPr>
        <w:t>–</w:t>
      </w:r>
      <w:r w:rsidR="004F5D84" w:rsidRPr="004F5D84">
        <w:rPr>
          <w:rFonts w:eastAsia="Calibri"/>
          <w:szCs w:val="24"/>
          <w:lang w:eastAsia="en-US" w:bidi="he-IL"/>
        </w:rPr>
        <w:t xml:space="preserve"> OCR aikštelė</w:t>
      </w:r>
      <w:r w:rsidRPr="00D354BA">
        <w:rPr>
          <w:rFonts w:eastAsia="Calibri"/>
          <w:szCs w:val="24"/>
          <w:lang w:eastAsia="en-US" w:bidi="he-IL"/>
        </w:rPr>
        <w:t xml:space="preserve">. </w:t>
      </w:r>
      <w:r w:rsidR="004F5D84">
        <w:rPr>
          <w:rFonts w:eastAsia="Calibri"/>
          <w:szCs w:val="24"/>
          <w:lang w:eastAsia="en-US" w:bidi="he-IL"/>
        </w:rPr>
        <w:t>Akivaizdu</w:t>
      </w:r>
      <w:r w:rsidRPr="00D354BA">
        <w:rPr>
          <w:rFonts w:eastAsia="Calibri"/>
          <w:szCs w:val="24"/>
          <w:lang w:eastAsia="en-US" w:bidi="he-IL"/>
        </w:rPr>
        <w:t>, kad sporto plėtra Kaune 2025 metais buvo ne vien atskirų objektų atidarymo, bet ir kryptingo ilgalaikio sporto erdvių tinklo kūrimo klausimas.</w:t>
      </w:r>
      <w:r w:rsidR="00F31D75">
        <w:rPr>
          <w:rFonts w:eastAsia="Calibri"/>
          <w:szCs w:val="24"/>
          <w:lang w:eastAsia="en-US" w:bidi="he-IL"/>
        </w:rPr>
        <w:t xml:space="preserve"> </w:t>
      </w:r>
    </w:p>
    <w:p w14:paraId="63EAAF49" w14:textId="43E468F9"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Sporto infrastruktūros plėtrą lydėjo ir aktyvus sportinis gyvenimas. Visame mieste įrengta ir atnaujinta 11 naujų sporto bei 14 vaikų žaidimo aikštelių, o jų įrengimo ir priežiūros darbams skirta daugiau kaip 2</w:t>
      </w:r>
      <w:r w:rsidR="004F5D84">
        <w:rPr>
          <w:rFonts w:eastAsia="Calibri"/>
          <w:szCs w:val="24"/>
          <w:lang w:eastAsia="en-US" w:bidi="he-IL"/>
        </w:rPr>
        <w:t> </w:t>
      </w:r>
      <w:r w:rsidRPr="00D354BA">
        <w:rPr>
          <w:rFonts w:eastAsia="Calibri"/>
          <w:szCs w:val="24"/>
          <w:lang w:eastAsia="en-US" w:bidi="he-IL"/>
        </w:rPr>
        <w:t>3</w:t>
      </w:r>
      <w:r w:rsidR="004F5D84">
        <w:rPr>
          <w:rFonts w:eastAsia="Calibri"/>
          <w:szCs w:val="24"/>
          <w:lang w:eastAsia="en-US" w:bidi="he-IL"/>
        </w:rPr>
        <w:t>00,0 tūkst.</w:t>
      </w:r>
      <w:r w:rsidRPr="00D354BA">
        <w:rPr>
          <w:rFonts w:eastAsia="Calibri"/>
          <w:szCs w:val="24"/>
          <w:lang w:eastAsia="en-US" w:bidi="he-IL"/>
        </w:rPr>
        <w:t xml:space="preserve"> Eur. Papildomai sporto infrastruktūrai ir teikiamų paslaugų kokybei užtikrinti nupirkta sporto inventoriaus už 136</w:t>
      </w:r>
      <w:r w:rsidR="005F12F2">
        <w:rPr>
          <w:rFonts w:eastAsia="Calibri"/>
          <w:szCs w:val="24"/>
          <w:lang w:eastAsia="en-US" w:bidi="he-IL"/>
        </w:rPr>
        <w:t xml:space="preserve"> </w:t>
      </w:r>
      <w:r w:rsidR="004F5D84">
        <w:rPr>
          <w:rFonts w:eastAsia="Calibri"/>
          <w:szCs w:val="24"/>
          <w:lang w:eastAsia="en-US" w:bidi="he-IL"/>
        </w:rPr>
        <w:t>tūkst.</w:t>
      </w:r>
      <w:r w:rsidRPr="00D354BA">
        <w:rPr>
          <w:rFonts w:eastAsia="Calibri"/>
          <w:szCs w:val="24"/>
          <w:lang w:eastAsia="en-US" w:bidi="he-IL"/>
        </w:rPr>
        <w:t xml:space="preserve"> Eur. 2025 metais Kaune surengti 58 fizinio aktyvumo ir sporto renginiai, kuriuose dalyvavo 19</w:t>
      </w:r>
      <w:r w:rsidR="004F5D84">
        <w:rPr>
          <w:rFonts w:eastAsia="Calibri"/>
          <w:szCs w:val="24"/>
          <w:lang w:eastAsia="en-US" w:bidi="he-IL"/>
        </w:rPr>
        <w:t> </w:t>
      </w:r>
      <w:r w:rsidRPr="00D354BA">
        <w:rPr>
          <w:rFonts w:eastAsia="Calibri"/>
          <w:szCs w:val="24"/>
          <w:lang w:eastAsia="en-US" w:bidi="he-IL"/>
        </w:rPr>
        <w:t xml:space="preserve">702 dalyviai, iš jų 965 – neįgaliųjų sporto renginiuose. Miestas </w:t>
      </w:r>
      <w:r w:rsidR="004F5D84">
        <w:rPr>
          <w:rFonts w:eastAsia="Calibri"/>
          <w:szCs w:val="24"/>
          <w:lang w:eastAsia="en-US" w:bidi="he-IL"/>
        </w:rPr>
        <w:t>suorganizavo</w:t>
      </w:r>
      <w:r w:rsidRPr="00D354BA">
        <w:rPr>
          <w:rFonts w:eastAsia="Calibri"/>
          <w:szCs w:val="24"/>
          <w:lang w:eastAsia="en-US" w:bidi="he-IL"/>
        </w:rPr>
        <w:t xml:space="preserve"> aukšto lygio tarptautinius sporto renginius – pasaulio šiuolaikinės penkiakovės čempionatą, Europos jaunimo dziudo taurę, Europos U15 ir U19</w:t>
      </w:r>
      <w:r w:rsidR="00F31D75">
        <w:rPr>
          <w:rFonts w:eastAsia="Calibri"/>
          <w:szCs w:val="24"/>
          <w:lang w:eastAsia="en-US" w:bidi="he-IL"/>
        </w:rPr>
        <w:t> </w:t>
      </w:r>
      <w:r w:rsidRPr="00D354BA">
        <w:rPr>
          <w:rFonts w:eastAsia="Calibri"/>
          <w:szCs w:val="24"/>
          <w:lang w:eastAsia="en-US" w:bidi="he-IL"/>
        </w:rPr>
        <w:t>šiuolaikinės penkiakovės čempionatą, vandens formulės F2 Europos čempionatą ir pasaulio U18</w:t>
      </w:r>
      <w:r w:rsidR="00F31D75">
        <w:rPr>
          <w:rFonts w:eastAsia="Calibri"/>
          <w:szCs w:val="24"/>
          <w:lang w:eastAsia="en-US" w:bidi="he-IL"/>
        </w:rPr>
        <w:t> </w:t>
      </w:r>
      <w:r w:rsidRPr="00D354BA">
        <w:rPr>
          <w:rFonts w:eastAsia="Calibri"/>
          <w:szCs w:val="24"/>
          <w:lang w:eastAsia="en-US" w:bidi="he-IL"/>
        </w:rPr>
        <w:t xml:space="preserve">IB ledo ritulio čempionatą. Tai stiprino Kauno, kaip </w:t>
      </w:r>
      <w:r w:rsidR="004F5D84">
        <w:rPr>
          <w:rFonts w:eastAsia="Calibri"/>
          <w:szCs w:val="24"/>
          <w:lang w:eastAsia="en-US" w:bidi="he-IL"/>
        </w:rPr>
        <w:t xml:space="preserve">kokybiškai </w:t>
      </w:r>
      <w:r w:rsidRPr="00D354BA">
        <w:rPr>
          <w:rFonts w:eastAsia="Calibri"/>
          <w:szCs w:val="24"/>
          <w:lang w:eastAsia="en-US" w:bidi="he-IL"/>
        </w:rPr>
        <w:t>tarptautini</w:t>
      </w:r>
      <w:r w:rsidR="004F5D84">
        <w:rPr>
          <w:rFonts w:eastAsia="Calibri"/>
          <w:szCs w:val="24"/>
          <w:lang w:eastAsia="en-US" w:bidi="he-IL"/>
        </w:rPr>
        <w:t>u</w:t>
      </w:r>
      <w:r w:rsidRPr="00D354BA">
        <w:rPr>
          <w:rFonts w:eastAsia="Calibri"/>
          <w:szCs w:val="24"/>
          <w:lang w:eastAsia="en-US" w:bidi="he-IL"/>
        </w:rPr>
        <w:t>s sporto rengini</w:t>
      </w:r>
      <w:r w:rsidR="004F5D84">
        <w:rPr>
          <w:rFonts w:eastAsia="Calibri"/>
          <w:szCs w:val="24"/>
          <w:lang w:eastAsia="en-US" w:bidi="he-IL"/>
        </w:rPr>
        <w:t>u</w:t>
      </w:r>
      <w:r w:rsidRPr="00D354BA">
        <w:rPr>
          <w:rFonts w:eastAsia="Calibri"/>
          <w:szCs w:val="24"/>
          <w:lang w:eastAsia="en-US" w:bidi="he-IL"/>
        </w:rPr>
        <w:t xml:space="preserve">s </w:t>
      </w:r>
      <w:r w:rsidR="004F5D84">
        <w:rPr>
          <w:rFonts w:eastAsia="Calibri"/>
          <w:szCs w:val="24"/>
          <w:lang w:eastAsia="en-US" w:bidi="he-IL"/>
        </w:rPr>
        <w:t>organizuoti gebančio</w:t>
      </w:r>
      <w:r w:rsidRPr="00D354BA">
        <w:rPr>
          <w:rFonts w:eastAsia="Calibri"/>
          <w:szCs w:val="24"/>
          <w:lang w:eastAsia="en-US" w:bidi="he-IL"/>
        </w:rPr>
        <w:t xml:space="preserve"> miesto, reputaciją.</w:t>
      </w:r>
      <w:r w:rsidR="00F31D75">
        <w:rPr>
          <w:rFonts w:eastAsia="Calibri"/>
          <w:szCs w:val="24"/>
          <w:lang w:eastAsia="en-US" w:bidi="he-IL"/>
        </w:rPr>
        <w:t xml:space="preserve"> </w:t>
      </w:r>
    </w:p>
    <w:p w14:paraId="3D538226" w14:textId="35D7A005"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2025 metais Kaunas nuosekliai stiprino savo, kaip inovacijoms ir investicijoms palankaus miesto, poziciją. ALEX Kauno inovacijų parkas sulaukė pirmojo investuotojo – „Teltonik</w:t>
      </w:r>
      <w:r w:rsidR="004F5D84">
        <w:rPr>
          <w:rFonts w:eastAsia="Calibri"/>
          <w:szCs w:val="24"/>
          <w:lang w:eastAsia="en-US" w:bidi="he-IL"/>
        </w:rPr>
        <w:t>os</w:t>
      </w:r>
      <w:r w:rsidRPr="00D354BA">
        <w:rPr>
          <w:rFonts w:eastAsia="Calibri"/>
          <w:szCs w:val="24"/>
          <w:lang w:eastAsia="en-US" w:bidi="he-IL"/>
        </w:rPr>
        <w:t>“, su kuria sudaryta 4</w:t>
      </w:r>
      <w:r w:rsidR="004F5D84">
        <w:rPr>
          <w:rFonts w:eastAsia="Calibri"/>
          <w:szCs w:val="24"/>
          <w:lang w:eastAsia="en-US" w:bidi="he-IL"/>
        </w:rPr>
        <w:t>,0</w:t>
      </w:r>
      <w:r w:rsidRPr="00D354BA">
        <w:rPr>
          <w:rFonts w:eastAsia="Calibri"/>
          <w:szCs w:val="24"/>
          <w:lang w:eastAsia="en-US" w:bidi="he-IL"/>
        </w:rPr>
        <w:t xml:space="preserve"> ha teritorijos nuomos sutartis. Per metus ALEX </w:t>
      </w:r>
      <w:r w:rsidR="004F5D84">
        <w:rPr>
          <w:rFonts w:eastAsia="Calibri"/>
          <w:szCs w:val="24"/>
          <w:lang w:eastAsia="en-US" w:bidi="he-IL"/>
        </w:rPr>
        <w:t xml:space="preserve">inovacijų parko </w:t>
      </w:r>
      <w:r w:rsidRPr="00D354BA">
        <w:rPr>
          <w:rFonts w:eastAsia="Calibri"/>
          <w:szCs w:val="24"/>
          <w:lang w:eastAsia="en-US" w:bidi="he-IL"/>
        </w:rPr>
        <w:t xml:space="preserve">svetainė sulaukė </w:t>
      </w:r>
      <w:r w:rsidR="004F5D84">
        <w:rPr>
          <w:rFonts w:eastAsia="Calibri"/>
          <w:szCs w:val="24"/>
          <w:lang w:eastAsia="en-US" w:bidi="he-IL"/>
        </w:rPr>
        <w:t xml:space="preserve">daugiau kaip </w:t>
      </w:r>
      <w:r w:rsidRPr="00D354BA">
        <w:rPr>
          <w:rFonts w:eastAsia="Calibri"/>
          <w:szCs w:val="24"/>
          <w:lang w:eastAsia="en-US" w:bidi="he-IL"/>
        </w:rPr>
        <w:t>383</w:t>
      </w:r>
      <w:r w:rsidR="004F5D84">
        <w:rPr>
          <w:rFonts w:eastAsia="Calibri"/>
          <w:szCs w:val="24"/>
          <w:lang w:eastAsia="en-US" w:bidi="he-IL"/>
        </w:rPr>
        <w:t> 000</w:t>
      </w:r>
      <w:r w:rsidRPr="00D354BA">
        <w:rPr>
          <w:rFonts w:eastAsia="Calibri"/>
          <w:szCs w:val="24"/>
          <w:lang w:eastAsia="en-US" w:bidi="he-IL"/>
        </w:rPr>
        <w:t xml:space="preserve"> peržiūrų, suteikta 19 gyvų ir 19 nuotolinių konsultacijų, o </w:t>
      </w:r>
      <w:r w:rsidR="004F5D84">
        <w:rPr>
          <w:rFonts w:eastAsia="Calibri"/>
          <w:szCs w:val="24"/>
          <w:lang w:eastAsia="en-US" w:bidi="he-IL"/>
        </w:rPr>
        <w:t xml:space="preserve">vykdytame </w:t>
      </w:r>
      <w:r w:rsidRPr="00D354BA">
        <w:rPr>
          <w:rFonts w:eastAsia="Calibri"/>
          <w:szCs w:val="24"/>
          <w:lang w:eastAsia="en-US" w:bidi="he-IL"/>
        </w:rPr>
        <w:t>elektros galios plėtr</w:t>
      </w:r>
      <w:r w:rsidR="004F5D84">
        <w:rPr>
          <w:rFonts w:eastAsia="Calibri"/>
          <w:szCs w:val="24"/>
          <w:lang w:eastAsia="en-US" w:bidi="he-IL"/>
        </w:rPr>
        <w:t>os projekte numatyta</w:t>
      </w:r>
      <w:r w:rsidRPr="00D354BA">
        <w:rPr>
          <w:rFonts w:eastAsia="Calibri"/>
          <w:szCs w:val="24"/>
          <w:lang w:eastAsia="en-US" w:bidi="he-IL"/>
        </w:rPr>
        <w:t>, kad 2027 m. teritorijoje bus pasiekiama ir rezervuota 14</w:t>
      </w:r>
      <w:r w:rsidR="00F31D75">
        <w:rPr>
          <w:rFonts w:eastAsia="Calibri"/>
          <w:szCs w:val="24"/>
          <w:lang w:eastAsia="en-US" w:bidi="he-IL"/>
        </w:rPr>
        <w:t xml:space="preserve"> </w:t>
      </w:r>
      <w:r w:rsidRPr="00D354BA">
        <w:rPr>
          <w:rFonts w:eastAsia="Calibri"/>
          <w:szCs w:val="24"/>
          <w:lang w:eastAsia="en-US" w:bidi="he-IL"/>
        </w:rPr>
        <w:t>MW elektros galia. Kartu 2025 metais suteiktos 53 konsultacijos dėl potencialių investicijų Kaune, organizuota 12 užsienio investuotojų vizitų ir surengta apie 50 miesto investicinės aplinkos pristatymų. ALEX teritorijoje vykęs „Kauno NT forumas. Ateities miestas tarp planų, paveldo ir institucijų“ subūrė daugiau kaip 130 dalyvių. Greta to stiprinta startuolių ekosistema: suorganizuota 10 oficialių ir 2 neoficialūs „</w:t>
      </w:r>
      <w:r w:rsidRPr="00E9250B">
        <w:rPr>
          <w:rFonts w:eastAsia="Calibri"/>
          <w:i/>
          <w:szCs w:val="24"/>
          <w:lang w:eastAsia="en-US" w:bidi="he-IL"/>
        </w:rPr>
        <w:t>Startup Social Kaunas</w:t>
      </w:r>
      <w:r w:rsidRPr="00D354BA">
        <w:rPr>
          <w:rFonts w:eastAsia="Calibri"/>
          <w:szCs w:val="24"/>
          <w:lang w:eastAsia="en-US" w:bidi="he-IL"/>
        </w:rPr>
        <w:t xml:space="preserve">“ renginiai, kuriuose dalyvavo </w:t>
      </w:r>
      <w:r w:rsidR="004F5D84">
        <w:rPr>
          <w:rFonts w:eastAsia="Calibri"/>
          <w:szCs w:val="24"/>
          <w:lang w:eastAsia="en-US" w:bidi="he-IL"/>
        </w:rPr>
        <w:t xml:space="preserve">daugiau kaip </w:t>
      </w:r>
      <w:r w:rsidRPr="00D354BA">
        <w:rPr>
          <w:rFonts w:eastAsia="Calibri"/>
          <w:szCs w:val="24"/>
          <w:lang w:eastAsia="en-US" w:bidi="he-IL"/>
        </w:rPr>
        <w:t>1</w:t>
      </w:r>
      <w:r w:rsidR="004F5D84">
        <w:rPr>
          <w:rFonts w:eastAsia="Calibri"/>
          <w:szCs w:val="24"/>
          <w:lang w:eastAsia="en-US" w:bidi="he-IL"/>
        </w:rPr>
        <w:t> </w:t>
      </w:r>
      <w:r w:rsidRPr="00D354BA">
        <w:rPr>
          <w:rFonts w:eastAsia="Calibri"/>
          <w:szCs w:val="24"/>
          <w:lang w:eastAsia="en-US" w:bidi="he-IL"/>
        </w:rPr>
        <w:t>60</w:t>
      </w:r>
      <w:r w:rsidR="004F5D84">
        <w:rPr>
          <w:rFonts w:eastAsia="Calibri"/>
          <w:szCs w:val="24"/>
          <w:lang w:eastAsia="en-US" w:bidi="he-IL"/>
        </w:rPr>
        <w:t>0</w:t>
      </w:r>
      <w:r w:rsidRPr="00D354BA">
        <w:rPr>
          <w:rFonts w:eastAsia="Calibri"/>
          <w:szCs w:val="24"/>
          <w:lang w:eastAsia="en-US" w:bidi="he-IL"/>
        </w:rPr>
        <w:t xml:space="preserve"> dalyvi</w:t>
      </w:r>
      <w:r w:rsidR="004F5D84">
        <w:rPr>
          <w:rFonts w:eastAsia="Calibri"/>
          <w:szCs w:val="24"/>
          <w:lang w:eastAsia="en-US" w:bidi="he-IL"/>
        </w:rPr>
        <w:t>ų</w:t>
      </w:r>
      <w:r w:rsidRPr="00D354BA">
        <w:rPr>
          <w:rFonts w:eastAsia="Calibri"/>
          <w:szCs w:val="24"/>
          <w:lang w:eastAsia="en-US" w:bidi="he-IL"/>
        </w:rPr>
        <w:t>, surengta 11 renginių su organizaciniais partneriais, suteiktos 69</w:t>
      </w:r>
      <w:r w:rsidR="00F31D75">
        <w:rPr>
          <w:rFonts w:eastAsia="Calibri"/>
          <w:szCs w:val="24"/>
          <w:lang w:eastAsia="en-US" w:bidi="he-IL"/>
        </w:rPr>
        <w:t> </w:t>
      </w:r>
      <w:r w:rsidRPr="00D354BA">
        <w:rPr>
          <w:rFonts w:eastAsia="Calibri"/>
          <w:szCs w:val="24"/>
          <w:lang w:eastAsia="en-US" w:bidi="he-IL"/>
        </w:rPr>
        <w:t>konsultacijos startuolių tematika, o Kaunas atstovautas 3 tarptautinėse startuolių konferencijose. 2025 metais</w:t>
      </w:r>
      <w:r w:rsidR="004F5D84">
        <w:rPr>
          <w:rFonts w:eastAsia="Calibri"/>
          <w:szCs w:val="24"/>
          <w:lang w:eastAsia="en-US" w:bidi="he-IL"/>
        </w:rPr>
        <w:t xml:space="preserve"> sėkmingai vykdyta</w:t>
      </w:r>
      <w:r w:rsidRPr="00D354BA">
        <w:rPr>
          <w:rFonts w:eastAsia="Calibri"/>
          <w:szCs w:val="24"/>
          <w:lang w:eastAsia="en-US" w:bidi="he-IL"/>
        </w:rPr>
        <w:t xml:space="preserve"> ne tik į fizin</w:t>
      </w:r>
      <w:r w:rsidR="004F5D84">
        <w:rPr>
          <w:rFonts w:eastAsia="Calibri"/>
          <w:szCs w:val="24"/>
          <w:lang w:eastAsia="en-US" w:bidi="he-IL"/>
        </w:rPr>
        <w:t>ė</w:t>
      </w:r>
      <w:r w:rsidRPr="00D354BA">
        <w:rPr>
          <w:rFonts w:eastAsia="Calibri"/>
          <w:szCs w:val="24"/>
          <w:lang w:eastAsia="en-US" w:bidi="he-IL"/>
        </w:rPr>
        <w:t>, bet ir ekonomin</w:t>
      </w:r>
      <w:r w:rsidR="004F5D84">
        <w:rPr>
          <w:rFonts w:eastAsia="Calibri"/>
          <w:szCs w:val="24"/>
          <w:lang w:eastAsia="en-US" w:bidi="he-IL"/>
        </w:rPr>
        <w:t>ė</w:t>
      </w:r>
      <w:r w:rsidRPr="00D354BA">
        <w:rPr>
          <w:rFonts w:eastAsia="Calibri"/>
          <w:szCs w:val="24"/>
          <w:lang w:eastAsia="en-US" w:bidi="he-IL"/>
        </w:rPr>
        <w:t>, inovacin</w:t>
      </w:r>
      <w:r w:rsidR="004F5D84">
        <w:rPr>
          <w:rFonts w:eastAsia="Calibri"/>
          <w:szCs w:val="24"/>
          <w:lang w:eastAsia="en-US" w:bidi="he-IL"/>
        </w:rPr>
        <w:t>ė</w:t>
      </w:r>
      <w:r w:rsidRPr="00D354BA">
        <w:rPr>
          <w:rFonts w:eastAsia="Calibri"/>
          <w:szCs w:val="24"/>
          <w:lang w:eastAsia="en-US" w:bidi="he-IL"/>
        </w:rPr>
        <w:t xml:space="preserve"> bei verslo aplinkos transformacij</w:t>
      </w:r>
      <w:r w:rsidR="004F5D84">
        <w:rPr>
          <w:rFonts w:eastAsia="Calibri"/>
          <w:szCs w:val="24"/>
          <w:lang w:eastAsia="en-US" w:bidi="he-IL"/>
        </w:rPr>
        <w:t>a yra viena iš svarbių miesto plėtros dedamųjų</w:t>
      </w:r>
      <w:r w:rsidRPr="00D354BA">
        <w:rPr>
          <w:rFonts w:eastAsia="Calibri"/>
          <w:szCs w:val="24"/>
          <w:lang w:eastAsia="en-US" w:bidi="he-IL"/>
        </w:rPr>
        <w:t>.</w:t>
      </w:r>
      <w:r w:rsidR="00F31D75">
        <w:rPr>
          <w:rFonts w:eastAsia="Calibri"/>
          <w:szCs w:val="24"/>
          <w:lang w:eastAsia="en-US" w:bidi="he-IL"/>
        </w:rPr>
        <w:t xml:space="preserve"> </w:t>
      </w:r>
    </w:p>
    <w:p w14:paraId="47B4C498" w14:textId="4B2DD421"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Miesto plėtros kontekste svarbi vieta teko ir talentų, studentų bei kompetencijų pritraukimo kryptims. 2025 metais tęstas projektas „Ateitis – elektronikams“, kurio komunikacijos kampanijos sugeneravo apie 5</w:t>
      </w:r>
      <w:r w:rsidR="004F5D84">
        <w:rPr>
          <w:rFonts w:eastAsia="Calibri"/>
          <w:szCs w:val="24"/>
          <w:lang w:eastAsia="en-US" w:bidi="he-IL"/>
        </w:rPr>
        <w:t> </w:t>
      </w:r>
      <w:r w:rsidRPr="00D354BA">
        <w:rPr>
          <w:rFonts w:eastAsia="Calibri"/>
          <w:szCs w:val="24"/>
          <w:lang w:eastAsia="en-US" w:bidi="he-IL"/>
        </w:rPr>
        <w:t>9</w:t>
      </w:r>
      <w:r w:rsidR="004F5D84">
        <w:rPr>
          <w:rFonts w:eastAsia="Calibri"/>
          <w:szCs w:val="24"/>
          <w:lang w:eastAsia="en-US" w:bidi="he-IL"/>
        </w:rPr>
        <w:t>00,0 tūkst.</w:t>
      </w:r>
      <w:r w:rsidRPr="00D354BA">
        <w:rPr>
          <w:rFonts w:eastAsia="Calibri"/>
          <w:szCs w:val="24"/>
          <w:lang w:eastAsia="en-US" w:bidi="he-IL"/>
        </w:rPr>
        <w:t xml:space="preserve"> parodymų, o į mokyklas vykusių vizitų metu pasiekta apie </w:t>
      </w:r>
      <w:r w:rsidRPr="00D354BA">
        <w:rPr>
          <w:rFonts w:eastAsia="Calibri"/>
          <w:szCs w:val="24"/>
          <w:lang w:eastAsia="en-US" w:bidi="he-IL"/>
        </w:rPr>
        <w:lastRenderedPageBreak/>
        <w:t>1</w:t>
      </w:r>
      <w:r w:rsidR="004F5D84">
        <w:rPr>
          <w:rFonts w:eastAsia="Calibri"/>
          <w:szCs w:val="24"/>
          <w:lang w:eastAsia="en-US" w:bidi="he-IL"/>
        </w:rPr>
        <w:t> </w:t>
      </w:r>
      <w:r w:rsidRPr="00D354BA">
        <w:rPr>
          <w:rFonts w:eastAsia="Calibri"/>
          <w:szCs w:val="24"/>
          <w:lang w:eastAsia="en-US" w:bidi="he-IL"/>
        </w:rPr>
        <w:t>150 moksleivių. Taip pat vykdyta kampanija „Studijuok Kaune“, tarptautinėje erdvėje išskirtinę reikšmę turėjo „</w:t>
      </w:r>
      <w:r w:rsidRPr="00E9250B">
        <w:rPr>
          <w:rFonts w:eastAsia="Calibri"/>
          <w:i/>
          <w:szCs w:val="24"/>
          <w:lang w:eastAsia="en-US" w:bidi="he-IL"/>
        </w:rPr>
        <w:t>Study in Kaunas</w:t>
      </w:r>
      <w:r w:rsidRPr="00D354BA">
        <w:rPr>
          <w:rFonts w:eastAsia="Calibri"/>
          <w:szCs w:val="24"/>
          <w:lang w:eastAsia="en-US" w:bidi="he-IL"/>
        </w:rPr>
        <w:t xml:space="preserve">“ kampanija, </w:t>
      </w:r>
      <w:r w:rsidR="00565E04">
        <w:rPr>
          <w:rFonts w:eastAsia="Calibri"/>
          <w:szCs w:val="24"/>
          <w:lang w:eastAsia="en-US" w:bidi="he-IL"/>
        </w:rPr>
        <w:t xml:space="preserve">internete </w:t>
      </w:r>
      <w:r w:rsidRPr="00D354BA">
        <w:rPr>
          <w:rFonts w:eastAsia="Calibri"/>
          <w:szCs w:val="24"/>
          <w:lang w:eastAsia="en-US" w:bidi="he-IL"/>
        </w:rPr>
        <w:t xml:space="preserve">sugeneravusi daugiau kaip </w:t>
      </w:r>
      <w:r w:rsidR="00565E04">
        <w:rPr>
          <w:rFonts w:eastAsia="Calibri"/>
          <w:szCs w:val="24"/>
          <w:lang w:eastAsia="en-US" w:bidi="he-IL"/>
        </w:rPr>
        <w:t>4</w:t>
      </w:r>
      <w:r w:rsidR="00F31D75">
        <w:rPr>
          <w:rFonts w:eastAsia="Calibri"/>
          <w:szCs w:val="24"/>
          <w:lang w:eastAsia="en-US" w:bidi="he-IL"/>
        </w:rPr>
        <w:t> </w:t>
      </w:r>
      <w:r w:rsidR="00565E04">
        <w:rPr>
          <w:rFonts w:eastAsia="Calibri"/>
          <w:szCs w:val="24"/>
          <w:lang w:eastAsia="en-US" w:bidi="he-IL"/>
        </w:rPr>
        <w:t>000</w:t>
      </w:r>
      <w:r w:rsidR="00F31D75">
        <w:rPr>
          <w:rFonts w:eastAsia="Calibri"/>
          <w:szCs w:val="24"/>
          <w:lang w:eastAsia="en-US" w:bidi="he-IL"/>
        </w:rPr>
        <w:t> </w:t>
      </w:r>
      <w:r w:rsidR="00565E04">
        <w:rPr>
          <w:rFonts w:eastAsia="Calibri"/>
          <w:szCs w:val="24"/>
          <w:lang w:eastAsia="en-US" w:bidi="he-IL"/>
        </w:rPr>
        <w:t>tūkst.</w:t>
      </w:r>
      <w:r w:rsidR="00F31D75">
        <w:rPr>
          <w:rFonts w:eastAsia="Calibri"/>
          <w:szCs w:val="24"/>
          <w:lang w:eastAsia="en-US" w:bidi="he-IL"/>
        </w:rPr>
        <w:t> </w:t>
      </w:r>
      <w:r w:rsidRPr="00D354BA">
        <w:rPr>
          <w:rFonts w:eastAsia="Calibri"/>
          <w:szCs w:val="24"/>
          <w:lang w:eastAsia="en-US" w:bidi="he-IL"/>
        </w:rPr>
        <w:t>parodymų, pasiekusi 4,5 proc. CTR</w:t>
      </w:r>
      <w:r w:rsidR="00565E04">
        <w:rPr>
          <w:rFonts w:eastAsia="Calibri"/>
          <w:szCs w:val="24"/>
          <w:lang w:eastAsia="en-US" w:bidi="he-IL"/>
        </w:rPr>
        <w:t xml:space="preserve"> – paspaudimų - rodiklį</w:t>
      </w:r>
      <w:r w:rsidRPr="00D354BA">
        <w:rPr>
          <w:rFonts w:eastAsia="Calibri"/>
          <w:szCs w:val="24"/>
          <w:lang w:eastAsia="en-US" w:bidi="he-IL"/>
        </w:rPr>
        <w:t xml:space="preserve"> ir sulaukusi 185</w:t>
      </w:r>
      <w:r w:rsidR="00F31D75">
        <w:rPr>
          <w:rFonts w:eastAsia="Calibri"/>
          <w:szCs w:val="24"/>
          <w:lang w:eastAsia="en-US" w:bidi="he-IL"/>
        </w:rPr>
        <w:t> </w:t>
      </w:r>
      <w:r w:rsidRPr="00D354BA">
        <w:rPr>
          <w:rFonts w:eastAsia="Calibri"/>
          <w:szCs w:val="24"/>
          <w:lang w:eastAsia="en-US" w:bidi="he-IL"/>
        </w:rPr>
        <w:t>251</w:t>
      </w:r>
      <w:r w:rsidR="00F31D75">
        <w:rPr>
          <w:rFonts w:eastAsia="Calibri"/>
          <w:szCs w:val="24"/>
          <w:lang w:eastAsia="en-US" w:bidi="he-IL"/>
        </w:rPr>
        <w:t> </w:t>
      </w:r>
      <w:r w:rsidR="00565E04">
        <w:rPr>
          <w:rFonts w:eastAsia="Calibri"/>
          <w:szCs w:val="24"/>
          <w:lang w:eastAsia="en-US" w:bidi="he-IL"/>
        </w:rPr>
        <w:t>apsilankymų svetainėje</w:t>
      </w:r>
      <w:r w:rsidRPr="00D354BA">
        <w:rPr>
          <w:rFonts w:eastAsia="Calibri"/>
          <w:szCs w:val="24"/>
          <w:lang w:eastAsia="en-US" w:bidi="he-IL"/>
        </w:rPr>
        <w:t>. Kartu 2025 metais rengtas užsienio studentų integracijos į Kauno darbo rinką pilotinis modelis. Tokios veiklos stiprino Kauno, kaip studijų, žinių, inovacijų ir talentų miesto, poziciją bei kūrė ilgalaikį žmogiškąjį pagrindą tolesnei miesto raidai.</w:t>
      </w:r>
      <w:r w:rsidR="00F31D75">
        <w:rPr>
          <w:rFonts w:eastAsia="Calibri"/>
          <w:szCs w:val="24"/>
          <w:lang w:eastAsia="en-US" w:bidi="he-IL"/>
        </w:rPr>
        <w:t xml:space="preserve"> </w:t>
      </w:r>
    </w:p>
    <w:p w14:paraId="7CE6DE6C" w14:textId="6C859416" w:rsidR="00D354BA" w:rsidRPr="00D354BA"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 xml:space="preserve">Turizmo ir miesto rinkodaros rezultatai 2025 metais taip pat tapo svarbia miesto plėtros dalimi. Nacionalinės turizmo informacinės sistemos duomenimis, Kauno apgyvendinimo įstaigos sulaukė </w:t>
      </w:r>
      <w:r w:rsidR="00565E04">
        <w:rPr>
          <w:rFonts w:eastAsia="Calibri"/>
          <w:szCs w:val="24"/>
          <w:lang w:eastAsia="en-US" w:bidi="he-IL"/>
        </w:rPr>
        <w:t xml:space="preserve">daugiau kaip </w:t>
      </w:r>
      <w:r w:rsidRPr="00D354BA">
        <w:rPr>
          <w:rFonts w:eastAsia="Calibri"/>
          <w:szCs w:val="24"/>
          <w:lang w:eastAsia="en-US" w:bidi="he-IL"/>
        </w:rPr>
        <w:t>203</w:t>
      </w:r>
      <w:r w:rsidR="00565E04">
        <w:rPr>
          <w:rFonts w:eastAsia="Calibri"/>
          <w:szCs w:val="24"/>
          <w:lang w:eastAsia="en-US" w:bidi="he-IL"/>
        </w:rPr>
        <w:t>,0 tūkst.</w:t>
      </w:r>
      <w:r w:rsidRPr="00D354BA">
        <w:rPr>
          <w:rFonts w:eastAsia="Calibri"/>
          <w:szCs w:val="24"/>
          <w:lang w:eastAsia="en-US" w:bidi="he-IL"/>
        </w:rPr>
        <w:t xml:space="preserve"> svečių, kurie</w:t>
      </w:r>
      <w:r w:rsidR="00565E04">
        <w:rPr>
          <w:rFonts w:eastAsia="Calibri"/>
          <w:szCs w:val="24"/>
          <w:lang w:eastAsia="en-US" w:bidi="he-IL"/>
        </w:rPr>
        <w:t xml:space="preserve"> mieste</w:t>
      </w:r>
      <w:r w:rsidRPr="00D354BA">
        <w:rPr>
          <w:rFonts w:eastAsia="Calibri"/>
          <w:szCs w:val="24"/>
          <w:lang w:eastAsia="en-US" w:bidi="he-IL"/>
        </w:rPr>
        <w:t xml:space="preserve"> praleido 348</w:t>
      </w:r>
      <w:r w:rsidR="00565E04">
        <w:rPr>
          <w:rFonts w:eastAsia="Calibri"/>
          <w:szCs w:val="24"/>
          <w:lang w:eastAsia="en-US" w:bidi="he-IL"/>
        </w:rPr>
        <w:t> </w:t>
      </w:r>
      <w:r w:rsidRPr="00D354BA">
        <w:rPr>
          <w:rFonts w:eastAsia="Calibri"/>
          <w:szCs w:val="24"/>
          <w:lang w:eastAsia="en-US" w:bidi="he-IL"/>
        </w:rPr>
        <w:t xml:space="preserve">141 naktį, o užsienio turistai sudarė 60,2 proc. visų svečių. Turizmo informacijos centrai aptarnavo </w:t>
      </w:r>
      <w:r w:rsidR="00565E04">
        <w:rPr>
          <w:rFonts w:eastAsia="Calibri"/>
          <w:szCs w:val="24"/>
          <w:lang w:eastAsia="en-US" w:bidi="he-IL"/>
        </w:rPr>
        <w:t>beveik 38</w:t>
      </w:r>
      <w:r w:rsidR="00F31D75">
        <w:rPr>
          <w:rFonts w:eastAsia="Calibri"/>
          <w:szCs w:val="24"/>
          <w:lang w:eastAsia="en-US" w:bidi="he-IL"/>
        </w:rPr>
        <w:t> </w:t>
      </w:r>
      <w:r w:rsidR="00565E04">
        <w:rPr>
          <w:rFonts w:eastAsia="Calibri"/>
          <w:szCs w:val="24"/>
          <w:lang w:eastAsia="en-US" w:bidi="he-IL"/>
        </w:rPr>
        <w:t>tūkst.</w:t>
      </w:r>
      <w:r w:rsidR="00F31D75">
        <w:rPr>
          <w:rFonts w:eastAsia="Calibri"/>
          <w:szCs w:val="24"/>
          <w:lang w:eastAsia="en-US" w:bidi="he-IL"/>
        </w:rPr>
        <w:t> </w:t>
      </w:r>
      <w:r w:rsidR="00565E04">
        <w:rPr>
          <w:rFonts w:eastAsia="Calibri"/>
          <w:szCs w:val="24"/>
          <w:lang w:eastAsia="en-US" w:bidi="he-IL"/>
        </w:rPr>
        <w:t>interesantų</w:t>
      </w:r>
      <w:r w:rsidRPr="00D354BA">
        <w:rPr>
          <w:rFonts w:eastAsia="Calibri"/>
          <w:szCs w:val="24"/>
          <w:lang w:eastAsia="en-US" w:bidi="he-IL"/>
        </w:rPr>
        <w:t xml:space="preserve">, juose apsilankė </w:t>
      </w:r>
      <w:r w:rsidR="00565E04">
        <w:rPr>
          <w:rFonts w:eastAsia="Calibri"/>
          <w:szCs w:val="24"/>
          <w:lang w:eastAsia="en-US" w:bidi="he-IL"/>
        </w:rPr>
        <w:t xml:space="preserve">daugiau kaip </w:t>
      </w:r>
      <w:r w:rsidRPr="00D354BA">
        <w:rPr>
          <w:rFonts w:eastAsia="Calibri"/>
          <w:szCs w:val="24"/>
          <w:lang w:eastAsia="en-US" w:bidi="he-IL"/>
        </w:rPr>
        <w:t>25</w:t>
      </w:r>
      <w:r w:rsidR="00565E04">
        <w:rPr>
          <w:rFonts w:eastAsia="Calibri"/>
          <w:szCs w:val="24"/>
          <w:lang w:eastAsia="en-US" w:bidi="he-IL"/>
        </w:rPr>
        <w:t>,0 tūkst.</w:t>
      </w:r>
      <w:r w:rsidRPr="00D354BA">
        <w:rPr>
          <w:rFonts w:eastAsia="Calibri"/>
          <w:szCs w:val="24"/>
          <w:lang w:eastAsia="en-US" w:bidi="he-IL"/>
        </w:rPr>
        <w:t xml:space="preserve"> lankytoj</w:t>
      </w:r>
      <w:r w:rsidR="00565E04">
        <w:rPr>
          <w:rFonts w:eastAsia="Calibri"/>
          <w:szCs w:val="24"/>
          <w:lang w:eastAsia="en-US" w:bidi="he-IL"/>
        </w:rPr>
        <w:t>ų</w:t>
      </w:r>
      <w:r w:rsidRPr="00D354BA">
        <w:rPr>
          <w:rFonts w:eastAsia="Calibri"/>
          <w:szCs w:val="24"/>
          <w:lang w:eastAsia="en-US" w:bidi="he-IL"/>
        </w:rPr>
        <w:t>, o 209 ekskursijose dalyvavo 4</w:t>
      </w:r>
      <w:r w:rsidR="00565E04">
        <w:rPr>
          <w:rFonts w:eastAsia="Calibri"/>
          <w:szCs w:val="24"/>
          <w:lang w:eastAsia="en-US" w:bidi="he-IL"/>
        </w:rPr>
        <w:t> </w:t>
      </w:r>
      <w:r w:rsidRPr="00D354BA">
        <w:rPr>
          <w:rFonts w:eastAsia="Calibri"/>
          <w:szCs w:val="24"/>
          <w:lang w:eastAsia="en-US" w:bidi="he-IL"/>
        </w:rPr>
        <w:t>744 ekskursantai. Per metus išleista, atnaujinta ir atspausdinta 81</w:t>
      </w:r>
      <w:r w:rsidR="00565E04">
        <w:rPr>
          <w:rFonts w:eastAsia="Calibri"/>
          <w:szCs w:val="24"/>
          <w:lang w:eastAsia="en-US" w:bidi="he-IL"/>
        </w:rPr>
        <w:t>,</w:t>
      </w:r>
      <w:r w:rsidRPr="00D354BA">
        <w:rPr>
          <w:rFonts w:eastAsia="Calibri"/>
          <w:szCs w:val="24"/>
          <w:lang w:eastAsia="en-US" w:bidi="he-IL"/>
        </w:rPr>
        <w:t>9</w:t>
      </w:r>
      <w:r w:rsidR="00565E04">
        <w:rPr>
          <w:rFonts w:eastAsia="Calibri"/>
          <w:szCs w:val="24"/>
          <w:lang w:eastAsia="en-US" w:bidi="he-IL"/>
        </w:rPr>
        <w:t xml:space="preserve"> tūkst.</w:t>
      </w:r>
      <w:r w:rsidRPr="00D354BA">
        <w:rPr>
          <w:rFonts w:eastAsia="Calibri"/>
          <w:szCs w:val="24"/>
          <w:lang w:eastAsia="en-US" w:bidi="he-IL"/>
        </w:rPr>
        <w:t xml:space="preserve"> vienetų leidinių, o rinkodaros kampanijomis Lietuvos rinkoje pasiekta 5</w:t>
      </w:r>
      <w:r w:rsidR="00565E04">
        <w:rPr>
          <w:rFonts w:eastAsia="Calibri"/>
          <w:szCs w:val="24"/>
          <w:lang w:eastAsia="en-US" w:bidi="he-IL"/>
        </w:rPr>
        <w:t> </w:t>
      </w:r>
      <w:r w:rsidRPr="00D354BA">
        <w:rPr>
          <w:rFonts w:eastAsia="Calibri"/>
          <w:szCs w:val="24"/>
          <w:lang w:eastAsia="en-US" w:bidi="he-IL"/>
        </w:rPr>
        <w:t>37</w:t>
      </w:r>
      <w:r w:rsidR="00565E04">
        <w:rPr>
          <w:rFonts w:eastAsia="Calibri"/>
          <w:szCs w:val="24"/>
          <w:lang w:eastAsia="en-US" w:bidi="he-IL"/>
        </w:rPr>
        <w:t>0,0 tūkst.</w:t>
      </w:r>
      <w:r w:rsidRPr="00D354BA">
        <w:rPr>
          <w:rFonts w:eastAsia="Calibri"/>
          <w:szCs w:val="24"/>
          <w:lang w:eastAsia="en-US" w:bidi="he-IL"/>
        </w:rPr>
        <w:t xml:space="preserve"> vartotojų, užsienio rinkose – </w:t>
      </w:r>
      <w:r w:rsidR="00565E04">
        <w:rPr>
          <w:rFonts w:eastAsia="Calibri"/>
          <w:szCs w:val="24"/>
          <w:lang w:eastAsia="en-US" w:bidi="he-IL"/>
        </w:rPr>
        <w:t xml:space="preserve">net </w:t>
      </w:r>
      <w:r w:rsidRPr="00D354BA">
        <w:rPr>
          <w:rFonts w:eastAsia="Calibri"/>
          <w:szCs w:val="24"/>
          <w:lang w:eastAsia="en-US" w:bidi="he-IL"/>
        </w:rPr>
        <w:t>27</w:t>
      </w:r>
      <w:r w:rsidR="00F31D75">
        <w:rPr>
          <w:rFonts w:eastAsia="Calibri"/>
          <w:szCs w:val="24"/>
          <w:lang w:eastAsia="en-US" w:bidi="he-IL"/>
        </w:rPr>
        <w:t> </w:t>
      </w:r>
      <w:r w:rsidRPr="00D354BA">
        <w:rPr>
          <w:rFonts w:eastAsia="Calibri"/>
          <w:szCs w:val="24"/>
          <w:lang w:eastAsia="en-US" w:bidi="he-IL"/>
        </w:rPr>
        <w:t>55</w:t>
      </w:r>
      <w:r w:rsidR="00565E04">
        <w:rPr>
          <w:rFonts w:eastAsia="Calibri"/>
          <w:szCs w:val="24"/>
          <w:lang w:eastAsia="en-US" w:bidi="he-IL"/>
        </w:rPr>
        <w:t>0</w:t>
      </w:r>
      <w:r w:rsidR="00F31D75">
        <w:rPr>
          <w:rFonts w:eastAsia="Calibri"/>
          <w:szCs w:val="24"/>
          <w:lang w:eastAsia="en-US" w:bidi="he-IL"/>
        </w:rPr>
        <w:t xml:space="preserve"> </w:t>
      </w:r>
      <w:r w:rsidR="00565E04">
        <w:rPr>
          <w:rFonts w:eastAsia="Calibri"/>
          <w:szCs w:val="24"/>
          <w:lang w:eastAsia="en-US" w:bidi="he-IL"/>
        </w:rPr>
        <w:t>tūkst.</w:t>
      </w:r>
      <w:r w:rsidRPr="00D354BA">
        <w:rPr>
          <w:rFonts w:eastAsia="Calibri"/>
          <w:szCs w:val="24"/>
          <w:lang w:eastAsia="en-US" w:bidi="he-IL"/>
        </w:rPr>
        <w:t xml:space="preserve"> vartotojų. </w:t>
      </w:r>
      <w:r w:rsidRPr="009C6543">
        <w:rPr>
          <w:rFonts w:eastAsia="Calibri"/>
          <w:szCs w:val="24"/>
          <w:lang w:eastAsia="en-US" w:bidi="he-IL"/>
        </w:rPr>
        <w:t>Paleista</w:t>
      </w:r>
      <w:r w:rsidRPr="00D354BA">
        <w:rPr>
          <w:rFonts w:eastAsia="Calibri"/>
          <w:szCs w:val="24"/>
          <w:lang w:eastAsia="en-US" w:bidi="he-IL"/>
        </w:rPr>
        <w:t xml:space="preserve"> nauja integruota kaunasin.lt</w:t>
      </w:r>
      <w:r w:rsidR="009C6543">
        <w:rPr>
          <w:rFonts w:eastAsia="Calibri"/>
          <w:szCs w:val="24"/>
          <w:lang w:eastAsia="en-US" w:bidi="he-IL"/>
        </w:rPr>
        <w:t xml:space="preserve"> </w:t>
      </w:r>
      <w:r w:rsidR="009C6543" w:rsidRPr="00D354BA">
        <w:rPr>
          <w:rFonts w:eastAsia="Calibri"/>
          <w:szCs w:val="24"/>
          <w:lang w:eastAsia="en-US" w:bidi="he-IL"/>
        </w:rPr>
        <w:t>svetainė</w:t>
      </w:r>
      <w:r w:rsidRPr="00D354BA">
        <w:rPr>
          <w:rFonts w:eastAsia="Calibri"/>
          <w:szCs w:val="24"/>
          <w:lang w:eastAsia="en-US" w:bidi="he-IL"/>
        </w:rPr>
        <w:t>, sujungusi turizmo, investicijų, karjeros ir miesto reprezentacijos kryptis į vieną platformą</w:t>
      </w:r>
      <w:r w:rsidR="00565E04">
        <w:rPr>
          <w:rFonts w:eastAsia="Calibri"/>
          <w:szCs w:val="24"/>
          <w:lang w:eastAsia="en-US" w:bidi="he-IL"/>
        </w:rPr>
        <w:t>. N</w:t>
      </w:r>
      <w:r w:rsidRPr="00D354BA">
        <w:rPr>
          <w:rFonts w:eastAsia="Calibri"/>
          <w:szCs w:val="24"/>
          <w:lang w:eastAsia="en-US" w:bidi="he-IL"/>
        </w:rPr>
        <w:t>uosekliai stiprindamas savo vietą nacionalinėje ir tarptautinėje erdvėje</w:t>
      </w:r>
      <w:r w:rsidR="00565E04">
        <w:rPr>
          <w:rFonts w:eastAsia="Calibri"/>
          <w:szCs w:val="24"/>
          <w:lang w:eastAsia="en-US" w:bidi="he-IL"/>
        </w:rPr>
        <w:t>,</w:t>
      </w:r>
      <w:r w:rsidR="00565E04" w:rsidRPr="00D354BA">
        <w:rPr>
          <w:rFonts w:eastAsia="Calibri"/>
          <w:szCs w:val="24"/>
          <w:lang w:eastAsia="en-US" w:bidi="he-IL"/>
        </w:rPr>
        <w:t xml:space="preserve"> Kaunas plėtėsi ne tik fiziškai, bet ir reputaciškai</w:t>
      </w:r>
      <w:r w:rsidR="00565E04">
        <w:rPr>
          <w:rFonts w:eastAsia="Calibri"/>
          <w:szCs w:val="24"/>
          <w:lang w:eastAsia="en-US" w:bidi="he-IL"/>
        </w:rPr>
        <w:t>.</w:t>
      </w:r>
      <w:r w:rsidR="00F31D75">
        <w:rPr>
          <w:rFonts w:eastAsia="Calibri"/>
          <w:szCs w:val="24"/>
          <w:lang w:eastAsia="en-US" w:bidi="he-IL"/>
        </w:rPr>
        <w:t xml:space="preserve"> </w:t>
      </w:r>
    </w:p>
    <w:p w14:paraId="74283B87" w14:textId="217EF510" w:rsidR="00D26788" w:rsidRDefault="00D354BA" w:rsidP="00D354BA">
      <w:pPr>
        <w:spacing w:line="360" w:lineRule="auto"/>
        <w:ind w:firstLine="1298"/>
        <w:jc w:val="both"/>
        <w:rPr>
          <w:rFonts w:eastAsia="Calibri"/>
          <w:szCs w:val="24"/>
          <w:lang w:eastAsia="en-US" w:bidi="he-IL"/>
        </w:rPr>
      </w:pPr>
      <w:r w:rsidRPr="00D354BA">
        <w:rPr>
          <w:rFonts w:eastAsia="Calibri"/>
          <w:szCs w:val="24"/>
          <w:lang w:eastAsia="en-US" w:bidi="he-IL"/>
        </w:rPr>
        <w:t>Apibendrinant</w:t>
      </w:r>
      <w:r w:rsidR="00565E04">
        <w:rPr>
          <w:rFonts w:eastAsia="Calibri"/>
          <w:szCs w:val="24"/>
          <w:lang w:eastAsia="en-US" w:bidi="he-IL"/>
        </w:rPr>
        <w:t xml:space="preserve">, </w:t>
      </w:r>
      <w:r w:rsidRPr="00D354BA">
        <w:rPr>
          <w:rFonts w:eastAsia="Calibri"/>
          <w:szCs w:val="24"/>
          <w:lang w:eastAsia="en-US" w:bidi="he-IL"/>
        </w:rPr>
        <w:t>2025 metais Kauno miesto plėtra buvo nuosekli, daugiasluoksnė ir aiškiai orientuota į progresą. Miestas vienu metu stiprino stambius infrastruktūros objektus, susisiekimo sistemą, urbanistinę struktūrą, švietimo, sveikatos ir sporto infrastruktūrą, inovacijų ir investicijų ekosistemą, turizmo bei miesto rinkodaros kryptis, taip pat viešųjų erdvių, gyvenamosios aplinkos ir miesto konkurencingumo kokybę. 2025 metų veiklos rodo, kad Kaunas nuosekliai augo kaip modernus, investicijoms atviras, pažangus ir gyvybingas miestas, kuriantis tvirtą pagrindą tolesnei urbanistinei, ekonominei ir socialinei raidai.</w:t>
      </w:r>
      <w:r w:rsidR="00032961">
        <w:rPr>
          <w:rFonts w:eastAsia="Calibri"/>
          <w:szCs w:val="24"/>
          <w:lang w:eastAsia="en-US" w:bidi="he-IL"/>
        </w:rPr>
        <w:t xml:space="preserve"> </w:t>
      </w:r>
    </w:p>
    <w:p w14:paraId="4F56FA2D" w14:textId="77777777" w:rsidR="00C63FC9" w:rsidRPr="00D26788" w:rsidRDefault="00C63FC9" w:rsidP="00F31D75">
      <w:pPr>
        <w:spacing w:line="360" w:lineRule="auto"/>
        <w:jc w:val="both"/>
        <w:rPr>
          <w:szCs w:val="24"/>
          <w:lang w:eastAsia="en-US" w:bidi="he-IL"/>
        </w:rPr>
      </w:pPr>
    </w:p>
    <w:p w14:paraId="4680A3F4" w14:textId="0550D7F4" w:rsidR="00D26788" w:rsidRPr="00F31D75" w:rsidRDefault="00D26788" w:rsidP="0059460C">
      <w:pPr>
        <w:spacing w:line="276" w:lineRule="auto"/>
        <w:jc w:val="center"/>
        <w:rPr>
          <w:b/>
          <w:szCs w:val="24"/>
          <w:lang w:eastAsia="en-US" w:bidi="he-IL"/>
        </w:rPr>
      </w:pPr>
      <w:r w:rsidRPr="00D26788">
        <w:rPr>
          <w:rFonts w:eastAsia="Calibri"/>
          <w:b/>
          <w:szCs w:val="24"/>
          <w:lang w:eastAsia="en-US" w:bidi="he-IL"/>
        </w:rPr>
        <w:t>VII SKYRIUS</w:t>
      </w:r>
      <w:r w:rsidR="00F31D75">
        <w:rPr>
          <w:rFonts w:eastAsia="Calibri"/>
          <w:b/>
          <w:szCs w:val="24"/>
          <w:lang w:eastAsia="en-US" w:bidi="he-IL"/>
        </w:rPr>
        <w:t xml:space="preserve"> </w:t>
      </w:r>
    </w:p>
    <w:p w14:paraId="501E8F7F" w14:textId="370D92B3" w:rsidR="00D26788" w:rsidRDefault="00D26788" w:rsidP="0059460C">
      <w:pPr>
        <w:spacing w:line="276" w:lineRule="auto"/>
        <w:jc w:val="center"/>
        <w:rPr>
          <w:rFonts w:eastAsia="Calibri"/>
          <w:b/>
          <w:szCs w:val="24"/>
          <w:lang w:eastAsia="en-US" w:bidi="he-IL"/>
        </w:rPr>
      </w:pPr>
      <w:r w:rsidRPr="00D26788">
        <w:rPr>
          <w:rFonts w:eastAsia="Calibri"/>
          <w:b/>
          <w:szCs w:val="24"/>
          <w:lang w:eastAsia="en-US" w:bidi="he-IL"/>
        </w:rPr>
        <w:t>ŽALIASIS MIESTO KURSAS</w:t>
      </w:r>
      <w:r w:rsidR="00F31D75">
        <w:rPr>
          <w:rFonts w:eastAsia="Calibri"/>
          <w:b/>
          <w:szCs w:val="24"/>
          <w:lang w:eastAsia="en-US" w:bidi="he-IL"/>
        </w:rPr>
        <w:t xml:space="preserve"> </w:t>
      </w:r>
    </w:p>
    <w:p w14:paraId="3E35C478" w14:textId="77777777" w:rsidR="00EF08D2" w:rsidRPr="00D26788" w:rsidRDefault="00EF08D2" w:rsidP="00F31D75">
      <w:pPr>
        <w:spacing w:line="360" w:lineRule="auto"/>
        <w:rPr>
          <w:szCs w:val="24"/>
          <w:lang w:eastAsia="en-US" w:bidi="he-IL"/>
        </w:rPr>
      </w:pPr>
    </w:p>
    <w:p w14:paraId="621602BF" w14:textId="09841ED4"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 xml:space="preserve">2025 metais Kauno žaliasis miesto kursas buvo įgyvendinamas kaip nuosekli ir visuminė miesto raidos kryptis, apimanti žaliųjų plotų ir miškų tvarkymą, viešųjų erdvių ekologinės kokybės gerinimą, atliekų prevenciją, daugiabučių modernizavimą, energinio efektyvumo didinimą, tvarų judumą ir miesto atsparumo stiprinimą. Miesto žaliasis kursas nebuvo suprantamas vien kaip aplinkosaugos tema siaurąja prasme – jis apėmė ir gyvenamosios aplinkos kokybę, ir infrastruktūros </w:t>
      </w:r>
      <w:r w:rsidRPr="00FF4F5D">
        <w:rPr>
          <w:rFonts w:eastAsia="Calibri"/>
          <w:szCs w:val="24"/>
          <w:lang w:eastAsia="en-US" w:bidi="he-IL"/>
        </w:rPr>
        <w:lastRenderedPageBreak/>
        <w:t>tvarumą, ir gyventojų kasdienę aplinką. 2025 metų rezultatai</w:t>
      </w:r>
      <w:r w:rsidR="007A4C38">
        <w:rPr>
          <w:rFonts w:eastAsia="Calibri"/>
          <w:szCs w:val="24"/>
          <w:lang w:eastAsia="en-US" w:bidi="he-IL"/>
        </w:rPr>
        <w:t xml:space="preserve"> rodo</w:t>
      </w:r>
      <w:r w:rsidRPr="00FF4F5D">
        <w:rPr>
          <w:rFonts w:eastAsia="Calibri"/>
          <w:szCs w:val="24"/>
          <w:lang w:eastAsia="en-US" w:bidi="he-IL"/>
        </w:rPr>
        <w:t>, kad žaliasis kursas Kaune buvo plėtojamas nuosekliai ir praktiškai, derinant aplinkosauginius, socialinius ir infrastruktūrinius tikslus.</w:t>
      </w:r>
      <w:r w:rsidR="00F31D75">
        <w:rPr>
          <w:rFonts w:eastAsia="Calibri"/>
          <w:szCs w:val="24"/>
          <w:lang w:eastAsia="en-US" w:bidi="he-IL"/>
        </w:rPr>
        <w:t xml:space="preserve"> </w:t>
      </w:r>
    </w:p>
    <w:p w14:paraId="01745579" w14:textId="525F50BE"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Viena svarbiausių žaliojo kurso krypčių 2025 metais buvo miesto miškų, miško parkų ir želdynų tvarkymas. Kaune parengtas miškotvarkos projektas 115</w:t>
      </w:r>
      <w:r w:rsidR="00F31D75">
        <w:rPr>
          <w:rFonts w:eastAsia="Calibri"/>
          <w:szCs w:val="24"/>
          <w:lang w:eastAsia="en-US" w:bidi="he-IL"/>
        </w:rPr>
        <w:t xml:space="preserve"> </w:t>
      </w:r>
      <w:r w:rsidRPr="00FF4F5D">
        <w:rPr>
          <w:rFonts w:eastAsia="Calibri"/>
          <w:szCs w:val="24"/>
          <w:lang w:eastAsia="en-US" w:bidi="he-IL"/>
        </w:rPr>
        <w:t>ha papildomai perduotų miškų teritorijai, o miesto miškų ir miško parkų apsaugos, priežiūros ir tvarkymo darbai vykdyti 1</w:t>
      </w:r>
      <w:r w:rsidR="00F31D75">
        <w:rPr>
          <w:rFonts w:eastAsia="Calibri"/>
          <w:szCs w:val="24"/>
          <w:lang w:eastAsia="en-US" w:bidi="he-IL"/>
        </w:rPr>
        <w:t> </w:t>
      </w:r>
      <w:r w:rsidRPr="00FF4F5D">
        <w:rPr>
          <w:rFonts w:eastAsia="Calibri"/>
          <w:szCs w:val="24"/>
          <w:lang w:eastAsia="en-US" w:bidi="he-IL"/>
        </w:rPr>
        <w:t>000</w:t>
      </w:r>
      <w:r w:rsidR="00F31D75">
        <w:rPr>
          <w:rFonts w:eastAsia="Calibri"/>
          <w:szCs w:val="24"/>
          <w:lang w:eastAsia="en-US" w:bidi="he-IL"/>
        </w:rPr>
        <w:t> </w:t>
      </w:r>
      <w:r w:rsidRPr="00FF4F5D">
        <w:rPr>
          <w:rFonts w:eastAsia="Calibri"/>
          <w:szCs w:val="24"/>
          <w:lang w:eastAsia="en-US" w:bidi="he-IL"/>
        </w:rPr>
        <w:t>ha plote. Per metus sutvarkyta 246</w:t>
      </w:r>
      <w:r w:rsidR="00F31D75">
        <w:rPr>
          <w:rFonts w:eastAsia="Calibri"/>
          <w:szCs w:val="24"/>
          <w:lang w:eastAsia="en-US" w:bidi="he-IL"/>
        </w:rPr>
        <w:t xml:space="preserve"> </w:t>
      </w:r>
      <w:r w:rsidR="00150910">
        <w:rPr>
          <w:rFonts w:eastAsia="Calibri"/>
          <w:szCs w:val="24"/>
          <w:lang w:eastAsia="en-US" w:bidi="he-IL"/>
        </w:rPr>
        <w:t>tūkst.</w:t>
      </w:r>
      <w:r w:rsidRPr="00FF4F5D">
        <w:rPr>
          <w:rFonts w:eastAsia="Calibri"/>
          <w:szCs w:val="24"/>
          <w:lang w:eastAsia="en-US" w:bidi="he-IL"/>
        </w:rPr>
        <w:t xml:space="preserve"> miesto želdinių, prižiūrėta 120</w:t>
      </w:r>
      <w:r w:rsidR="00F31D75">
        <w:rPr>
          <w:rFonts w:eastAsia="Calibri"/>
          <w:szCs w:val="24"/>
          <w:lang w:eastAsia="en-US" w:bidi="he-IL"/>
        </w:rPr>
        <w:t xml:space="preserve"> </w:t>
      </w:r>
      <w:r w:rsidRPr="00FF4F5D">
        <w:rPr>
          <w:rFonts w:eastAsia="Calibri"/>
          <w:szCs w:val="24"/>
          <w:lang w:eastAsia="en-US" w:bidi="he-IL"/>
        </w:rPr>
        <w:t>ha saugomų teritorijų ir žaliųjų plotų, įsigyta ir pasodinta 629 medžių sodinuk</w:t>
      </w:r>
      <w:r w:rsidR="00150910">
        <w:rPr>
          <w:rFonts w:eastAsia="Calibri"/>
          <w:szCs w:val="24"/>
          <w:lang w:eastAsia="en-US" w:bidi="he-IL"/>
        </w:rPr>
        <w:t>ai</w:t>
      </w:r>
      <w:r w:rsidRPr="00FF4F5D">
        <w:rPr>
          <w:rFonts w:eastAsia="Calibri"/>
          <w:szCs w:val="24"/>
          <w:lang w:eastAsia="en-US" w:bidi="he-IL"/>
        </w:rPr>
        <w:t>. Taip pat apželdinta 631</w:t>
      </w:r>
      <w:r w:rsidR="00150910">
        <w:rPr>
          <w:rFonts w:eastAsia="Calibri"/>
          <w:szCs w:val="24"/>
          <w:lang w:eastAsia="en-US" w:bidi="he-IL"/>
        </w:rPr>
        <w:t>,0</w:t>
      </w:r>
      <w:r w:rsidRPr="00FF4F5D">
        <w:rPr>
          <w:rFonts w:eastAsia="Calibri"/>
          <w:szCs w:val="24"/>
          <w:lang w:eastAsia="en-US" w:bidi="he-IL"/>
        </w:rPr>
        <w:t xml:space="preserve"> kv. m</w:t>
      </w:r>
      <w:r w:rsidR="00150910">
        <w:rPr>
          <w:rFonts w:eastAsia="Calibri"/>
          <w:szCs w:val="24"/>
          <w:lang w:eastAsia="en-US" w:bidi="he-IL"/>
        </w:rPr>
        <w:t>.</w:t>
      </w:r>
      <w:r w:rsidRPr="00FF4F5D">
        <w:rPr>
          <w:rFonts w:eastAsia="Calibri"/>
          <w:szCs w:val="24"/>
          <w:lang w:eastAsia="en-US" w:bidi="he-IL"/>
        </w:rPr>
        <w:t xml:space="preserve"> vienmečių gėlynų, prižiūrėta 30</w:t>
      </w:r>
      <w:r w:rsidR="005F12F2">
        <w:rPr>
          <w:rFonts w:eastAsia="Calibri"/>
          <w:szCs w:val="24"/>
          <w:lang w:eastAsia="en-US" w:bidi="he-IL"/>
        </w:rPr>
        <w:t> </w:t>
      </w:r>
      <w:r w:rsidRPr="00FF4F5D">
        <w:rPr>
          <w:rFonts w:eastAsia="Calibri"/>
          <w:szCs w:val="24"/>
          <w:lang w:eastAsia="en-US" w:bidi="he-IL"/>
        </w:rPr>
        <w:t>904</w:t>
      </w:r>
      <w:r w:rsidR="005F12F2">
        <w:rPr>
          <w:rFonts w:eastAsia="Calibri"/>
          <w:szCs w:val="24"/>
          <w:lang w:eastAsia="en-US" w:bidi="he-IL"/>
        </w:rPr>
        <w:t xml:space="preserve"> </w:t>
      </w:r>
      <w:r w:rsidRPr="00FF4F5D">
        <w:rPr>
          <w:rFonts w:eastAsia="Calibri"/>
          <w:szCs w:val="24"/>
          <w:lang w:eastAsia="en-US" w:bidi="he-IL"/>
        </w:rPr>
        <w:t>kv. m</w:t>
      </w:r>
      <w:r w:rsidR="00F31D75">
        <w:rPr>
          <w:rFonts w:eastAsia="Calibri"/>
          <w:szCs w:val="24"/>
          <w:lang w:eastAsia="en-US" w:bidi="he-IL"/>
        </w:rPr>
        <w:t xml:space="preserve"> </w:t>
      </w:r>
      <w:r w:rsidRPr="00FF4F5D">
        <w:rPr>
          <w:rFonts w:eastAsia="Calibri"/>
          <w:szCs w:val="24"/>
          <w:lang w:eastAsia="en-US" w:bidi="he-IL"/>
        </w:rPr>
        <w:t>daugiamečių gėlynų ir 42</w:t>
      </w:r>
      <w:r w:rsidR="00150910">
        <w:rPr>
          <w:rFonts w:eastAsia="Calibri"/>
          <w:szCs w:val="24"/>
          <w:lang w:eastAsia="en-US" w:bidi="he-IL"/>
        </w:rPr>
        <w:t> </w:t>
      </w:r>
      <w:r w:rsidRPr="00FF4F5D">
        <w:rPr>
          <w:rFonts w:eastAsia="Calibri"/>
          <w:szCs w:val="24"/>
          <w:lang w:eastAsia="en-US" w:bidi="he-IL"/>
        </w:rPr>
        <w:t xml:space="preserve">985,25 kv. m vejos. </w:t>
      </w:r>
      <w:r w:rsidR="00150910">
        <w:rPr>
          <w:rFonts w:eastAsia="Calibri"/>
          <w:szCs w:val="24"/>
          <w:lang w:eastAsia="en-US" w:bidi="he-IL"/>
        </w:rPr>
        <w:t>Ž</w:t>
      </w:r>
      <w:r w:rsidRPr="00FF4F5D">
        <w:rPr>
          <w:rFonts w:eastAsia="Calibri"/>
          <w:szCs w:val="24"/>
          <w:lang w:eastAsia="en-US" w:bidi="he-IL"/>
        </w:rPr>
        <w:t>aliųjų teritorijų priežiūra 2025</w:t>
      </w:r>
      <w:r w:rsidR="00F31D75">
        <w:rPr>
          <w:rFonts w:eastAsia="Calibri"/>
          <w:szCs w:val="24"/>
          <w:lang w:eastAsia="en-US" w:bidi="he-IL"/>
        </w:rPr>
        <w:t> </w:t>
      </w:r>
      <w:r w:rsidRPr="00FF4F5D">
        <w:rPr>
          <w:rFonts w:eastAsia="Calibri"/>
          <w:szCs w:val="24"/>
          <w:lang w:eastAsia="en-US" w:bidi="he-IL"/>
        </w:rPr>
        <w:t>metais buvo ne pavienė, o sistemiška ir didelio masto.</w:t>
      </w:r>
      <w:r w:rsidR="00F31D75">
        <w:rPr>
          <w:rFonts w:eastAsia="Calibri"/>
          <w:szCs w:val="24"/>
          <w:lang w:eastAsia="en-US" w:bidi="he-IL"/>
        </w:rPr>
        <w:t xml:space="preserve"> </w:t>
      </w:r>
    </w:p>
    <w:p w14:paraId="66FFAEA3" w14:textId="1FFEA994"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Miesto miškų ir miško parkų priežiūra buvo vykdoma ne tik kaip įprasta teritorijų tvarkymo veikla, bet ir kaip kryptinga kraštovaizdžio bei ekologinės kokybės gerinimo priemonė. Šiems darbams panaudota Aplinkos ministerijos dotacija, o miškotvarkos projektuose atlikta 1</w:t>
      </w:r>
      <w:r w:rsidR="00F31D75">
        <w:rPr>
          <w:rFonts w:eastAsia="Calibri"/>
          <w:szCs w:val="24"/>
          <w:lang w:eastAsia="en-US" w:bidi="he-IL"/>
        </w:rPr>
        <w:t> </w:t>
      </w:r>
      <w:r w:rsidRPr="00FF4F5D">
        <w:rPr>
          <w:rFonts w:eastAsia="Calibri"/>
          <w:szCs w:val="24"/>
          <w:lang w:eastAsia="en-US" w:bidi="he-IL"/>
        </w:rPr>
        <w:t>500</w:t>
      </w:r>
      <w:r w:rsidR="00F31D75">
        <w:rPr>
          <w:rFonts w:eastAsia="Calibri"/>
          <w:szCs w:val="24"/>
          <w:lang w:eastAsia="en-US" w:bidi="he-IL"/>
        </w:rPr>
        <w:t> </w:t>
      </w:r>
      <w:r w:rsidRPr="00FF4F5D">
        <w:rPr>
          <w:rFonts w:eastAsia="Calibri"/>
          <w:szCs w:val="24"/>
          <w:lang w:eastAsia="en-US" w:bidi="he-IL"/>
        </w:rPr>
        <w:t>ktm sanitarinių kirtimų, 5</w:t>
      </w:r>
      <w:r w:rsidR="00661452">
        <w:rPr>
          <w:rFonts w:eastAsia="Calibri"/>
          <w:szCs w:val="24"/>
          <w:lang w:eastAsia="en-US" w:bidi="he-IL"/>
        </w:rPr>
        <w:t xml:space="preserve"> </w:t>
      </w:r>
      <w:r w:rsidRPr="00FF4F5D">
        <w:rPr>
          <w:rFonts w:eastAsia="Calibri"/>
          <w:szCs w:val="24"/>
          <w:lang w:eastAsia="en-US" w:bidi="he-IL"/>
        </w:rPr>
        <w:t>ha kraštovaizdžio formavimo kirtimų, 3</w:t>
      </w:r>
      <w:r w:rsidR="00F31D75">
        <w:rPr>
          <w:rFonts w:eastAsia="Calibri"/>
          <w:szCs w:val="24"/>
          <w:lang w:eastAsia="en-US" w:bidi="he-IL"/>
        </w:rPr>
        <w:t xml:space="preserve"> </w:t>
      </w:r>
      <w:r w:rsidRPr="00FF4F5D">
        <w:rPr>
          <w:rFonts w:eastAsia="Calibri"/>
          <w:szCs w:val="24"/>
          <w:lang w:eastAsia="en-US" w:bidi="he-IL"/>
        </w:rPr>
        <w:t>ha ugdomųjų kirtimų, 0,7</w:t>
      </w:r>
      <w:r w:rsidR="00F31D75">
        <w:rPr>
          <w:rFonts w:eastAsia="Calibri"/>
          <w:szCs w:val="24"/>
          <w:lang w:eastAsia="en-US" w:bidi="he-IL"/>
        </w:rPr>
        <w:t> </w:t>
      </w:r>
      <w:r w:rsidRPr="00FF4F5D">
        <w:rPr>
          <w:rFonts w:eastAsia="Calibri"/>
          <w:szCs w:val="24"/>
          <w:lang w:eastAsia="en-US" w:bidi="he-IL"/>
        </w:rPr>
        <w:t>ha miško atsodinimo ir 130</w:t>
      </w:r>
      <w:r w:rsidR="00150910">
        <w:rPr>
          <w:rFonts w:eastAsia="Calibri"/>
          <w:szCs w:val="24"/>
          <w:lang w:eastAsia="en-US" w:bidi="he-IL"/>
        </w:rPr>
        <w:t>,0</w:t>
      </w:r>
      <w:r w:rsidRPr="00FF4F5D">
        <w:rPr>
          <w:rFonts w:eastAsia="Calibri"/>
          <w:szCs w:val="24"/>
          <w:lang w:eastAsia="en-US" w:bidi="he-IL"/>
        </w:rPr>
        <w:t xml:space="preserve"> ha žolinės augmenijos šienavimo bei krūmų kirtimo po kraštovaizdžio formavimo darbų. </w:t>
      </w:r>
      <w:r w:rsidR="008B7979">
        <w:rPr>
          <w:rFonts w:eastAsia="Calibri"/>
          <w:szCs w:val="24"/>
          <w:lang w:eastAsia="en-US" w:bidi="he-IL"/>
        </w:rPr>
        <w:t>Įgyvendinant šiuos darbus,</w:t>
      </w:r>
      <w:r w:rsidRPr="00FF4F5D">
        <w:rPr>
          <w:rFonts w:eastAsia="Calibri"/>
          <w:szCs w:val="24"/>
          <w:lang w:eastAsia="en-US" w:bidi="he-IL"/>
        </w:rPr>
        <w:t xml:space="preserve"> Kauno žaliasis kursas buvo grindžiamas ne tik naujų želdynų kūrimu, bet ir profesionaliu miesto gamtinio karkaso valdymu.</w:t>
      </w:r>
      <w:r w:rsidR="00F31D75">
        <w:rPr>
          <w:rFonts w:eastAsia="Calibri"/>
          <w:szCs w:val="24"/>
          <w:lang w:eastAsia="en-US" w:bidi="he-IL"/>
        </w:rPr>
        <w:t xml:space="preserve"> </w:t>
      </w:r>
    </w:p>
    <w:p w14:paraId="79DB9F72" w14:textId="6DE22AD1"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Svarbia žaliojo kurso dalimi tapo ir parkų bei viešųjų erdvių atnaujinimas. 2025</w:t>
      </w:r>
      <w:r w:rsidR="00F31D75">
        <w:rPr>
          <w:rFonts w:eastAsia="Calibri"/>
          <w:szCs w:val="24"/>
          <w:lang w:eastAsia="en-US" w:bidi="he-IL"/>
        </w:rPr>
        <w:t> </w:t>
      </w:r>
      <w:r w:rsidRPr="00FF4F5D">
        <w:rPr>
          <w:rFonts w:eastAsia="Calibri"/>
          <w:szCs w:val="24"/>
          <w:lang w:eastAsia="en-US" w:bidi="he-IL"/>
        </w:rPr>
        <w:t>metais užbaigti Kovo 11-osios, Naugardiškių, Naujakurių ir Gričiupio parkų sutvarkymo darbai. Liepų alėjoje atlikta daugiau kaip 80</w:t>
      </w:r>
      <w:r w:rsidR="008B7979">
        <w:rPr>
          <w:rFonts w:eastAsia="Calibri"/>
          <w:szCs w:val="24"/>
          <w:lang w:eastAsia="en-US" w:bidi="he-IL"/>
        </w:rPr>
        <w:t>,0</w:t>
      </w:r>
      <w:r w:rsidRPr="00FF4F5D">
        <w:rPr>
          <w:rFonts w:eastAsia="Calibri"/>
          <w:szCs w:val="24"/>
          <w:lang w:eastAsia="en-US" w:bidi="he-IL"/>
        </w:rPr>
        <w:t xml:space="preserve"> proc. techniniuose projektuose numatytų darbų, o Vijūkų skvere – apie 30</w:t>
      </w:r>
      <w:r w:rsidR="00F31D75">
        <w:rPr>
          <w:rFonts w:eastAsia="Calibri"/>
          <w:szCs w:val="24"/>
          <w:lang w:eastAsia="en-US" w:bidi="he-IL"/>
        </w:rPr>
        <w:t> </w:t>
      </w:r>
      <w:r w:rsidRPr="00FF4F5D">
        <w:rPr>
          <w:rFonts w:eastAsia="Calibri"/>
          <w:szCs w:val="24"/>
          <w:lang w:eastAsia="en-US" w:bidi="he-IL"/>
        </w:rPr>
        <w:t xml:space="preserve">proc. darbų. Taip pat parengti Sargėnų dvaro parko ir Sąjungos aikštės sutvarkymo techniniai projektai, pradėti Ašigalio skvero, Piliuonos skvero ir Linkuvos dvaro parko projektavimo darbai. </w:t>
      </w:r>
      <w:r w:rsidR="00A873DE">
        <w:rPr>
          <w:rFonts w:eastAsia="Calibri"/>
          <w:szCs w:val="24"/>
          <w:lang w:eastAsia="en-US" w:bidi="he-IL"/>
        </w:rPr>
        <w:t>Miestas nemažina</w:t>
      </w:r>
      <w:r w:rsidRPr="00FF4F5D">
        <w:rPr>
          <w:rFonts w:eastAsia="Calibri"/>
          <w:szCs w:val="24"/>
          <w:lang w:eastAsia="en-US" w:bidi="he-IL"/>
        </w:rPr>
        <w:t xml:space="preserve"> parkų ir skverų atnaujinimo </w:t>
      </w:r>
      <w:r w:rsidR="00A873DE">
        <w:rPr>
          <w:rFonts w:eastAsia="Calibri"/>
          <w:szCs w:val="24"/>
          <w:lang w:eastAsia="en-US" w:bidi="he-IL"/>
        </w:rPr>
        <w:t xml:space="preserve">masto ir siekia toliau didinti </w:t>
      </w:r>
      <w:r w:rsidRPr="00FF4F5D">
        <w:rPr>
          <w:rFonts w:eastAsia="Calibri"/>
          <w:szCs w:val="24"/>
          <w:lang w:eastAsia="en-US" w:bidi="he-IL"/>
        </w:rPr>
        <w:t>rekreacinių erdvių kokyb</w:t>
      </w:r>
      <w:r w:rsidR="00A873DE">
        <w:rPr>
          <w:rFonts w:eastAsia="Calibri"/>
          <w:szCs w:val="24"/>
          <w:lang w:eastAsia="en-US" w:bidi="he-IL"/>
        </w:rPr>
        <w:t>ę, gerinti</w:t>
      </w:r>
      <w:r w:rsidRPr="00FF4F5D">
        <w:rPr>
          <w:rFonts w:eastAsia="Calibri"/>
          <w:szCs w:val="24"/>
          <w:lang w:eastAsia="en-US" w:bidi="he-IL"/>
        </w:rPr>
        <w:t xml:space="preserve"> estetin</w:t>
      </w:r>
      <w:r w:rsidR="00A873DE">
        <w:rPr>
          <w:rFonts w:eastAsia="Calibri"/>
          <w:szCs w:val="24"/>
          <w:lang w:eastAsia="en-US" w:bidi="he-IL"/>
        </w:rPr>
        <w:t>ę</w:t>
      </w:r>
      <w:r w:rsidRPr="00FF4F5D">
        <w:rPr>
          <w:rFonts w:eastAsia="Calibri"/>
          <w:szCs w:val="24"/>
          <w:lang w:eastAsia="en-US" w:bidi="he-IL"/>
        </w:rPr>
        <w:t xml:space="preserve"> miesto aplink</w:t>
      </w:r>
      <w:r w:rsidR="00A873DE">
        <w:rPr>
          <w:rFonts w:eastAsia="Calibri"/>
          <w:szCs w:val="24"/>
          <w:lang w:eastAsia="en-US" w:bidi="he-IL"/>
        </w:rPr>
        <w:t>ą</w:t>
      </w:r>
      <w:r w:rsidRPr="00FF4F5D">
        <w:rPr>
          <w:rFonts w:eastAsia="Calibri"/>
          <w:szCs w:val="24"/>
          <w:lang w:eastAsia="en-US" w:bidi="he-IL"/>
        </w:rPr>
        <w:t xml:space="preserve"> ir </w:t>
      </w:r>
      <w:r w:rsidR="00A873DE">
        <w:rPr>
          <w:rFonts w:eastAsia="Calibri"/>
          <w:szCs w:val="24"/>
          <w:lang w:eastAsia="en-US" w:bidi="he-IL"/>
        </w:rPr>
        <w:t xml:space="preserve">užtikrinti </w:t>
      </w:r>
      <w:r w:rsidRPr="00FF4F5D">
        <w:rPr>
          <w:rFonts w:eastAsia="Calibri"/>
          <w:szCs w:val="24"/>
          <w:lang w:eastAsia="en-US" w:bidi="he-IL"/>
        </w:rPr>
        <w:t>patogesn</w:t>
      </w:r>
      <w:r w:rsidR="00A873DE">
        <w:rPr>
          <w:rFonts w:eastAsia="Calibri"/>
          <w:szCs w:val="24"/>
          <w:lang w:eastAsia="en-US" w:bidi="he-IL"/>
        </w:rPr>
        <w:t>į</w:t>
      </w:r>
      <w:r w:rsidRPr="00FF4F5D">
        <w:rPr>
          <w:rFonts w:eastAsia="Calibri"/>
          <w:szCs w:val="24"/>
          <w:lang w:eastAsia="en-US" w:bidi="he-IL"/>
        </w:rPr>
        <w:t xml:space="preserve"> gyventojų laisvalaik</w:t>
      </w:r>
      <w:r w:rsidR="00A873DE">
        <w:rPr>
          <w:rFonts w:eastAsia="Calibri"/>
          <w:szCs w:val="24"/>
          <w:lang w:eastAsia="en-US" w:bidi="he-IL"/>
        </w:rPr>
        <w:t>į</w:t>
      </w:r>
      <w:r w:rsidRPr="00FF4F5D">
        <w:rPr>
          <w:rFonts w:eastAsia="Calibri"/>
          <w:szCs w:val="24"/>
          <w:lang w:eastAsia="en-US" w:bidi="he-IL"/>
        </w:rPr>
        <w:t>.</w:t>
      </w:r>
      <w:r w:rsidR="00F31D75">
        <w:rPr>
          <w:rFonts w:eastAsia="Calibri"/>
          <w:szCs w:val="24"/>
          <w:lang w:eastAsia="en-US" w:bidi="he-IL"/>
        </w:rPr>
        <w:t xml:space="preserve"> </w:t>
      </w:r>
    </w:p>
    <w:p w14:paraId="7980C3DC" w14:textId="6D380170"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Parkų atnaujinimą papildė ir mažesnio masto, bet miestovaizdžiui reikšmingi aplinkos formavimo sprendimai. Nauji gėlynai įrengti Gričiupio parke, Liepų alėjoje, A.</w:t>
      </w:r>
      <w:r w:rsidR="00F31D75">
        <w:rPr>
          <w:rFonts w:eastAsia="Calibri"/>
          <w:szCs w:val="24"/>
          <w:lang w:eastAsia="en-US" w:bidi="he-IL"/>
        </w:rPr>
        <w:t> </w:t>
      </w:r>
      <w:r w:rsidRPr="00FF4F5D">
        <w:rPr>
          <w:rFonts w:eastAsia="Calibri"/>
          <w:szCs w:val="24"/>
          <w:lang w:eastAsia="en-US" w:bidi="he-IL"/>
        </w:rPr>
        <w:t>Samulevičiaus</w:t>
      </w:r>
      <w:r w:rsidR="00F31D75">
        <w:rPr>
          <w:rFonts w:eastAsia="Calibri"/>
          <w:szCs w:val="24"/>
          <w:lang w:eastAsia="en-US" w:bidi="he-IL"/>
        </w:rPr>
        <w:noBreakHyphen/>
      </w:r>
      <w:r w:rsidRPr="00FF4F5D">
        <w:rPr>
          <w:rFonts w:eastAsia="Calibri"/>
          <w:szCs w:val="24"/>
          <w:lang w:eastAsia="en-US" w:bidi="he-IL"/>
        </w:rPr>
        <w:t>Samuolio skvere, Kovo 11-osios parke ir Naugardiškių parke. 2025 metais parengta</w:t>
      </w:r>
      <w:r w:rsidR="009A2B2A">
        <w:rPr>
          <w:rFonts w:eastAsia="Calibri"/>
          <w:szCs w:val="24"/>
          <w:lang w:eastAsia="en-US" w:bidi="he-IL"/>
        </w:rPr>
        <w:t>me</w:t>
      </w:r>
      <w:r w:rsidRPr="00FF4F5D">
        <w:rPr>
          <w:rFonts w:eastAsia="Calibri"/>
          <w:szCs w:val="24"/>
          <w:lang w:eastAsia="en-US" w:bidi="he-IL"/>
        </w:rPr>
        <w:t xml:space="preserve"> Vaišvydavos parko įjungimo į miesto urbanistinę struktūrą projekt</w:t>
      </w:r>
      <w:r w:rsidR="009A2B2A">
        <w:rPr>
          <w:rFonts w:eastAsia="Calibri"/>
          <w:szCs w:val="24"/>
          <w:lang w:eastAsia="en-US" w:bidi="he-IL"/>
        </w:rPr>
        <w:t xml:space="preserve">e </w:t>
      </w:r>
      <w:r w:rsidRPr="00FF4F5D">
        <w:rPr>
          <w:rFonts w:eastAsia="Calibri"/>
          <w:szCs w:val="24"/>
          <w:lang w:eastAsia="en-US" w:bidi="he-IL"/>
        </w:rPr>
        <w:t>akcentuojamas natūralių šlaitų išsaugojimas, paplūdimio aplinkos tvarkymas, terasų, pontoninio liepto, žaidimų ir sporto aikštelių įrengimas. Lampėdžių paplūdimyje buvo užbaigti teritorijos sutvarkymo ir rekreacinės infrastruktūros įrengimo darbai, o Lampėdžių ežere pasirašyta rangos sutartis dėl tarptautinius reikalavimus atitinkančios irklavimo trasos inžinerinių statinių statybos. Tai rodo, kad žaliasis kursas 2025 metais buvo siejamas ir su kokybišku rekreaciniu turiniu, ir su darnesniu miesto erdvių panaudojimu.</w:t>
      </w:r>
      <w:r w:rsidR="00F31D75">
        <w:rPr>
          <w:rFonts w:eastAsia="Calibri"/>
          <w:szCs w:val="24"/>
          <w:lang w:eastAsia="en-US" w:bidi="he-IL"/>
        </w:rPr>
        <w:t xml:space="preserve"> </w:t>
      </w:r>
    </w:p>
    <w:p w14:paraId="5BE6BB0B" w14:textId="7270AEBF"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lastRenderedPageBreak/>
        <w:t>Tvarumo kryptį stiprino atliekų prevencijos ir aplinkos apsaugos priemonės. 2025</w:t>
      </w:r>
      <w:r w:rsidR="00F31D75">
        <w:rPr>
          <w:rFonts w:eastAsia="Calibri"/>
          <w:szCs w:val="24"/>
          <w:lang w:eastAsia="en-US" w:bidi="he-IL"/>
        </w:rPr>
        <w:t> </w:t>
      </w:r>
      <w:r w:rsidRPr="00FF4F5D">
        <w:rPr>
          <w:rFonts w:eastAsia="Calibri"/>
          <w:szCs w:val="24"/>
          <w:lang w:eastAsia="en-US" w:bidi="he-IL"/>
        </w:rPr>
        <w:t>metais utilizuota 467</w:t>
      </w:r>
      <w:r w:rsidR="00F31D75">
        <w:rPr>
          <w:rFonts w:eastAsia="Calibri"/>
          <w:szCs w:val="24"/>
          <w:lang w:eastAsia="en-US" w:bidi="he-IL"/>
        </w:rPr>
        <w:t xml:space="preserve"> </w:t>
      </w:r>
      <w:r w:rsidRPr="00FF4F5D">
        <w:rPr>
          <w:rFonts w:eastAsia="Calibri"/>
          <w:szCs w:val="24"/>
          <w:lang w:eastAsia="en-US" w:bidi="he-IL"/>
        </w:rPr>
        <w:t>t asbesto turinčių atliekų, individualioms valdoms įsigyta 10</w:t>
      </w:r>
      <w:r w:rsidR="00F31D75">
        <w:rPr>
          <w:rFonts w:eastAsia="Calibri"/>
          <w:szCs w:val="24"/>
          <w:lang w:eastAsia="en-US" w:bidi="he-IL"/>
        </w:rPr>
        <w:t xml:space="preserve"> </w:t>
      </w:r>
      <w:r w:rsidR="007A4C38">
        <w:rPr>
          <w:rFonts w:eastAsia="Calibri"/>
          <w:szCs w:val="24"/>
          <w:lang w:eastAsia="en-US" w:bidi="he-IL"/>
        </w:rPr>
        <w:t>tūkst.</w:t>
      </w:r>
      <w:r w:rsidRPr="00FF4F5D">
        <w:rPr>
          <w:rFonts w:eastAsia="Calibri"/>
          <w:szCs w:val="24"/>
          <w:lang w:eastAsia="en-US" w:bidi="he-IL"/>
        </w:rPr>
        <w:t xml:space="preserve"> maisto atliekų surinkimo konteinerių ir 10</w:t>
      </w:r>
      <w:r w:rsidR="00F31D75">
        <w:rPr>
          <w:rFonts w:eastAsia="Calibri"/>
          <w:szCs w:val="24"/>
          <w:lang w:eastAsia="en-US" w:bidi="he-IL"/>
        </w:rPr>
        <w:t xml:space="preserve"> </w:t>
      </w:r>
      <w:r w:rsidR="007A4C38">
        <w:rPr>
          <w:rFonts w:eastAsia="Calibri"/>
          <w:szCs w:val="24"/>
          <w:lang w:eastAsia="en-US" w:bidi="he-IL"/>
        </w:rPr>
        <w:t xml:space="preserve">tūkst. </w:t>
      </w:r>
      <w:r w:rsidRPr="00FF4F5D">
        <w:rPr>
          <w:rFonts w:eastAsia="Calibri"/>
          <w:szCs w:val="24"/>
          <w:lang w:eastAsia="en-US" w:bidi="he-IL"/>
        </w:rPr>
        <w:t>kompostavimo dėžių, o atskirai surinkta 2</w:t>
      </w:r>
      <w:r w:rsidR="00032961">
        <w:rPr>
          <w:rFonts w:eastAsia="Calibri"/>
          <w:szCs w:val="24"/>
          <w:lang w:eastAsia="en-US" w:bidi="he-IL"/>
        </w:rPr>
        <w:t>,</w:t>
      </w:r>
      <w:r w:rsidRPr="00FF4F5D">
        <w:rPr>
          <w:rFonts w:eastAsia="Calibri"/>
          <w:szCs w:val="24"/>
          <w:lang w:eastAsia="en-US" w:bidi="he-IL"/>
        </w:rPr>
        <w:t>4</w:t>
      </w:r>
      <w:r w:rsidR="00032961">
        <w:rPr>
          <w:rFonts w:eastAsia="Calibri"/>
          <w:szCs w:val="24"/>
          <w:lang w:eastAsia="en-US" w:bidi="he-IL"/>
        </w:rPr>
        <w:t> tūkst. </w:t>
      </w:r>
      <w:r w:rsidRPr="00FF4F5D">
        <w:rPr>
          <w:rFonts w:eastAsia="Calibri"/>
          <w:szCs w:val="24"/>
          <w:lang w:eastAsia="en-US" w:bidi="he-IL"/>
        </w:rPr>
        <w:t>t maisto virtuvės atliekų.</w:t>
      </w:r>
      <w:r w:rsidR="007A4C38">
        <w:rPr>
          <w:rFonts w:eastAsia="Calibri"/>
          <w:szCs w:val="24"/>
          <w:lang w:eastAsia="en-US" w:bidi="he-IL"/>
        </w:rPr>
        <w:t xml:space="preserve"> Įgyvendinant miesto žaliąjį kursą, </w:t>
      </w:r>
      <w:r w:rsidRPr="00FF4F5D">
        <w:rPr>
          <w:rFonts w:eastAsia="Calibri"/>
          <w:szCs w:val="24"/>
          <w:lang w:eastAsia="en-US" w:bidi="he-IL"/>
        </w:rPr>
        <w:t xml:space="preserve">Kaune </w:t>
      </w:r>
      <w:r w:rsidR="007A4C38">
        <w:rPr>
          <w:rFonts w:eastAsia="Calibri"/>
          <w:szCs w:val="24"/>
          <w:lang w:eastAsia="en-US" w:bidi="he-IL"/>
        </w:rPr>
        <w:t>orientuojamasi</w:t>
      </w:r>
      <w:r w:rsidRPr="00FF4F5D">
        <w:rPr>
          <w:rFonts w:eastAsia="Calibri"/>
          <w:szCs w:val="24"/>
          <w:lang w:eastAsia="en-US" w:bidi="he-IL"/>
        </w:rPr>
        <w:t xml:space="preserve"> ne tik į viešąsias erdves ar želdynus, bet ir į tvaresnius gyventojų kasdienius įpročius, aplinkai palankesnį atliekų tvarkymą ir sistemingą bioskaidžių atliekų surinkimo plėtrą.</w:t>
      </w:r>
      <w:r w:rsidR="00F31D75">
        <w:rPr>
          <w:rFonts w:eastAsia="Calibri"/>
          <w:szCs w:val="24"/>
          <w:lang w:eastAsia="en-US" w:bidi="he-IL"/>
        </w:rPr>
        <w:t xml:space="preserve"> </w:t>
      </w:r>
    </w:p>
    <w:p w14:paraId="3DA27308" w14:textId="33ED2681"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Svarbią vietą 2025 metų žaliajame kurse užėmė gyvenamosios aplinkos modernizavimas</w:t>
      </w:r>
      <w:r w:rsidR="007A4C38">
        <w:rPr>
          <w:rFonts w:eastAsia="Calibri"/>
          <w:szCs w:val="24"/>
          <w:lang w:eastAsia="en-US" w:bidi="he-IL"/>
        </w:rPr>
        <w:t>, vystant kokybiškesnę, energetiškai efektyvesnę gyvenamąją aplinką</w:t>
      </w:r>
      <w:r w:rsidRPr="00FF4F5D">
        <w:rPr>
          <w:rFonts w:eastAsia="Calibri"/>
          <w:szCs w:val="24"/>
          <w:lang w:eastAsia="en-US" w:bidi="he-IL"/>
        </w:rPr>
        <w:t>. Per metus Kaune atnaujinta 30 daugiabučių namų, kurių bendras naudingas plotas sudarė 47</w:t>
      </w:r>
      <w:r w:rsidR="007A4C38">
        <w:rPr>
          <w:rFonts w:eastAsia="Calibri"/>
          <w:szCs w:val="24"/>
          <w:lang w:eastAsia="en-US" w:bidi="he-IL"/>
        </w:rPr>
        <w:t>,</w:t>
      </w:r>
      <w:r w:rsidRPr="00FF4F5D">
        <w:rPr>
          <w:rFonts w:eastAsia="Calibri"/>
          <w:szCs w:val="24"/>
          <w:lang w:eastAsia="en-US" w:bidi="he-IL"/>
        </w:rPr>
        <w:t>6</w:t>
      </w:r>
      <w:r w:rsidR="007A4C38">
        <w:rPr>
          <w:rFonts w:eastAsia="Calibri"/>
          <w:szCs w:val="24"/>
          <w:lang w:eastAsia="en-US" w:bidi="he-IL"/>
        </w:rPr>
        <w:t xml:space="preserve"> tūkst. </w:t>
      </w:r>
      <w:r w:rsidRPr="00FF4F5D">
        <w:rPr>
          <w:rFonts w:eastAsia="Calibri"/>
          <w:szCs w:val="24"/>
          <w:lang w:eastAsia="en-US" w:bidi="he-IL"/>
        </w:rPr>
        <w:t>kv. m, o butų skaičius – 1</w:t>
      </w:r>
      <w:r w:rsidR="007A4C38">
        <w:rPr>
          <w:rFonts w:eastAsia="Calibri"/>
          <w:szCs w:val="24"/>
          <w:lang w:eastAsia="en-US" w:bidi="he-IL"/>
        </w:rPr>
        <w:t> </w:t>
      </w:r>
      <w:r w:rsidRPr="00FF4F5D">
        <w:rPr>
          <w:rFonts w:eastAsia="Calibri"/>
          <w:szCs w:val="24"/>
          <w:lang w:eastAsia="en-US" w:bidi="he-IL"/>
        </w:rPr>
        <w:t xml:space="preserve">021. Be to, pateikta 70 paraiškų daugiabučių namų vidaus šildymo ir karšto vandens sistemų modernizavimo projektams. Savivaldybė aktyviai vykdė gyvenamųjų vietovių teritorijų tvarkymo programą: 4 daugiabučių namų grupės priėmė sprendimus dėl dalyvavimo </w:t>
      </w:r>
      <w:r w:rsidR="007A4C38">
        <w:rPr>
          <w:rFonts w:eastAsia="Calibri"/>
          <w:szCs w:val="24"/>
          <w:lang w:eastAsia="en-US" w:bidi="he-IL"/>
        </w:rPr>
        <w:t xml:space="preserve">šioje </w:t>
      </w:r>
      <w:r w:rsidRPr="00FF4F5D">
        <w:rPr>
          <w:rFonts w:eastAsia="Calibri"/>
          <w:szCs w:val="24"/>
          <w:lang w:eastAsia="en-US" w:bidi="he-IL"/>
        </w:rPr>
        <w:t xml:space="preserve">programoje, o 3 teritorijų projektų rengimo darbai </w:t>
      </w:r>
      <w:r w:rsidR="007A4C38">
        <w:rPr>
          <w:rFonts w:eastAsia="Calibri"/>
          <w:szCs w:val="24"/>
          <w:lang w:eastAsia="en-US" w:bidi="he-IL"/>
        </w:rPr>
        <w:t xml:space="preserve">jau </w:t>
      </w:r>
      <w:r w:rsidRPr="00FF4F5D">
        <w:rPr>
          <w:rFonts w:eastAsia="Calibri"/>
          <w:szCs w:val="24"/>
          <w:lang w:eastAsia="en-US" w:bidi="he-IL"/>
        </w:rPr>
        <w:t>buvo pradėti.</w:t>
      </w:r>
      <w:r w:rsidR="00F31D75">
        <w:rPr>
          <w:rFonts w:eastAsia="Calibri"/>
          <w:szCs w:val="24"/>
          <w:lang w:eastAsia="en-US" w:bidi="he-IL"/>
        </w:rPr>
        <w:t xml:space="preserve"> </w:t>
      </w:r>
    </w:p>
    <w:p w14:paraId="1C23D22D" w14:textId="3E5E670A"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Aplinkos kokybės gerinimą papildė ir aktyvi daugiabučių administravimo bei priežiūros kontrolė. 2025 metais atlikta 55 bendrojo naudojimo objektų valdytojų veiklos patikrinimai, surašyti 45 patikrinimo aktai, iš kurių 32 buvo neplaniniai, o 27 valdytojai perduoti dėl nustatytų pažeidimų</w:t>
      </w:r>
      <w:r w:rsidR="008D33D9">
        <w:rPr>
          <w:rFonts w:eastAsia="Calibri"/>
          <w:szCs w:val="24"/>
          <w:lang w:eastAsia="en-US" w:bidi="he-IL"/>
        </w:rPr>
        <w:t xml:space="preserve"> tolimesniems procesiniams veiksmas atlikti</w:t>
      </w:r>
      <w:r w:rsidRPr="00FF4F5D">
        <w:rPr>
          <w:rFonts w:eastAsia="Calibri"/>
          <w:szCs w:val="24"/>
          <w:lang w:eastAsia="en-US" w:bidi="he-IL"/>
        </w:rPr>
        <w:t xml:space="preserve">. Kartu organizuoti mokymai daugiabučių valdytojams, kuriuose dalyvavo apie 110 pirmininkų, parengti 272 mero potvarkiai dėl administratorių skyrimo ir administravimo termino pratęsimo, taip pat 72 įsakymai dėl draudimo rūkyti daugiabučių balkonuose, terasose ir lodžijose. </w:t>
      </w:r>
      <w:r w:rsidR="00883D26">
        <w:rPr>
          <w:rFonts w:eastAsia="Calibri"/>
          <w:szCs w:val="24"/>
          <w:lang w:eastAsia="en-US" w:bidi="he-IL"/>
        </w:rPr>
        <w:t>G</w:t>
      </w:r>
      <w:r w:rsidRPr="00FF4F5D">
        <w:rPr>
          <w:rFonts w:eastAsia="Calibri"/>
          <w:szCs w:val="24"/>
          <w:lang w:eastAsia="en-US" w:bidi="he-IL"/>
        </w:rPr>
        <w:t>yvenamosios aplinkos kultūr</w:t>
      </w:r>
      <w:r w:rsidR="00883D26">
        <w:rPr>
          <w:rFonts w:eastAsia="Calibri"/>
          <w:szCs w:val="24"/>
          <w:lang w:eastAsia="en-US" w:bidi="he-IL"/>
        </w:rPr>
        <w:t>os stiprinimas</w:t>
      </w:r>
      <w:r w:rsidRPr="00FF4F5D">
        <w:rPr>
          <w:rFonts w:eastAsia="Calibri"/>
          <w:szCs w:val="24"/>
          <w:lang w:eastAsia="en-US" w:bidi="he-IL"/>
        </w:rPr>
        <w:t>, bendrojo naudojimo objektų priežiūros kokyb</w:t>
      </w:r>
      <w:r w:rsidR="00883D26">
        <w:rPr>
          <w:rFonts w:eastAsia="Calibri"/>
          <w:szCs w:val="24"/>
          <w:lang w:eastAsia="en-US" w:bidi="he-IL"/>
        </w:rPr>
        <w:t>ės</w:t>
      </w:r>
      <w:r w:rsidRPr="00FF4F5D">
        <w:rPr>
          <w:rFonts w:eastAsia="Calibri"/>
          <w:szCs w:val="24"/>
          <w:lang w:eastAsia="en-US" w:bidi="he-IL"/>
        </w:rPr>
        <w:t xml:space="preserve"> bei sveikesn</w:t>
      </w:r>
      <w:r w:rsidR="00883D26">
        <w:rPr>
          <w:rFonts w:eastAsia="Calibri"/>
          <w:szCs w:val="24"/>
          <w:lang w:eastAsia="en-US" w:bidi="he-IL"/>
        </w:rPr>
        <w:t>ės</w:t>
      </w:r>
      <w:r w:rsidRPr="00FF4F5D">
        <w:rPr>
          <w:rFonts w:eastAsia="Calibri"/>
          <w:szCs w:val="24"/>
          <w:lang w:eastAsia="en-US" w:bidi="he-IL"/>
        </w:rPr>
        <w:t xml:space="preserve"> aplink</w:t>
      </w:r>
      <w:r w:rsidR="00883D26">
        <w:rPr>
          <w:rFonts w:eastAsia="Calibri"/>
          <w:szCs w:val="24"/>
          <w:lang w:eastAsia="en-US" w:bidi="he-IL"/>
        </w:rPr>
        <w:t>os</w:t>
      </w:r>
      <w:r w:rsidRPr="00FF4F5D">
        <w:rPr>
          <w:rFonts w:eastAsia="Calibri"/>
          <w:szCs w:val="24"/>
          <w:lang w:eastAsia="en-US" w:bidi="he-IL"/>
        </w:rPr>
        <w:t xml:space="preserve"> gyvenamuosiuose </w:t>
      </w:r>
      <w:r w:rsidR="00883D26">
        <w:rPr>
          <w:rFonts w:eastAsia="Calibri"/>
          <w:szCs w:val="24"/>
          <w:lang w:eastAsia="en-US" w:bidi="he-IL"/>
        </w:rPr>
        <w:t xml:space="preserve">miesto </w:t>
      </w:r>
      <w:r w:rsidRPr="00FF4F5D">
        <w:rPr>
          <w:rFonts w:eastAsia="Calibri"/>
          <w:szCs w:val="24"/>
          <w:lang w:eastAsia="en-US" w:bidi="he-IL"/>
        </w:rPr>
        <w:t>rajonuose</w:t>
      </w:r>
      <w:r w:rsidR="00883D26">
        <w:rPr>
          <w:rFonts w:eastAsia="Calibri"/>
          <w:szCs w:val="24"/>
          <w:lang w:eastAsia="en-US" w:bidi="he-IL"/>
        </w:rPr>
        <w:t xml:space="preserve"> užtikrinimas taip pat yra svarbūs užtikrinant miestiečių gerovę Kaune</w:t>
      </w:r>
      <w:r w:rsidRPr="00FF4F5D">
        <w:rPr>
          <w:rFonts w:eastAsia="Calibri"/>
          <w:szCs w:val="24"/>
          <w:lang w:eastAsia="en-US" w:bidi="he-IL"/>
        </w:rPr>
        <w:t>.</w:t>
      </w:r>
      <w:r w:rsidR="00F31D75">
        <w:rPr>
          <w:rFonts w:eastAsia="Calibri"/>
          <w:szCs w:val="24"/>
          <w:lang w:eastAsia="en-US" w:bidi="he-IL"/>
        </w:rPr>
        <w:t xml:space="preserve"> </w:t>
      </w:r>
    </w:p>
    <w:p w14:paraId="2542BAC7" w14:textId="10F3F9BE" w:rsidR="00FF4F5D" w:rsidRPr="00FF4F5D" w:rsidRDefault="00FF4F5D" w:rsidP="00470544">
      <w:pPr>
        <w:spacing w:line="360" w:lineRule="auto"/>
        <w:ind w:firstLine="1298"/>
        <w:jc w:val="both"/>
        <w:rPr>
          <w:rFonts w:eastAsia="Calibri"/>
          <w:szCs w:val="24"/>
          <w:lang w:eastAsia="en-US" w:bidi="he-IL"/>
        </w:rPr>
      </w:pPr>
      <w:r w:rsidRPr="00FF4F5D">
        <w:rPr>
          <w:rFonts w:eastAsia="Calibri"/>
          <w:szCs w:val="24"/>
          <w:lang w:eastAsia="en-US" w:bidi="he-IL"/>
        </w:rPr>
        <w:t>2025 metais Kaunas tęsė energetinio efektyvumo ir atsinaujinančios energijos plėtrą. Savivaldybės pavaldžios įstaigos ir įmonės iš savo įrengtų saulės fotovoltinių elektrinių sugeneravo apie 10</w:t>
      </w:r>
      <w:r w:rsidR="00F31D75">
        <w:rPr>
          <w:rFonts w:eastAsia="Calibri"/>
          <w:szCs w:val="24"/>
          <w:lang w:eastAsia="en-US" w:bidi="he-IL"/>
        </w:rPr>
        <w:t xml:space="preserve"> </w:t>
      </w:r>
      <w:r w:rsidR="00470544">
        <w:rPr>
          <w:rFonts w:eastAsia="Calibri"/>
          <w:szCs w:val="24"/>
          <w:lang w:eastAsia="en-US" w:bidi="he-IL"/>
        </w:rPr>
        <w:t xml:space="preserve">tūkst. </w:t>
      </w:r>
      <w:r w:rsidRPr="00FF4F5D">
        <w:rPr>
          <w:rFonts w:eastAsia="Calibri"/>
          <w:szCs w:val="24"/>
          <w:lang w:eastAsia="en-US" w:bidi="he-IL"/>
        </w:rPr>
        <w:t>MWh elektros energijos, o tai sudarė apie 7</w:t>
      </w:r>
      <w:r w:rsidR="00F31D75">
        <w:rPr>
          <w:rFonts w:eastAsia="Calibri"/>
          <w:szCs w:val="24"/>
          <w:lang w:eastAsia="en-US" w:bidi="he-IL"/>
        </w:rPr>
        <w:t xml:space="preserve"> </w:t>
      </w:r>
      <w:r w:rsidRPr="00FF4F5D">
        <w:rPr>
          <w:rFonts w:eastAsia="Calibri"/>
          <w:szCs w:val="24"/>
          <w:lang w:eastAsia="en-US" w:bidi="he-IL"/>
        </w:rPr>
        <w:t xml:space="preserve">proc. viso jų suvartojamo elektros energijos kiekio. Be to, 2025 metais įgyvendinti 13 švietimo įstaigų saulės elektrinių įrengimo pirkimai, </w:t>
      </w:r>
      <w:r w:rsidR="00470544">
        <w:rPr>
          <w:rFonts w:eastAsia="Calibri"/>
          <w:szCs w:val="24"/>
          <w:lang w:eastAsia="en-US" w:bidi="he-IL"/>
        </w:rPr>
        <w:t xml:space="preserve">įgyvendinus kuriuos </w:t>
      </w:r>
      <w:r w:rsidR="00470544" w:rsidRPr="00470544">
        <w:rPr>
          <w:rFonts w:eastAsia="Calibri"/>
          <w:szCs w:val="24"/>
          <w:lang w:eastAsia="en-US" w:bidi="he-IL"/>
        </w:rPr>
        <w:t>630</w:t>
      </w:r>
      <w:r w:rsidR="00F31D75">
        <w:rPr>
          <w:rFonts w:eastAsia="Calibri"/>
          <w:szCs w:val="24"/>
          <w:lang w:eastAsia="en-US" w:bidi="he-IL"/>
        </w:rPr>
        <w:t xml:space="preserve"> </w:t>
      </w:r>
      <w:r w:rsidR="00470544" w:rsidRPr="00470544">
        <w:rPr>
          <w:rFonts w:eastAsia="Calibri"/>
          <w:szCs w:val="24"/>
          <w:lang w:eastAsia="en-US" w:bidi="he-IL"/>
        </w:rPr>
        <w:t>kW saulės elektrinės leis sugeneruoti per metus apie 570</w:t>
      </w:r>
      <w:r w:rsidR="00F31D75">
        <w:rPr>
          <w:rFonts w:eastAsia="Calibri"/>
          <w:szCs w:val="24"/>
          <w:lang w:eastAsia="en-US" w:bidi="he-IL"/>
        </w:rPr>
        <w:t> </w:t>
      </w:r>
      <w:r w:rsidR="00470544">
        <w:rPr>
          <w:rFonts w:eastAsia="Calibri"/>
          <w:szCs w:val="24"/>
          <w:lang w:eastAsia="en-US" w:bidi="he-IL"/>
        </w:rPr>
        <w:t>tūkst.</w:t>
      </w:r>
      <w:r w:rsidR="00F31D75">
        <w:rPr>
          <w:rFonts w:eastAsia="Calibri"/>
          <w:szCs w:val="24"/>
          <w:lang w:eastAsia="en-US" w:bidi="he-IL"/>
        </w:rPr>
        <w:t> </w:t>
      </w:r>
      <w:r w:rsidR="00470544" w:rsidRPr="00470544">
        <w:rPr>
          <w:rFonts w:eastAsia="Calibri"/>
          <w:szCs w:val="24"/>
          <w:lang w:eastAsia="en-US" w:bidi="he-IL"/>
        </w:rPr>
        <w:t>kWh elektros energijos.</w:t>
      </w:r>
      <w:r w:rsidR="00F31D75">
        <w:rPr>
          <w:rFonts w:eastAsia="Calibri"/>
          <w:szCs w:val="24"/>
          <w:lang w:eastAsia="en-US" w:bidi="he-IL"/>
        </w:rPr>
        <w:t xml:space="preserve"> </w:t>
      </w:r>
    </w:p>
    <w:p w14:paraId="0C042123" w14:textId="456A7130" w:rsidR="00FF4F5D" w:rsidRPr="00FF4F5D" w:rsidRDefault="00672D15" w:rsidP="00672D15">
      <w:pPr>
        <w:spacing w:line="360" w:lineRule="auto"/>
        <w:ind w:firstLine="1298"/>
        <w:jc w:val="both"/>
        <w:rPr>
          <w:rFonts w:eastAsia="Calibri"/>
          <w:szCs w:val="24"/>
          <w:lang w:eastAsia="en-US" w:bidi="he-IL"/>
        </w:rPr>
      </w:pPr>
      <w:r>
        <w:rPr>
          <w:rFonts w:eastAsia="Calibri"/>
          <w:szCs w:val="24"/>
          <w:lang w:eastAsia="en-US" w:bidi="he-IL"/>
        </w:rPr>
        <w:t xml:space="preserve">2025 metais buvo sėkmingai tęsiama </w:t>
      </w:r>
      <w:r w:rsidR="00FF4F5D" w:rsidRPr="00FF4F5D">
        <w:rPr>
          <w:rFonts w:eastAsia="Calibri"/>
          <w:szCs w:val="24"/>
          <w:lang w:eastAsia="en-US" w:bidi="he-IL"/>
        </w:rPr>
        <w:t xml:space="preserve">dviračių takų plėtra ir pėsčiųjų aplinkos gerinimas. </w:t>
      </w:r>
      <w:r>
        <w:rPr>
          <w:rFonts w:eastAsia="Calibri"/>
          <w:szCs w:val="24"/>
          <w:lang w:eastAsia="en-US" w:bidi="he-IL"/>
        </w:rPr>
        <w:t xml:space="preserve">Projektiniuose sprendimuose – </w:t>
      </w:r>
      <w:r w:rsidRPr="00672D15">
        <w:rPr>
          <w:rFonts w:eastAsia="Calibri"/>
          <w:szCs w:val="24"/>
          <w:lang w:eastAsia="en-US" w:bidi="he-IL"/>
        </w:rPr>
        <w:t>34</w:t>
      </w:r>
      <w:r w:rsidR="00F31D75">
        <w:rPr>
          <w:rFonts w:eastAsia="Calibri"/>
          <w:szCs w:val="24"/>
          <w:lang w:eastAsia="en-US" w:bidi="he-IL"/>
        </w:rPr>
        <w:t xml:space="preserve"> </w:t>
      </w:r>
      <w:r>
        <w:rPr>
          <w:rFonts w:eastAsia="Calibri"/>
          <w:szCs w:val="24"/>
          <w:lang w:eastAsia="en-US" w:bidi="he-IL"/>
        </w:rPr>
        <w:t>tūkst.</w:t>
      </w:r>
      <w:r w:rsidRPr="00672D15">
        <w:rPr>
          <w:rFonts w:eastAsia="Calibri"/>
          <w:szCs w:val="24"/>
          <w:lang w:eastAsia="en-US" w:bidi="he-IL"/>
        </w:rPr>
        <w:t xml:space="preserve"> kv.</w:t>
      </w:r>
      <w:r w:rsidR="00F31D75">
        <w:rPr>
          <w:rFonts w:eastAsia="Calibri"/>
          <w:szCs w:val="24"/>
          <w:lang w:eastAsia="en-US" w:bidi="he-IL"/>
        </w:rPr>
        <w:t xml:space="preserve"> </w:t>
      </w:r>
      <w:r w:rsidRPr="00672D15">
        <w:rPr>
          <w:rFonts w:eastAsia="Calibri"/>
          <w:szCs w:val="24"/>
          <w:lang w:eastAsia="en-US" w:bidi="he-IL"/>
        </w:rPr>
        <w:t xml:space="preserve">m </w:t>
      </w:r>
      <w:r>
        <w:rPr>
          <w:rFonts w:eastAsia="Calibri"/>
          <w:szCs w:val="24"/>
          <w:lang w:eastAsia="en-US" w:bidi="he-IL"/>
        </w:rPr>
        <w:t>naujai įrengtų pėsčiųjų takų ir 11,5</w:t>
      </w:r>
      <w:r w:rsidR="00F31D75">
        <w:rPr>
          <w:rFonts w:eastAsia="Calibri"/>
          <w:szCs w:val="24"/>
          <w:lang w:eastAsia="en-US" w:bidi="he-IL"/>
        </w:rPr>
        <w:t> </w:t>
      </w:r>
      <w:r>
        <w:rPr>
          <w:rFonts w:eastAsia="Calibri"/>
          <w:szCs w:val="24"/>
          <w:lang w:eastAsia="en-US" w:bidi="he-IL"/>
        </w:rPr>
        <w:t>km dviračių takų ilgis. Numatoma nauja</w:t>
      </w:r>
      <w:r w:rsidRPr="00672D15">
        <w:rPr>
          <w:rFonts w:eastAsia="Calibri"/>
          <w:szCs w:val="24"/>
          <w:lang w:eastAsia="en-US" w:bidi="he-IL"/>
        </w:rPr>
        <w:t xml:space="preserve"> pėsčiųjų ir dviračių infrastruktūra Baltijos g., Baltų</w:t>
      </w:r>
      <w:r w:rsidR="00661452">
        <w:rPr>
          <w:rFonts w:eastAsia="Calibri"/>
          <w:szCs w:val="24"/>
          <w:lang w:eastAsia="en-US" w:bidi="he-IL"/>
        </w:rPr>
        <w:t xml:space="preserve"> pr., </w:t>
      </w:r>
      <w:r w:rsidRPr="00672D15">
        <w:rPr>
          <w:rFonts w:eastAsia="Calibri"/>
          <w:szCs w:val="24"/>
          <w:lang w:eastAsia="en-US" w:bidi="he-IL"/>
        </w:rPr>
        <w:t>Chemijos</w:t>
      </w:r>
      <w:r w:rsidR="00661452">
        <w:rPr>
          <w:rFonts w:eastAsia="Calibri"/>
          <w:szCs w:val="24"/>
          <w:lang w:eastAsia="en-US" w:bidi="he-IL"/>
        </w:rPr>
        <w:t> </w:t>
      </w:r>
      <w:r w:rsidRPr="00672D15">
        <w:rPr>
          <w:rFonts w:eastAsia="Calibri"/>
          <w:szCs w:val="24"/>
          <w:lang w:eastAsia="en-US" w:bidi="he-IL"/>
        </w:rPr>
        <w:t>g</w:t>
      </w:r>
      <w:r w:rsidR="00661452">
        <w:rPr>
          <w:rFonts w:eastAsia="Calibri"/>
          <w:szCs w:val="24"/>
          <w:lang w:eastAsia="en-US" w:bidi="he-IL"/>
        </w:rPr>
        <w:t>atvėje</w:t>
      </w:r>
      <w:r w:rsidRPr="00672D15">
        <w:rPr>
          <w:rFonts w:eastAsia="Calibri"/>
          <w:szCs w:val="24"/>
          <w:lang w:eastAsia="en-US" w:bidi="he-IL"/>
        </w:rPr>
        <w:t>.</w:t>
      </w:r>
      <w:r>
        <w:rPr>
          <w:rFonts w:eastAsia="Calibri"/>
          <w:szCs w:val="24"/>
          <w:lang w:eastAsia="en-US" w:bidi="he-IL"/>
        </w:rPr>
        <w:t xml:space="preserve"> Mažiau taršus, saugesnis ir patogesnis judėjimas – viena iš miesto žaliojo kurso krypčių. </w:t>
      </w:r>
    </w:p>
    <w:p w14:paraId="37F45BE2" w14:textId="4BDDFA76" w:rsidR="00FF4F5D" w:rsidRPr="00FF4F5D"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lastRenderedPageBreak/>
        <w:t>Svarb</w:t>
      </w:r>
      <w:r w:rsidR="008577FB">
        <w:rPr>
          <w:rFonts w:eastAsia="Calibri"/>
          <w:szCs w:val="24"/>
          <w:lang w:eastAsia="en-US" w:bidi="he-IL"/>
        </w:rPr>
        <w:t>i</w:t>
      </w:r>
      <w:r w:rsidRPr="00FF4F5D">
        <w:rPr>
          <w:rFonts w:eastAsia="Calibri"/>
          <w:szCs w:val="24"/>
          <w:lang w:eastAsia="en-US" w:bidi="he-IL"/>
        </w:rPr>
        <w:t xml:space="preserve"> 2025 metų žaliųjų sprendimų kontekst</w:t>
      </w:r>
      <w:r w:rsidR="008577FB">
        <w:rPr>
          <w:rFonts w:eastAsia="Calibri"/>
          <w:szCs w:val="24"/>
          <w:lang w:eastAsia="en-US" w:bidi="he-IL"/>
        </w:rPr>
        <w:t>e</w:t>
      </w:r>
      <w:r w:rsidRPr="00FF4F5D">
        <w:rPr>
          <w:rFonts w:eastAsia="Calibri"/>
          <w:szCs w:val="24"/>
          <w:lang w:eastAsia="en-US" w:bidi="he-IL"/>
        </w:rPr>
        <w:t xml:space="preserve"> buvo ir viešųjų pirkimų </w:t>
      </w:r>
      <w:r w:rsidR="008577FB">
        <w:rPr>
          <w:rFonts w:eastAsia="Calibri"/>
          <w:szCs w:val="24"/>
          <w:lang w:eastAsia="en-US" w:bidi="he-IL"/>
        </w:rPr>
        <w:t>sritis</w:t>
      </w:r>
      <w:r w:rsidRPr="00FF4F5D">
        <w:rPr>
          <w:rFonts w:eastAsia="Calibri"/>
          <w:szCs w:val="24"/>
          <w:lang w:eastAsia="en-US" w:bidi="he-IL"/>
        </w:rPr>
        <w:t>. Žaliųjų pirkimų dalis</w:t>
      </w:r>
      <w:r w:rsidR="008577FB">
        <w:rPr>
          <w:rFonts w:eastAsia="Calibri"/>
          <w:szCs w:val="24"/>
          <w:lang w:eastAsia="en-US" w:bidi="he-IL"/>
        </w:rPr>
        <w:t xml:space="preserve"> Savivaldybėje</w:t>
      </w:r>
      <w:r w:rsidRPr="00FF4F5D">
        <w:rPr>
          <w:rFonts w:eastAsia="Calibri"/>
          <w:szCs w:val="24"/>
          <w:lang w:eastAsia="en-US" w:bidi="he-IL"/>
        </w:rPr>
        <w:t xml:space="preserve"> sudarė 98,5 proc., t. y. buvo aukštesnė už šalies vidurkį. </w:t>
      </w:r>
      <w:r w:rsidR="008577FB">
        <w:rPr>
          <w:rFonts w:eastAsia="Calibri"/>
          <w:szCs w:val="24"/>
          <w:lang w:eastAsia="en-US" w:bidi="he-IL"/>
        </w:rPr>
        <w:t xml:space="preserve">Šis rodiklis akivaizdžiai </w:t>
      </w:r>
      <w:r w:rsidRPr="00FF4F5D">
        <w:rPr>
          <w:rFonts w:eastAsia="Calibri"/>
          <w:szCs w:val="24"/>
          <w:lang w:eastAsia="en-US" w:bidi="he-IL"/>
        </w:rPr>
        <w:t xml:space="preserve">rodo, kad žaliojo kurso principai 2025 metais buvo </w:t>
      </w:r>
      <w:r w:rsidR="008577FB">
        <w:rPr>
          <w:rFonts w:eastAsia="Calibri"/>
          <w:szCs w:val="24"/>
          <w:lang w:eastAsia="en-US" w:bidi="he-IL"/>
        </w:rPr>
        <w:t>toliau integruojami</w:t>
      </w:r>
      <w:r w:rsidRPr="00FF4F5D">
        <w:rPr>
          <w:rFonts w:eastAsia="Calibri"/>
          <w:szCs w:val="24"/>
          <w:lang w:eastAsia="en-US" w:bidi="he-IL"/>
        </w:rPr>
        <w:t xml:space="preserve"> ne tik į infrastruktūrą, bet ir į savivaldybės administravimo bei investicinių sprendimų praktiką.</w:t>
      </w:r>
      <w:r w:rsidR="00F31D75">
        <w:rPr>
          <w:rFonts w:eastAsia="Calibri"/>
          <w:szCs w:val="24"/>
          <w:lang w:eastAsia="en-US" w:bidi="he-IL"/>
        </w:rPr>
        <w:t xml:space="preserve"> </w:t>
      </w:r>
    </w:p>
    <w:p w14:paraId="75F465D0" w14:textId="54109630" w:rsidR="00D26788" w:rsidRDefault="00FF4F5D" w:rsidP="00EF08D2">
      <w:pPr>
        <w:spacing w:line="360" w:lineRule="auto"/>
        <w:ind w:firstLine="1298"/>
        <w:jc w:val="both"/>
        <w:rPr>
          <w:rFonts w:eastAsia="Calibri"/>
          <w:szCs w:val="24"/>
          <w:lang w:eastAsia="en-US" w:bidi="he-IL"/>
        </w:rPr>
      </w:pPr>
      <w:r w:rsidRPr="00FF4F5D">
        <w:rPr>
          <w:rFonts w:eastAsia="Calibri"/>
          <w:szCs w:val="24"/>
          <w:lang w:eastAsia="en-US" w:bidi="he-IL"/>
        </w:rPr>
        <w:t>Apibendrinant</w:t>
      </w:r>
      <w:r w:rsidR="008577FB">
        <w:rPr>
          <w:rFonts w:eastAsia="Calibri"/>
          <w:szCs w:val="24"/>
          <w:lang w:eastAsia="en-US" w:bidi="he-IL"/>
        </w:rPr>
        <w:t xml:space="preserve">, </w:t>
      </w:r>
      <w:r w:rsidRPr="00FF4F5D">
        <w:rPr>
          <w:rFonts w:eastAsia="Calibri"/>
          <w:szCs w:val="24"/>
          <w:lang w:eastAsia="en-US" w:bidi="he-IL"/>
        </w:rPr>
        <w:t xml:space="preserve">2025 metais žaliasis miesto kursas Kaune buvo įgyvendinamas kaip visuminė miesto raidos kryptis. Jis apėmė žaliųjų plotų ir miškų tvarkymą, parkų ir skverų atnaujinimą, rekreacinių teritorijų plėtrą, atliekų prevenciją, daugiabučių modernizavimą, energinio efektyvumo didinimą, atsinaujinančios energijos plėtrą, tvarų judumą ir miesto atsparumo </w:t>
      </w:r>
      <w:r w:rsidR="008577FB">
        <w:rPr>
          <w:rFonts w:eastAsia="Calibri"/>
          <w:szCs w:val="24"/>
          <w:lang w:eastAsia="en-US" w:bidi="he-IL"/>
        </w:rPr>
        <w:t xml:space="preserve"> didinimo </w:t>
      </w:r>
      <w:r w:rsidRPr="00FF4F5D">
        <w:rPr>
          <w:rFonts w:eastAsia="Calibri"/>
          <w:szCs w:val="24"/>
          <w:lang w:eastAsia="en-US" w:bidi="he-IL"/>
        </w:rPr>
        <w:t>priemones. 2025 metų rezultatai rodo, kad Kaunas žaliąjį kursą nuosekliai pavertė ne atskira tema, o viena iš pagrindinių miesto vystymosi ašių.</w:t>
      </w:r>
      <w:r w:rsidR="00F31D75">
        <w:rPr>
          <w:rFonts w:eastAsia="Calibri"/>
          <w:szCs w:val="24"/>
          <w:lang w:eastAsia="en-US" w:bidi="he-IL"/>
        </w:rPr>
        <w:t xml:space="preserve"> </w:t>
      </w:r>
    </w:p>
    <w:p w14:paraId="66754988" w14:textId="77777777" w:rsidR="00894280" w:rsidRPr="0059460C" w:rsidRDefault="00894280" w:rsidP="006B101A">
      <w:pPr>
        <w:jc w:val="center"/>
        <w:rPr>
          <w:rFonts w:eastAsia="Calibri"/>
          <w:szCs w:val="24"/>
          <w:lang w:eastAsia="en-US" w:bidi="he-IL"/>
        </w:rPr>
      </w:pPr>
    </w:p>
    <w:p w14:paraId="3BF2C23E" w14:textId="6883099B" w:rsidR="00D26788" w:rsidRPr="00F31D75" w:rsidRDefault="00D26788" w:rsidP="0059460C">
      <w:pPr>
        <w:spacing w:line="276" w:lineRule="auto"/>
        <w:jc w:val="center"/>
        <w:rPr>
          <w:b/>
          <w:szCs w:val="24"/>
          <w:lang w:eastAsia="en-US" w:bidi="he-IL"/>
        </w:rPr>
      </w:pPr>
      <w:r w:rsidRPr="00D26788">
        <w:rPr>
          <w:rFonts w:eastAsia="Calibri"/>
          <w:b/>
          <w:szCs w:val="24"/>
          <w:lang w:eastAsia="en-US" w:bidi="he-IL"/>
        </w:rPr>
        <w:t>VIII SKYRIUS</w:t>
      </w:r>
      <w:r w:rsidR="00F31D75">
        <w:rPr>
          <w:rFonts w:eastAsia="Calibri"/>
          <w:b/>
          <w:szCs w:val="24"/>
          <w:lang w:eastAsia="en-US" w:bidi="he-IL"/>
        </w:rPr>
        <w:t xml:space="preserve"> </w:t>
      </w:r>
    </w:p>
    <w:p w14:paraId="6B128ABB" w14:textId="20838840" w:rsidR="00D26788" w:rsidRDefault="00D26788" w:rsidP="0059460C">
      <w:pPr>
        <w:spacing w:line="276" w:lineRule="auto"/>
        <w:jc w:val="center"/>
        <w:rPr>
          <w:rFonts w:eastAsia="Calibri"/>
          <w:b/>
          <w:szCs w:val="24"/>
          <w:lang w:eastAsia="en-US" w:bidi="he-IL"/>
        </w:rPr>
      </w:pPr>
      <w:r w:rsidRPr="00D26788">
        <w:rPr>
          <w:rFonts w:eastAsia="Calibri"/>
          <w:b/>
          <w:szCs w:val="24"/>
          <w:lang w:eastAsia="en-US" w:bidi="he-IL"/>
        </w:rPr>
        <w:t>PASLAUGOS MIESTIEČIAMS</w:t>
      </w:r>
      <w:r w:rsidR="00F31D75">
        <w:rPr>
          <w:rFonts w:eastAsia="Calibri"/>
          <w:b/>
          <w:szCs w:val="24"/>
          <w:lang w:eastAsia="en-US" w:bidi="he-IL"/>
        </w:rPr>
        <w:t xml:space="preserve"> </w:t>
      </w:r>
    </w:p>
    <w:p w14:paraId="73A5CCB4" w14:textId="77777777" w:rsidR="006B101A" w:rsidRPr="00D26788" w:rsidRDefault="006B101A" w:rsidP="006B101A">
      <w:pPr>
        <w:jc w:val="center"/>
        <w:rPr>
          <w:szCs w:val="24"/>
          <w:lang w:eastAsia="en-US" w:bidi="he-IL"/>
        </w:rPr>
      </w:pPr>
    </w:p>
    <w:p w14:paraId="41610957" w14:textId="12BA20D1"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miesto savivaldybės veiklos centre 2025 metais ir toliau buvo paslaugų miestiečiams prieinamumas, kokybė, operatyvumas ir modernizavimas</w:t>
      </w:r>
      <w:r w:rsidR="00675247">
        <w:rPr>
          <w:rFonts w:eastAsia="Calibri"/>
          <w:szCs w:val="24"/>
          <w:lang w:eastAsia="en-US" w:bidi="he-IL"/>
        </w:rPr>
        <w:t xml:space="preserve">. Savivaldybėje didelis </w:t>
      </w:r>
      <w:r w:rsidRPr="00D26788">
        <w:rPr>
          <w:rFonts w:eastAsia="Calibri"/>
          <w:szCs w:val="24"/>
          <w:lang w:eastAsia="en-US" w:bidi="he-IL"/>
        </w:rPr>
        <w:t xml:space="preserve">dėmesys </w:t>
      </w:r>
      <w:r w:rsidR="00675247">
        <w:rPr>
          <w:rFonts w:eastAsia="Calibri"/>
          <w:szCs w:val="24"/>
          <w:lang w:eastAsia="en-US" w:bidi="he-IL"/>
        </w:rPr>
        <w:t xml:space="preserve">buvo </w:t>
      </w:r>
      <w:r w:rsidRPr="00D26788">
        <w:rPr>
          <w:rFonts w:eastAsia="Calibri"/>
          <w:szCs w:val="24"/>
          <w:lang w:eastAsia="en-US" w:bidi="he-IL"/>
        </w:rPr>
        <w:t>skiriamas skaitmeninių sprendimų diegimui, administracinių ir teisinių paslaugų teikimui, sveikatos priežiūros ir visuomenės sveikatos stiprinimui, socialinei paramai ir socialinėms paslaugoms, taip pat šeimų, vaikų ir jaunimo gerovei. 2025 metais šios sritys buvo plėtojamos ne tik išlaikant paslaugų tęstinumą, bet ir diegiant naujus sprendimus, stiprinančius paslaugų kokybę bei prieinamumą įvairioms gyventojų grupėms.</w:t>
      </w:r>
      <w:r w:rsidR="00F31D75">
        <w:rPr>
          <w:rFonts w:eastAsia="Calibri"/>
          <w:szCs w:val="24"/>
          <w:lang w:eastAsia="en-US" w:bidi="he-IL"/>
        </w:rPr>
        <w:t xml:space="preserve"> </w:t>
      </w:r>
    </w:p>
    <w:p w14:paraId="42B02D8A" w14:textId="6CBDB345" w:rsidR="00D26788" w:rsidRPr="00D26788" w:rsidRDefault="00493C7D" w:rsidP="00D26788">
      <w:pPr>
        <w:spacing w:line="360" w:lineRule="auto"/>
        <w:ind w:firstLine="1298"/>
        <w:jc w:val="both"/>
        <w:rPr>
          <w:szCs w:val="24"/>
          <w:lang w:eastAsia="en-US" w:bidi="he-IL"/>
        </w:rPr>
      </w:pPr>
      <w:r>
        <w:rPr>
          <w:rFonts w:eastAsia="Calibri"/>
          <w:szCs w:val="24"/>
          <w:lang w:eastAsia="en-US" w:bidi="he-IL"/>
        </w:rPr>
        <w:t>S</w:t>
      </w:r>
      <w:r w:rsidRPr="00D26788">
        <w:rPr>
          <w:rFonts w:eastAsia="Calibri"/>
          <w:szCs w:val="24"/>
          <w:lang w:eastAsia="en-US" w:bidi="he-IL"/>
        </w:rPr>
        <w:t>kaitmenini</w:t>
      </w:r>
      <w:r>
        <w:rPr>
          <w:rFonts w:eastAsia="Calibri"/>
          <w:szCs w:val="24"/>
          <w:lang w:eastAsia="en-US" w:bidi="he-IL"/>
        </w:rPr>
        <w:t>ų</w:t>
      </w:r>
      <w:r w:rsidRPr="00D26788">
        <w:rPr>
          <w:rFonts w:eastAsia="Calibri"/>
          <w:szCs w:val="24"/>
          <w:lang w:eastAsia="en-US" w:bidi="he-IL"/>
        </w:rPr>
        <w:t xml:space="preserve"> sprendim</w:t>
      </w:r>
      <w:r>
        <w:rPr>
          <w:rFonts w:eastAsia="Calibri"/>
          <w:szCs w:val="24"/>
          <w:lang w:eastAsia="en-US" w:bidi="he-IL"/>
        </w:rPr>
        <w:t xml:space="preserve">ų diegimas </w:t>
      </w:r>
      <w:r w:rsidR="00F31D75">
        <w:rPr>
          <w:rFonts w:eastAsia="Calibri"/>
          <w:szCs w:val="24"/>
          <w:lang w:eastAsia="en-US" w:bidi="he-IL"/>
        </w:rPr>
        <w:t>–</w:t>
      </w:r>
      <w:r w:rsidRPr="00D26788">
        <w:rPr>
          <w:rFonts w:eastAsia="Calibri"/>
          <w:szCs w:val="24"/>
          <w:lang w:eastAsia="en-US" w:bidi="he-IL"/>
        </w:rPr>
        <w:t xml:space="preserve"> </w:t>
      </w:r>
      <w:r w:rsidR="00D26788" w:rsidRPr="00D26788">
        <w:rPr>
          <w:rFonts w:eastAsia="Calibri"/>
          <w:szCs w:val="24"/>
          <w:lang w:eastAsia="en-US" w:bidi="he-IL"/>
        </w:rPr>
        <w:t>2025 metais viena svarbiausių paslaugų miestiečiams modernizavimo krypčių</w:t>
      </w:r>
      <w:r>
        <w:rPr>
          <w:rFonts w:eastAsia="Calibri"/>
          <w:szCs w:val="24"/>
          <w:lang w:eastAsia="en-US" w:bidi="he-IL"/>
        </w:rPr>
        <w:t>.</w:t>
      </w:r>
      <w:r w:rsidR="00D26788" w:rsidRPr="00D26788">
        <w:rPr>
          <w:rFonts w:eastAsia="Calibri"/>
          <w:szCs w:val="24"/>
          <w:lang w:eastAsia="en-US" w:bidi="he-IL"/>
        </w:rPr>
        <w:t xml:space="preserve"> </w:t>
      </w:r>
      <w:r w:rsidR="005B7F90">
        <w:rPr>
          <w:rFonts w:eastAsia="Calibri"/>
          <w:szCs w:val="24"/>
          <w:lang w:eastAsia="en-US" w:bidi="he-IL"/>
        </w:rPr>
        <w:t>M</w:t>
      </w:r>
      <w:r w:rsidR="00D26788" w:rsidRPr="00D26788">
        <w:rPr>
          <w:rFonts w:eastAsia="Calibri"/>
          <w:szCs w:val="24"/>
          <w:lang w:eastAsia="en-US" w:bidi="he-IL"/>
        </w:rPr>
        <w:t xml:space="preserve">odernizuotos viešųjų pirkimų, dokumentų valdymo, biudžeto, finansų, ikimokyklinių įstaigų administravimo, sporto bazių valdymo ir nekilnojamojo turto sistemos, toliau vystytos GIS platformos, pradėta naudoti mokyklų komunikavimo sistema. </w:t>
      </w:r>
      <w:r w:rsidR="005B7F90">
        <w:rPr>
          <w:rFonts w:eastAsia="Calibri"/>
          <w:szCs w:val="24"/>
          <w:lang w:eastAsia="en-US" w:bidi="he-IL"/>
        </w:rPr>
        <w:t>Vykdyta paslaugų skaitmenizavimo plėtra, p</w:t>
      </w:r>
      <w:r w:rsidR="00D26788" w:rsidRPr="00D26788">
        <w:rPr>
          <w:rFonts w:eastAsia="Calibri"/>
          <w:szCs w:val="24"/>
          <w:lang w:eastAsia="en-US" w:bidi="he-IL"/>
        </w:rPr>
        <w:t>er elektroninių paslaugų sistemą suteikta apie 14</w:t>
      </w:r>
      <w:r w:rsidR="00F31D75">
        <w:rPr>
          <w:rFonts w:eastAsia="Calibri"/>
          <w:szCs w:val="24"/>
          <w:lang w:eastAsia="en-US" w:bidi="he-IL"/>
        </w:rPr>
        <w:t> </w:t>
      </w:r>
      <w:r w:rsidR="005B7F90">
        <w:rPr>
          <w:rFonts w:eastAsia="Calibri"/>
          <w:szCs w:val="24"/>
          <w:lang w:eastAsia="en-US" w:bidi="he-IL"/>
        </w:rPr>
        <w:t>tūkst.</w:t>
      </w:r>
      <w:r w:rsidR="00F31D75">
        <w:rPr>
          <w:rFonts w:eastAsia="Calibri"/>
          <w:szCs w:val="24"/>
          <w:lang w:eastAsia="en-US" w:bidi="he-IL"/>
        </w:rPr>
        <w:t> </w:t>
      </w:r>
      <w:r w:rsidR="00D26788" w:rsidRPr="00D26788">
        <w:rPr>
          <w:rFonts w:eastAsia="Calibri"/>
          <w:szCs w:val="24"/>
          <w:lang w:eastAsia="en-US" w:bidi="he-IL"/>
        </w:rPr>
        <w:t>elektroninių paslaugų</w:t>
      </w:r>
      <w:r w:rsidR="005B7F90">
        <w:rPr>
          <w:rFonts w:eastAsia="Calibri"/>
          <w:szCs w:val="24"/>
          <w:lang w:eastAsia="en-US" w:bidi="he-IL"/>
        </w:rPr>
        <w:t>.</w:t>
      </w:r>
      <w:r w:rsidR="00D26788" w:rsidRPr="00D26788">
        <w:rPr>
          <w:rFonts w:eastAsia="Calibri"/>
          <w:szCs w:val="24"/>
          <w:lang w:eastAsia="en-US" w:bidi="he-IL"/>
        </w:rPr>
        <w:t xml:space="preserve"> Papildomai plėtotos atvirų duomenų platformos ir viešų</w:t>
      </w:r>
      <w:r w:rsidR="005B7F90">
        <w:rPr>
          <w:rFonts w:eastAsia="Calibri"/>
          <w:szCs w:val="24"/>
          <w:lang w:eastAsia="en-US" w:bidi="he-IL"/>
        </w:rPr>
        <w:t>jų</w:t>
      </w:r>
      <w:r w:rsidR="00D26788" w:rsidRPr="00D26788">
        <w:rPr>
          <w:rFonts w:eastAsia="Calibri"/>
          <w:szCs w:val="24"/>
          <w:lang w:eastAsia="en-US" w:bidi="he-IL"/>
        </w:rPr>
        <w:t xml:space="preserve"> žemėlapių portalai, didinę paslaugų skaidrumą, prieinamumą ir naudojimo patogumą.</w:t>
      </w:r>
      <w:r w:rsidR="00F31D75">
        <w:rPr>
          <w:rFonts w:eastAsia="Calibri"/>
          <w:szCs w:val="24"/>
          <w:lang w:eastAsia="en-US" w:bidi="he-IL"/>
        </w:rPr>
        <w:t xml:space="preserve"> </w:t>
      </w:r>
    </w:p>
    <w:p w14:paraId="7BCFE64A" w14:textId="14266089" w:rsidR="00D26788" w:rsidRPr="00D26788" w:rsidRDefault="005B7F90" w:rsidP="00D26788">
      <w:pPr>
        <w:spacing w:line="360" w:lineRule="auto"/>
        <w:ind w:firstLine="1298"/>
        <w:jc w:val="both"/>
        <w:rPr>
          <w:szCs w:val="24"/>
          <w:lang w:eastAsia="en-US" w:bidi="he-IL"/>
        </w:rPr>
      </w:pPr>
      <w:r>
        <w:rPr>
          <w:rFonts w:eastAsia="Calibri"/>
          <w:szCs w:val="24"/>
          <w:lang w:eastAsia="en-US" w:bidi="he-IL"/>
        </w:rPr>
        <w:t>Savivaldybės a</w:t>
      </w:r>
      <w:r w:rsidR="00D26788" w:rsidRPr="00D26788">
        <w:rPr>
          <w:rFonts w:eastAsia="Calibri"/>
          <w:szCs w:val="24"/>
          <w:lang w:eastAsia="en-US" w:bidi="he-IL"/>
        </w:rPr>
        <w:t>dministracinių paslaugų srityje 2025 metais gaut</w:t>
      </w:r>
      <w:r>
        <w:rPr>
          <w:rFonts w:eastAsia="Calibri"/>
          <w:szCs w:val="24"/>
          <w:lang w:eastAsia="en-US" w:bidi="he-IL"/>
        </w:rPr>
        <w:t>i</w:t>
      </w:r>
      <w:r w:rsidR="00D26788" w:rsidRPr="00D26788">
        <w:rPr>
          <w:rFonts w:eastAsia="Calibri"/>
          <w:szCs w:val="24"/>
          <w:lang w:eastAsia="en-US" w:bidi="he-IL"/>
        </w:rPr>
        <w:t xml:space="preserve"> 49</w:t>
      </w:r>
      <w:r>
        <w:rPr>
          <w:rFonts w:eastAsia="Calibri"/>
          <w:szCs w:val="24"/>
          <w:lang w:eastAsia="en-US" w:bidi="he-IL"/>
        </w:rPr>
        <w:t> </w:t>
      </w:r>
      <w:r w:rsidR="00D26788" w:rsidRPr="00D26788">
        <w:rPr>
          <w:rFonts w:eastAsia="Calibri"/>
          <w:szCs w:val="24"/>
          <w:lang w:eastAsia="en-US" w:bidi="he-IL"/>
        </w:rPr>
        <w:t>276 raštai, iš jų 19</w:t>
      </w:r>
      <w:r>
        <w:rPr>
          <w:rFonts w:eastAsia="Calibri"/>
          <w:szCs w:val="24"/>
          <w:lang w:eastAsia="en-US" w:bidi="he-IL"/>
        </w:rPr>
        <w:t> </w:t>
      </w:r>
      <w:r w:rsidR="00D26788" w:rsidRPr="00D26788">
        <w:rPr>
          <w:rFonts w:eastAsia="Calibri"/>
          <w:szCs w:val="24"/>
          <w:lang w:eastAsia="en-US" w:bidi="he-IL"/>
        </w:rPr>
        <w:t>714 adresuoti Savivaldybės vadovybei, o tai sudarė 3,5 proc. augimą. Per metus suformuot</w:t>
      </w:r>
      <w:r>
        <w:rPr>
          <w:rFonts w:eastAsia="Calibri"/>
          <w:szCs w:val="24"/>
          <w:lang w:eastAsia="en-US" w:bidi="he-IL"/>
        </w:rPr>
        <w:t>i</w:t>
      </w:r>
      <w:r w:rsidR="00D26788" w:rsidRPr="00D26788">
        <w:rPr>
          <w:rFonts w:eastAsia="Calibri"/>
          <w:szCs w:val="24"/>
          <w:lang w:eastAsia="en-US" w:bidi="he-IL"/>
        </w:rPr>
        <w:t xml:space="preserve"> 14</w:t>
      </w:r>
      <w:r>
        <w:rPr>
          <w:rFonts w:eastAsia="Calibri"/>
          <w:szCs w:val="24"/>
          <w:lang w:eastAsia="en-US" w:bidi="he-IL"/>
        </w:rPr>
        <w:t> </w:t>
      </w:r>
      <w:r w:rsidR="00D26788" w:rsidRPr="00D26788">
        <w:rPr>
          <w:rFonts w:eastAsia="Calibri"/>
          <w:szCs w:val="24"/>
          <w:lang w:eastAsia="en-US" w:bidi="he-IL"/>
        </w:rPr>
        <w:t xml:space="preserve">336 pavedimai, </w:t>
      </w:r>
      <w:r>
        <w:rPr>
          <w:rFonts w:eastAsia="Calibri"/>
          <w:szCs w:val="24"/>
          <w:lang w:eastAsia="en-US" w:bidi="he-IL"/>
        </w:rPr>
        <w:t>arba</w:t>
      </w:r>
      <w:r w:rsidR="00D26788" w:rsidRPr="00D26788">
        <w:rPr>
          <w:rFonts w:eastAsia="Calibri"/>
          <w:szCs w:val="24"/>
          <w:lang w:eastAsia="en-US" w:bidi="he-IL"/>
        </w:rPr>
        <w:t xml:space="preserve"> yra 7</w:t>
      </w:r>
      <w:r w:rsidR="00F31D75">
        <w:rPr>
          <w:rFonts w:eastAsia="Calibri"/>
          <w:szCs w:val="24"/>
          <w:lang w:eastAsia="en-US" w:bidi="he-IL"/>
        </w:rPr>
        <w:t xml:space="preserve"> </w:t>
      </w:r>
      <w:r w:rsidR="00D26788" w:rsidRPr="00D26788">
        <w:rPr>
          <w:rFonts w:eastAsia="Calibri"/>
          <w:szCs w:val="24"/>
          <w:lang w:eastAsia="en-US" w:bidi="he-IL"/>
        </w:rPr>
        <w:t>proc. daugiau nei ankstesniais metais, 97</w:t>
      </w:r>
      <w:r w:rsidR="00F31D75">
        <w:rPr>
          <w:rFonts w:eastAsia="Calibri"/>
          <w:szCs w:val="24"/>
          <w:lang w:eastAsia="en-US" w:bidi="he-IL"/>
        </w:rPr>
        <w:t xml:space="preserve"> </w:t>
      </w:r>
      <w:r w:rsidR="00D26788" w:rsidRPr="00D26788">
        <w:rPr>
          <w:rFonts w:eastAsia="Calibri"/>
          <w:szCs w:val="24"/>
          <w:lang w:eastAsia="en-US" w:bidi="he-IL"/>
        </w:rPr>
        <w:t>proc. dokumentų išnagrinėta laiku. Taip pat parengti 4</w:t>
      </w:r>
      <w:r>
        <w:rPr>
          <w:rFonts w:eastAsia="Calibri"/>
          <w:szCs w:val="24"/>
          <w:lang w:eastAsia="en-US" w:bidi="he-IL"/>
        </w:rPr>
        <w:t> </w:t>
      </w:r>
      <w:r w:rsidR="00D26788" w:rsidRPr="00D26788">
        <w:rPr>
          <w:rFonts w:eastAsia="Calibri"/>
          <w:szCs w:val="24"/>
          <w:lang w:eastAsia="en-US" w:bidi="he-IL"/>
        </w:rPr>
        <w:t>849 vadovybės raštai, iš kurių 94,8 proc. išsiųsti elektroniniu būdu. Civilinės būklės administravimo srityje užregistruot</w:t>
      </w:r>
      <w:r>
        <w:rPr>
          <w:rFonts w:eastAsia="Calibri"/>
          <w:szCs w:val="24"/>
          <w:lang w:eastAsia="en-US" w:bidi="he-IL"/>
        </w:rPr>
        <w:t>i</w:t>
      </w:r>
      <w:r w:rsidR="00D26788" w:rsidRPr="00D26788">
        <w:rPr>
          <w:rFonts w:eastAsia="Calibri"/>
          <w:szCs w:val="24"/>
          <w:lang w:eastAsia="en-US" w:bidi="he-IL"/>
        </w:rPr>
        <w:t xml:space="preserve"> 10</w:t>
      </w:r>
      <w:r>
        <w:rPr>
          <w:rFonts w:eastAsia="Calibri"/>
          <w:szCs w:val="24"/>
          <w:lang w:eastAsia="en-US" w:bidi="he-IL"/>
        </w:rPr>
        <w:t> </w:t>
      </w:r>
      <w:r w:rsidR="00D26788" w:rsidRPr="00D26788">
        <w:rPr>
          <w:rFonts w:eastAsia="Calibri"/>
          <w:szCs w:val="24"/>
          <w:lang w:eastAsia="en-US" w:bidi="he-IL"/>
        </w:rPr>
        <w:t>087 civilinės būklės aktų įrašai, 3</w:t>
      </w:r>
      <w:r>
        <w:rPr>
          <w:rFonts w:eastAsia="Calibri"/>
          <w:szCs w:val="24"/>
          <w:lang w:eastAsia="en-US" w:bidi="he-IL"/>
        </w:rPr>
        <w:t> </w:t>
      </w:r>
      <w:r w:rsidR="00D26788" w:rsidRPr="00D26788">
        <w:rPr>
          <w:rFonts w:eastAsia="Calibri"/>
          <w:szCs w:val="24"/>
          <w:lang w:eastAsia="en-US" w:bidi="he-IL"/>
        </w:rPr>
        <w:t xml:space="preserve">133 skenuoti aktai </w:t>
      </w:r>
      <w:r w:rsidR="00D26788" w:rsidRPr="00D26788">
        <w:rPr>
          <w:rFonts w:eastAsia="Calibri"/>
          <w:szCs w:val="24"/>
          <w:lang w:eastAsia="en-US" w:bidi="he-IL"/>
        </w:rPr>
        <w:lastRenderedPageBreak/>
        <w:t>perduoti Registrų centrui, Kauno šeimoms išdalinti 1</w:t>
      </w:r>
      <w:r>
        <w:rPr>
          <w:rFonts w:eastAsia="Calibri"/>
          <w:szCs w:val="24"/>
          <w:lang w:eastAsia="en-US" w:bidi="he-IL"/>
        </w:rPr>
        <w:t> </w:t>
      </w:r>
      <w:r w:rsidR="00D26788" w:rsidRPr="00D26788">
        <w:rPr>
          <w:rFonts w:eastAsia="Calibri"/>
          <w:szCs w:val="24"/>
          <w:lang w:eastAsia="en-US" w:bidi="he-IL"/>
        </w:rPr>
        <w:t xml:space="preserve">439 kūdikio kraiteliai. Šie rodikliai rodo ne tik didelį </w:t>
      </w:r>
      <w:r>
        <w:rPr>
          <w:rFonts w:eastAsia="Calibri"/>
          <w:szCs w:val="24"/>
          <w:lang w:eastAsia="en-US" w:bidi="he-IL"/>
        </w:rPr>
        <w:t xml:space="preserve">miesto </w:t>
      </w:r>
      <w:r w:rsidR="00D26788" w:rsidRPr="00D26788">
        <w:rPr>
          <w:rFonts w:eastAsia="Calibri"/>
          <w:szCs w:val="24"/>
          <w:lang w:eastAsia="en-US" w:bidi="he-IL"/>
        </w:rPr>
        <w:t>administracinių paslaugų mastą, bet ir vis stipresnį jų perkėlimą į skaitmeninę erdvę.</w:t>
      </w:r>
      <w:r w:rsidR="00F31D75">
        <w:rPr>
          <w:rFonts w:eastAsia="Calibri"/>
          <w:szCs w:val="24"/>
          <w:lang w:eastAsia="en-US" w:bidi="he-IL"/>
        </w:rPr>
        <w:t xml:space="preserve"> </w:t>
      </w:r>
    </w:p>
    <w:p w14:paraId="71C298F2" w14:textId="7E091B6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buvo vykdomos ir duomenų apsaugos bei duomenų atvėrimo iniciatyvos, kurios svarbios paslaugų kokybės ir gyventojų pasitikėjimo požiūriu. Atliktas </w:t>
      </w:r>
      <w:r w:rsidR="00493C7D" w:rsidRPr="00493C7D">
        <w:rPr>
          <w:rFonts w:eastAsia="Calibri"/>
          <w:szCs w:val="24"/>
          <w:lang w:eastAsia="en-US" w:bidi="he-IL"/>
        </w:rPr>
        <w:t>Bendr</w:t>
      </w:r>
      <w:r w:rsidR="00493C7D">
        <w:rPr>
          <w:rFonts w:eastAsia="Calibri"/>
          <w:szCs w:val="24"/>
          <w:lang w:eastAsia="en-US" w:bidi="he-IL"/>
        </w:rPr>
        <w:t>ojo</w:t>
      </w:r>
      <w:r w:rsidR="00493C7D" w:rsidRPr="00493C7D">
        <w:rPr>
          <w:rFonts w:eastAsia="Calibri"/>
          <w:szCs w:val="24"/>
          <w:lang w:eastAsia="en-US" w:bidi="he-IL"/>
        </w:rPr>
        <w:t xml:space="preserve"> duomenų apsaugos reglament</w:t>
      </w:r>
      <w:r w:rsidR="00493C7D">
        <w:rPr>
          <w:rFonts w:eastAsia="Calibri"/>
          <w:szCs w:val="24"/>
          <w:lang w:eastAsia="en-US" w:bidi="he-IL"/>
        </w:rPr>
        <w:t>o (</w:t>
      </w:r>
      <w:r w:rsidRPr="00D26788">
        <w:rPr>
          <w:rFonts w:eastAsia="Calibri"/>
          <w:szCs w:val="24"/>
          <w:lang w:eastAsia="en-US" w:bidi="he-IL"/>
        </w:rPr>
        <w:t>BDAR</w:t>
      </w:r>
      <w:r w:rsidR="00493C7D">
        <w:rPr>
          <w:rFonts w:eastAsia="Calibri"/>
          <w:szCs w:val="24"/>
          <w:lang w:eastAsia="en-US" w:bidi="he-IL"/>
        </w:rPr>
        <w:t>)</w:t>
      </w:r>
      <w:r w:rsidRPr="00D26788">
        <w:rPr>
          <w:rFonts w:eastAsia="Calibri"/>
          <w:szCs w:val="24"/>
          <w:lang w:eastAsia="en-US" w:bidi="he-IL"/>
        </w:rPr>
        <w:t xml:space="preserve"> atitikties auditas biudžetinėje įstaigoje „Parkavimas Kaune“, įvertinta daugiau kaip 80 proc. sistemos atitiktis, atverti 4 duomenų rinkiniai nacionalinėje atvirų duomenų platformoje, o </w:t>
      </w:r>
      <w:r w:rsidR="00493C7D">
        <w:rPr>
          <w:rFonts w:eastAsia="Calibri"/>
          <w:szCs w:val="24"/>
          <w:lang w:eastAsia="en-US" w:bidi="he-IL"/>
        </w:rPr>
        <w:t xml:space="preserve">Savivaldybės </w:t>
      </w:r>
      <w:r w:rsidRPr="00D26788">
        <w:rPr>
          <w:rFonts w:eastAsia="Calibri"/>
          <w:szCs w:val="24"/>
          <w:lang w:eastAsia="en-US" w:bidi="he-IL"/>
        </w:rPr>
        <w:t>darbuotojų apklausoje dėl asmens duomenų tvarkymo dalyvavo 53</w:t>
      </w:r>
      <w:r w:rsidR="00493C7D">
        <w:rPr>
          <w:rFonts w:eastAsia="Calibri"/>
          <w:szCs w:val="24"/>
          <w:lang w:eastAsia="en-US" w:bidi="he-IL"/>
        </w:rPr>
        <w:t> </w:t>
      </w:r>
      <w:r w:rsidRPr="00D26788">
        <w:rPr>
          <w:rFonts w:eastAsia="Calibri"/>
          <w:szCs w:val="24"/>
          <w:lang w:eastAsia="en-US" w:bidi="he-IL"/>
        </w:rPr>
        <w:t>proc.</w:t>
      </w:r>
      <w:r w:rsidR="00493C7D">
        <w:rPr>
          <w:rFonts w:eastAsia="Calibri"/>
          <w:szCs w:val="24"/>
          <w:lang w:eastAsia="en-US" w:bidi="he-IL"/>
        </w:rPr>
        <w:t xml:space="preserve"> darbuotojų</w:t>
      </w:r>
      <w:r w:rsidRPr="00D26788">
        <w:rPr>
          <w:rFonts w:eastAsia="Calibri"/>
          <w:szCs w:val="24"/>
          <w:lang w:eastAsia="en-US" w:bidi="he-IL"/>
        </w:rPr>
        <w:t>. Per metus išnagrinėta 114 raštų, suderintas 191 dokumentas, taip pat teikta metodinė pagalba Savivaldybės padaliniams, seniūnijoms, švietimo ir kitoms pavaldžioms įstaigoms. Šios priemonės prisideda prie atsakingo, skaidraus ir modernesnio viešųjų paslaugų teikimo.</w:t>
      </w:r>
      <w:r w:rsidR="00F31D75">
        <w:rPr>
          <w:rFonts w:eastAsia="Calibri"/>
          <w:szCs w:val="24"/>
          <w:lang w:eastAsia="en-US" w:bidi="he-IL"/>
        </w:rPr>
        <w:t xml:space="preserve"> </w:t>
      </w:r>
    </w:p>
    <w:p w14:paraId="517263B0" w14:textId="5126EC48"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Teisinių paslaugų srityje 2025 metais miestiečiams ir toliau buvo teikiama pirminė teisinė pagalba, kuria pasinaudojo 2</w:t>
      </w:r>
      <w:r w:rsidR="0008140A">
        <w:rPr>
          <w:rFonts w:eastAsia="Calibri"/>
          <w:szCs w:val="24"/>
          <w:lang w:eastAsia="en-US" w:bidi="he-IL"/>
        </w:rPr>
        <w:t> </w:t>
      </w:r>
      <w:r w:rsidRPr="00D26788">
        <w:rPr>
          <w:rFonts w:eastAsia="Calibri"/>
          <w:szCs w:val="24"/>
          <w:lang w:eastAsia="en-US" w:bidi="he-IL"/>
        </w:rPr>
        <w:t>823 asmenys. Tuo pat metu Savivaldybė aktyviai dalyvavo ginant viešąjį interesą ir atstovaujant Savivaldybei teismuose: per metus nagrinėtos 1</w:t>
      </w:r>
      <w:r w:rsidR="0008140A">
        <w:rPr>
          <w:rFonts w:eastAsia="Calibri"/>
          <w:szCs w:val="24"/>
          <w:lang w:eastAsia="en-US" w:bidi="he-IL"/>
        </w:rPr>
        <w:t> </w:t>
      </w:r>
      <w:r w:rsidRPr="00D26788">
        <w:rPr>
          <w:rFonts w:eastAsia="Calibri"/>
          <w:szCs w:val="24"/>
          <w:lang w:eastAsia="en-US" w:bidi="he-IL"/>
        </w:rPr>
        <w:t>043 bylos, iš jų 337 bylos laimėtos, 37 pralaimėtos, sudarytos 32 taikos sutartys, parengti 696 procesiniai dokumentai, o vykdomųjų bylų skaičius siekė 1</w:t>
      </w:r>
      <w:r w:rsidR="0008140A">
        <w:rPr>
          <w:rFonts w:eastAsia="Calibri"/>
          <w:szCs w:val="24"/>
          <w:lang w:eastAsia="en-US" w:bidi="he-IL"/>
        </w:rPr>
        <w:t> </w:t>
      </w:r>
      <w:r w:rsidRPr="00D26788">
        <w:rPr>
          <w:rFonts w:eastAsia="Calibri"/>
          <w:szCs w:val="24"/>
          <w:lang w:eastAsia="en-US" w:bidi="he-IL"/>
        </w:rPr>
        <w:t>207. Savivaldybės naudai priteista 132</w:t>
      </w:r>
      <w:r w:rsidR="0008140A" w:rsidRPr="0008140A">
        <w:rPr>
          <w:rFonts w:eastAsia="Calibri"/>
          <w:szCs w:val="24"/>
          <w:lang w:eastAsia="en-US" w:bidi="he-IL"/>
        </w:rPr>
        <w:t>,</w:t>
      </w:r>
      <w:r w:rsidRPr="00D26788">
        <w:rPr>
          <w:rFonts w:eastAsia="Calibri"/>
          <w:szCs w:val="24"/>
          <w:lang w:eastAsia="en-US" w:bidi="he-IL"/>
        </w:rPr>
        <w:t>2</w:t>
      </w:r>
      <w:r w:rsidR="0008140A" w:rsidRPr="0008140A">
        <w:rPr>
          <w:rFonts w:eastAsia="Calibri"/>
          <w:szCs w:val="24"/>
          <w:lang w:eastAsia="en-US" w:bidi="he-IL"/>
        </w:rPr>
        <w:t xml:space="preserve"> tūkst.</w:t>
      </w:r>
      <w:r w:rsidR="00F31D75">
        <w:rPr>
          <w:rFonts w:eastAsia="Calibri"/>
          <w:szCs w:val="24"/>
          <w:lang w:eastAsia="en-US" w:bidi="he-IL"/>
        </w:rPr>
        <w:t> </w:t>
      </w:r>
      <w:r w:rsidRPr="00D26788">
        <w:rPr>
          <w:rFonts w:eastAsia="Calibri"/>
          <w:szCs w:val="24"/>
          <w:lang w:eastAsia="en-US" w:bidi="he-IL"/>
        </w:rPr>
        <w:t>Eur. Šie duomenys rodo sistemingą teisinio atstovavimo mastą ir gyventojams aktualių klausimų sprendimą tiek administracine, tiek teisine tvarka.</w:t>
      </w:r>
      <w:r w:rsidR="00F31D75">
        <w:rPr>
          <w:rFonts w:eastAsia="Calibri"/>
          <w:szCs w:val="24"/>
          <w:lang w:eastAsia="en-US" w:bidi="he-IL"/>
        </w:rPr>
        <w:t xml:space="preserve"> </w:t>
      </w:r>
    </w:p>
    <w:p w14:paraId="2C6746CF" w14:textId="33DBB8CC"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Prie </w:t>
      </w:r>
      <w:r w:rsidR="0008140A">
        <w:rPr>
          <w:rFonts w:eastAsia="Calibri"/>
          <w:szCs w:val="24"/>
          <w:lang w:eastAsia="en-US" w:bidi="he-IL"/>
        </w:rPr>
        <w:t>Savivaldybės teikiamų</w:t>
      </w:r>
      <w:r w:rsidRPr="00D26788">
        <w:rPr>
          <w:rFonts w:eastAsia="Calibri"/>
          <w:szCs w:val="24"/>
          <w:lang w:eastAsia="en-US" w:bidi="he-IL"/>
        </w:rPr>
        <w:t xml:space="preserve"> viešojo administravimo </w:t>
      </w:r>
      <w:r w:rsidR="0008140A">
        <w:rPr>
          <w:rFonts w:eastAsia="Calibri"/>
          <w:szCs w:val="24"/>
          <w:lang w:eastAsia="en-US" w:bidi="he-IL"/>
        </w:rPr>
        <w:t xml:space="preserve">paslaugų kokybės ir </w:t>
      </w:r>
      <w:r w:rsidRPr="00D26788">
        <w:rPr>
          <w:rFonts w:eastAsia="Calibri"/>
          <w:szCs w:val="24"/>
          <w:lang w:eastAsia="en-US" w:bidi="he-IL"/>
        </w:rPr>
        <w:t xml:space="preserve">patikimumo prisidėjo ir korupcijai atsparios aplinkos kūrimas. 2025 metais vykdytas 2023–2025 m. korupcijos prevencijos planas, kurį sudarė 4 uždaviniai ir 22 priemonės, iš </w:t>
      </w:r>
      <w:r w:rsidR="0008140A">
        <w:rPr>
          <w:rFonts w:eastAsia="Calibri"/>
          <w:szCs w:val="24"/>
          <w:lang w:eastAsia="en-US" w:bidi="he-IL"/>
        </w:rPr>
        <w:t>jų</w:t>
      </w:r>
      <w:r w:rsidRPr="00D26788">
        <w:rPr>
          <w:rFonts w:eastAsia="Calibri"/>
          <w:szCs w:val="24"/>
          <w:lang w:eastAsia="en-US" w:bidi="he-IL"/>
        </w:rPr>
        <w:t xml:space="preserve"> 2025 m</w:t>
      </w:r>
      <w:r w:rsidR="0008140A">
        <w:rPr>
          <w:rFonts w:eastAsia="Calibri"/>
          <w:szCs w:val="24"/>
          <w:lang w:eastAsia="en-US" w:bidi="he-IL"/>
        </w:rPr>
        <w:t>etais</w:t>
      </w:r>
      <w:r w:rsidRPr="00D26788">
        <w:rPr>
          <w:rFonts w:eastAsia="Calibri"/>
          <w:szCs w:val="24"/>
          <w:lang w:eastAsia="en-US" w:bidi="he-IL"/>
        </w:rPr>
        <w:t xml:space="preserve"> įgyvendinta 15. Atlikti 206 teisės aktų projektų antikorupciniai vertinimai, peržiūrėtas 5 sričių reglamentavimas, o mokymuose dalyvavo 482 </w:t>
      </w:r>
      <w:r w:rsidR="0008140A">
        <w:rPr>
          <w:rFonts w:eastAsia="Calibri"/>
          <w:szCs w:val="24"/>
          <w:lang w:eastAsia="en-US" w:bidi="he-IL"/>
        </w:rPr>
        <w:t xml:space="preserve">Savivaldybės </w:t>
      </w:r>
      <w:r w:rsidRPr="00D26788">
        <w:rPr>
          <w:rFonts w:eastAsia="Calibri"/>
          <w:szCs w:val="24"/>
          <w:lang w:eastAsia="en-US" w:bidi="he-IL"/>
        </w:rPr>
        <w:t>darbuotojai. Dėl personalo patikimumo į Specialiųjų tyrimų tarnybą kreiptasi 34 kartus.</w:t>
      </w:r>
      <w:r w:rsidR="00F31D75">
        <w:rPr>
          <w:rFonts w:eastAsia="Calibri"/>
          <w:szCs w:val="24"/>
          <w:lang w:eastAsia="en-US" w:bidi="he-IL"/>
        </w:rPr>
        <w:t xml:space="preserve"> </w:t>
      </w:r>
    </w:p>
    <w:p w14:paraId="64336353" w14:textId="47AA24DD" w:rsidR="0088397F" w:rsidRPr="0088397F" w:rsidRDefault="0088397F" w:rsidP="0088397F">
      <w:pPr>
        <w:spacing w:line="360" w:lineRule="auto"/>
        <w:ind w:firstLine="1298"/>
        <w:jc w:val="both"/>
        <w:rPr>
          <w:rFonts w:eastAsia="Calibri"/>
          <w:szCs w:val="24"/>
          <w:lang w:eastAsia="en-US" w:bidi="he-IL"/>
        </w:rPr>
      </w:pPr>
      <w:r w:rsidRPr="00032961">
        <w:rPr>
          <w:rFonts w:eastAsia="Calibri"/>
          <w:szCs w:val="24"/>
          <w:lang w:eastAsia="en-US" w:bidi="he-IL"/>
        </w:rPr>
        <w:t xml:space="preserve">Sveikatos priežiūros paslaugų srityje 2025 metais Savivaldybė toliau didino šių paslaugų prieinamumą ir kokybę. </w:t>
      </w:r>
      <w:r w:rsidR="003918D9" w:rsidRPr="00032961">
        <w:rPr>
          <w:rFonts w:eastAsia="Calibri"/>
          <w:szCs w:val="24"/>
          <w:lang w:eastAsia="en-US" w:bidi="he-IL"/>
        </w:rPr>
        <w:t>Buvo</w:t>
      </w:r>
      <w:r w:rsidRPr="0088397F">
        <w:rPr>
          <w:rFonts w:eastAsia="Calibri"/>
          <w:szCs w:val="24"/>
          <w:lang w:eastAsia="en-US" w:bidi="he-IL"/>
        </w:rPr>
        <w:t xml:space="preserve"> nuosekliai </w:t>
      </w:r>
      <w:r w:rsidR="003918D9" w:rsidRPr="00032961">
        <w:rPr>
          <w:rFonts w:eastAsia="Calibri"/>
          <w:szCs w:val="24"/>
          <w:lang w:eastAsia="en-US" w:bidi="he-IL"/>
        </w:rPr>
        <w:t>tęsiama</w:t>
      </w:r>
      <w:r w:rsidRPr="0088397F">
        <w:rPr>
          <w:rFonts w:eastAsia="Calibri"/>
          <w:szCs w:val="24"/>
          <w:lang w:eastAsia="en-US" w:bidi="he-IL"/>
        </w:rPr>
        <w:t xml:space="preserve"> 2022 m</w:t>
      </w:r>
      <w:r w:rsidR="003918D9" w:rsidRPr="00032961">
        <w:rPr>
          <w:rFonts w:eastAsia="Calibri"/>
          <w:szCs w:val="24"/>
          <w:lang w:eastAsia="en-US" w:bidi="he-IL"/>
        </w:rPr>
        <w:t>etais</w:t>
      </w:r>
      <w:r w:rsidRPr="0088397F">
        <w:rPr>
          <w:rFonts w:eastAsia="Calibri"/>
          <w:szCs w:val="24"/>
          <w:lang w:eastAsia="en-US" w:bidi="he-IL"/>
        </w:rPr>
        <w:t xml:space="preserve"> pradėt</w:t>
      </w:r>
      <w:r w:rsidR="003918D9" w:rsidRPr="00032961">
        <w:rPr>
          <w:rFonts w:eastAsia="Calibri"/>
          <w:szCs w:val="24"/>
          <w:lang w:eastAsia="en-US" w:bidi="he-IL"/>
        </w:rPr>
        <w:t>a</w:t>
      </w:r>
      <w:r w:rsidRPr="0088397F">
        <w:rPr>
          <w:rFonts w:eastAsia="Calibri"/>
          <w:szCs w:val="24"/>
          <w:lang w:eastAsia="en-US" w:bidi="he-IL"/>
        </w:rPr>
        <w:t xml:space="preserve"> Kauno regiono asmens sveikatos priežiūros įstaigų tinklo ir struktūros pertvark</w:t>
      </w:r>
      <w:r w:rsidR="003918D9" w:rsidRPr="00032961">
        <w:rPr>
          <w:rFonts w:eastAsia="Calibri"/>
          <w:szCs w:val="24"/>
          <w:lang w:eastAsia="en-US" w:bidi="he-IL"/>
        </w:rPr>
        <w:t>a</w:t>
      </w:r>
      <w:r w:rsidRPr="0088397F">
        <w:rPr>
          <w:rFonts w:eastAsia="Calibri"/>
          <w:szCs w:val="24"/>
          <w:lang w:eastAsia="en-US" w:bidi="he-IL"/>
        </w:rPr>
        <w:t xml:space="preserve"> bei sveikatos priežiūros paslaugų poreikio planavimo įgyvendinim</w:t>
      </w:r>
      <w:r w:rsidR="003918D9" w:rsidRPr="00032961">
        <w:rPr>
          <w:rFonts w:eastAsia="Calibri"/>
          <w:szCs w:val="24"/>
          <w:lang w:eastAsia="en-US" w:bidi="he-IL"/>
        </w:rPr>
        <w:t>as</w:t>
      </w:r>
      <w:r w:rsidRPr="0088397F">
        <w:rPr>
          <w:rFonts w:eastAsia="Calibri"/>
          <w:szCs w:val="24"/>
          <w:lang w:eastAsia="en-US" w:bidi="he-IL"/>
        </w:rPr>
        <w:t xml:space="preserve">. Pagrindinis dėmesys </w:t>
      </w:r>
      <w:r w:rsidR="003918D9" w:rsidRPr="00032961">
        <w:rPr>
          <w:rFonts w:eastAsia="Calibri"/>
          <w:szCs w:val="24"/>
          <w:lang w:eastAsia="en-US" w:bidi="he-IL"/>
        </w:rPr>
        <w:t>skirtas</w:t>
      </w:r>
      <w:r w:rsidRPr="0088397F">
        <w:rPr>
          <w:rFonts w:eastAsia="Calibri"/>
          <w:szCs w:val="24"/>
          <w:lang w:eastAsia="en-US" w:bidi="he-IL"/>
        </w:rPr>
        <w:t xml:space="preserve"> bazinių asmens sveikatos priežiūros paslaugų prieinamumui, kokybei ir nepertraukiamumui savivaldybės lygmeniu, atsižvelgiant į gyventojų senėjimo tendencijas ir didėjantį ilgalaikės priežiūros bei slaugos paslaugų poreikį.</w:t>
      </w:r>
      <w:r w:rsidR="00F31D75">
        <w:rPr>
          <w:rFonts w:eastAsia="Calibri"/>
          <w:szCs w:val="24"/>
          <w:lang w:eastAsia="en-US" w:bidi="he-IL"/>
        </w:rPr>
        <w:t xml:space="preserve"> </w:t>
      </w:r>
    </w:p>
    <w:p w14:paraId="2276499C" w14:textId="7B181940" w:rsidR="0088397F" w:rsidRPr="0088397F" w:rsidRDefault="003918D9" w:rsidP="0088397F">
      <w:pPr>
        <w:spacing w:line="360" w:lineRule="auto"/>
        <w:ind w:firstLine="1298"/>
        <w:jc w:val="both"/>
        <w:rPr>
          <w:rFonts w:eastAsia="Calibri"/>
          <w:szCs w:val="24"/>
          <w:lang w:eastAsia="en-US" w:bidi="he-IL"/>
        </w:rPr>
      </w:pPr>
      <w:r w:rsidRPr="00032961">
        <w:rPr>
          <w:rFonts w:eastAsia="Calibri"/>
          <w:szCs w:val="24"/>
          <w:lang w:eastAsia="en-US" w:bidi="he-IL"/>
        </w:rPr>
        <w:t>Įvertinus</w:t>
      </w:r>
      <w:r w:rsidR="0088397F" w:rsidRPr="0088397F">
        <w:rPr>
          <w:rFonts w:eastAsia="Calibri"/>
          <w:szCs w:val="24"/>
          <w:lang w:eastAsia="en-US" w:bidi="he-IL"/>
        </w:rPr>
        <w:t xml:space="preserve"> demografines prognozes, 2025 m</w:t>
      </w:r>
      <w:r w:rsidRPr="00032961">
        <w:rPr>
          <w:rFonts w:eastAsia="Calibri"/>
          <w:szCs w:val="24"/>
          <w:lang w:eastAsia="en-US" w:bidi="he-IL"/>
        </w:rPr>
        <w:t>etų</w:t>
      </w:r>
      <w:r w:rsidR="0088397F" w:rsidRPr="0088397F">
        <w:rPr>
          <w:rFonts w:eastAsia="Calibri"/>
          <w:szCs w:val="24"/>
          <w:lang w:eastAsia="en-US" w:bidi="he-IL"/>
        </w:rPr>
        <w:t xml:space="preserve"> prioritetu tapo ambulatorinių slaugos paslaugų namuose (ASPN) plėtra. Baigtas įgyvendinti projektas „Ambulatorinės slaugos paslaugų namuose kokybės ir prieinamumo gerinimas Kauno mieste“, kurio metu 12 asmens sveikatos </w:t>
      </w:r>
      <w:r w:rsidR="0088397F" w:rsidRPr="0088397F">
        <w:rPr>
          <w:rFonts w:eastAsia="Calibri"/>
          <w:szCs w:val="24"/>
          <w:lang w:eastAsia="en-US" w:bidi="he-IL"/>
        </w:rPr>
        <w:lastRenderedPageBreak/>
        <w:t>priežiūros įstaigų aprūpintos reikiamomis priemonėmis. ASPN paslaugomis naudojasi apie 6,5</w:t>
      </w:r>
      <w:r w:rsidR="00F31D75">
        <w:rPr>
          <w:rFonts w:eastAsia="Calibri"/>
          <w:szCs w:val="24"/>
          <w:lang w:eastAsia="en-US" w:bidi="he-IL"/>
        </w:rPr>
        <w:t> </w:t>
      </w:r>
      <w:r w:rsidR="0088397F" w:rsidRPr="0088397F">
        <w:rPr>
          <w:rFonts w:eastAsia="Calibri"/>
          <w:szCs w:val="24"/>
          <w:lang w:eastAsia="en-US" w:bidi="he-IL"/>
        </w:rPr>
        <w:t>tūkst.</w:t>
      </w:r>
      <w:r w:rsidR="00F31D75">
        <w:rPr>
          <w:rFonts w:eastAsia="Calibri"/>
          <w:szCs w:val="24"/>
          <w:lang w:eastAsia="en-US" w:bidi="he-IL"/>
        </w:rPr>
        <w:t> </w:t>
      </w:r>
      <w:r w:rsidR="0088397F" w:rsidRPr="0088397F">
        <w:rPr>
          <w:rFonts w:eastAsia="Calibri"/>
          <w:szCs w:val="24"/>
          <w:lang w:eastAsia="en-US" w:bidi="he-IL"/>
        </w:rPr>
        <w:t>Kauno miesto gyventojų.</w:t>
      </w:r>
      <w:r w:rsidR="00F31D75">
        <w:rPr>
          <w:rFonts w:eastAsia="Calibri"/>
          <w:szCs w:val="24"/>
          <w:lang w:eastAsia="en-US" w:bidi="he-IL"/>
        </w:rPr>
        <w:t xml:space="preserve"> </w:t>
      </w:r>
    </w:p>
    <w:p w14:paraId="2EF2B313" w14:textId="3215C661" w:rsidR="0088397F" w:rsidRPr="0088397F" w:rsidRDefault="0088397F" w:rsidP="0088397F">
      <w:pPr>
        <w:spacing w:line="360" w:lineRule="auto"/>
        <w:ind w:firstLine="1298"/>
        <w:jc w:val="both"/>
        <w:rPr>
          <w:rFonts w:eastAsia="Calibri"/>
          <w:szCs w:val="24"/>
          <w:lang w:eastAsia="en-US" w:bidi="he-IL"/>
        </w:rPr>
      </w:pPr>
      <w:r w:rsidRPr="0088397F">
        <w:rPr>
          <w:rFonts w:eastAsia="Calibri"/>
          <w:szCs w:val="24"/>
          <w:lang w:eastAsia="en-US" w:bidi="he-IL"/>
        </w:rPr>
        <w:t>Siekiant plėsti paliatyviosios pagalbos paslaugas, kartu su LSMU ligonine Kauno klinikomis tęstas ES lėšomis finansuojamas projektas „Sveikatos priežiūros paslaugų kokybės ir prieinamumo gerinimas Kauno mieste“. Dėl didelio paslaugų poreikio nuspręsta įrengti antrą dienos stacionarą. Projektą planuojama užbaigti 2026 m., o</w:t>
      </w:r>
      <w:r w:rsidR="003918D9" w:rsidRPr="00032961">
        <w:rPr>
          <w:rFonts w:eastAsia="Calibri"/>
          <w:szCs w:val="24"/>
          <w:lang w:eastAsia="en-US" w:bidi="he-IL"/>
        </w:rPr>
        <w:t xml:space="preserve"> šios</w:t>
      </w:r>
      <w:r w:rsidRPr="0088397F">
        <w:rPr>
          <w:rFonts w:eastAsia="Calibri"/>
          <w:szCs w:val="24"/>
          <w:lang w:eastAsia="en-US" w:bidi="he-IL"/>
        </w:rPr>
        <w:t xml:space="preserve"> paslaugos bus teikiamos dviejose vietose</w:t>
      </w:r>
      <w:r w:rsidR="003918D9" w:rsidRPr="00032961">
        <w:rPr>
          <w:rFonts w:eastAsia="Calibri"/>
          <w:szCs w:val="24"/>
          <w:lang w:eastAsia="en-US" w:bidi="he-IL"/>
        </w:rPr>
        <w:t xml:space="preserve"> </w:t>
      </w:r>
      <w:r w:rsidR="00F31D75">
        <w:rPr>
          <w:rFonts w:eastAsia="Calibri"/>
          <w:szCs w:val="24"/>
          <w:lang w:eastAsia="en-US" w:bidi="he-IL"/>
        </w:rPr>
        <w:t>–</w:t>
      </w:r>
      <w:r w:rsidR="003918D9" w:rsidRPr="00032961">
        <w:rPr>
          <w:rFonts w:eastAsia="Calibri"/>
          <w:szCs w:val="24"/>
          <w:lang w:eastAsia="en-US" w:bidi="he-IL"/>
        </w:rPr>
        <w:t xml:space="preserve"> </w:t>
      </w:r>
      <w:r w:rsidR="003918D9" w:rsidRPr="00032961">
        <w:rPr>
          <w:szCs w:val="24"/>
        </w:rPr>
        <w:t>Volungių</w:t>
      </w:r>
      <w:r w:rsidR="00F31D75">
        <w:rPr>
          <w:szCs w:val="24"/>
        </w:rPr>
        <w:t> </w:t>
      </w:r>
      <w:r w:rsidR="003918D9" w:rsidRPr="00032961">
        <w:rPr>
          <w:szCs w:val="24"/>
        </w:rPr>
        <w:t>g. 16 ir Šilainių pl. 21</w:t>
      </w:r>
      <w:r w:rsidR="003918D9" w:rsidRPr="00032961">
        <w:rPr>
          <w:rFonts w:eastAsia="Calibri"/>
          <w:szCs w:val="24"/>
          <w:lang w:eastAsia="en-US" w:bidi="he-IL"/>
        </w:rPr>
        <w:t>, Kaune.</w:t>
      </w:r>
      <w:r w:rsidR="00F31D75">
        <w:rPr>
          <w:rFonts w:eastAsia="Calibri"/>
          <w:szCs w:val="24"/>
          <w:lang w:eastAsia="en-US" w:bidi="he-IL"/>
        </w:rPr>
        <w:t xml:space="preserve"> </w:t>
      </w:r>
    </w:p>
    <w:p w14:paraId="2FCCABBB" w14:textId="34CECB4B" w:rsidR="0088397F" w:rsidRPr="0088397F" w:rsidRDefault="00F94465" w:rsidP="0088397F">
      <w:pPr>
        <w:spacing w:line="360" w:lineRule="auto"/>
        <w:ind w:firstLine="1298"/>
        <w:jc w:val="both"/>
        <w:rPr>
          <w:rFonts w:eastAsia="Calibri"/>
          <w:szCs w:val="24"/>
          <w:lang w:eastAsia="en-US" w:bidi="he-IL"/>
        </w:rPr>
      </w:pPr>
      <w:r w:rsidRPr="00032961">
        <w:rPr>
          <w:rFonts w:eastAsia="Calibri"/>
          <w:szCs w:val="24"/>
          <w:lang w:eastAsia="en-US" w:bidi="he-IL"/>
        </w:rPr>
        <w:t>Vykdytas projektas</w:t>
      </w:r>
      <w:r w:rsidR="0088397F" w:rsidRPr="0088397F">
        <w:rPr>
          <w:rFonts w:eastAsia="Calibri"/>
          <w:szCs w:val="24"/>
          <w:lang w:eastAsia="en-US" w:bidi="he-IL"/>
        </w:rPr>
        <w:t xml:space="preserve"> slaugos priemon</w:t>
      </w:r>
      <w:r w:rsidRPr="00032961">
        <w:rPr>
          <w:rFonts w:eastAsia="Calibri"/>
          <w:szCs w:val="24"/>
          <w:lang w:eastAsia="en-US" w:bidi="he-IL"/>
        </w:rPr>
        <w:t>ėms atnaujinti</w:t>
      </w:r>
      <w:r w:rsidR="0088397F" w:rsidRPr="0088397F">
        <w:rPr>
          <w:rFonts w:eastAsia="Calibri"/>
          <w:szCs w:val="24"/>
          <w:lang w:eastAsia="en-US" w:bidi="he-IL"/>
        </w:rPr>
        <w:t xml:space="preserve"> ir darbuotojų kompetencij</w:t>
      </w:r>
      <w:r w:rsidRPr="00032961">
        <w:rPr>
          <w:rFonts w:eastAsia="Calibri"/>
          <w:szCs w:val="24"/>
          <w:lang w:eastAsia="en-US" w:bidi="he-IL"/>
        </w:rPr>
        <w:t>oms</w:t>
      </w:r>
      <w:r w:rsidR="0088397F" w:rsidRPr="0088397F">
        <w:rPr>
          <w:rFonts w:eastAsia="Calibri"/>
          <w:szCs w:val="24"/>
          <w:lang w:eastAsia="en-US" w:bidi="he-IL"/>
        </w:rPr>
        <w:t xml:space="preserve"> didin</w:t>
      </w:r>
      <w:r w:rsidRPr="00032961">
        <w:rPr>
          <w:rFonts w:eastAsia="Calibri"/>
          <w:szCs w:val="24"/>
          <w:lang w:eastAsia="en-US" w:bidi="he-IL"/>
        </w:rPr>
        <w:t>ti</w:t>
      </w:r>
      <w:r w:rsidR="0088397F" w:rsidRPr="0088397F">
        <w:rPr>
          <w:rFonts w:eastAsia="Calibri"/>
          <w:szCs w:val="24"/>
          <w:lang w:eastAsia="en-US" w:bidi="he-IL"/>
        </w:rPr>
        <w:t xml:space="preserve"> VšĮ K. Griniaus slaugos ir palaikomojo gydymo ligoninėje.</w:t>
      </w:r>
      <w:r w:rsidRPr="00032961">
        <w:rPr>
          <w:rFonts w:eastAsia="Calibri"/>
          <w:szCs w:val="24"/>
          <w:lang w:eastAsia="en-US" w:bidi="he-IL"/>
        </w:rPr>
        <w:t xml:space="preserve"> </w:t>
      </w:r>
      <w:r w:rsidRPr="00F94465">
        <w:rPr>
          <w:rFonts w:eastAsia="Calibri"/>
          <w:szCs w:val="24"/>
        </w:rPr>
        <w:t>Kazio Griniaus slaugos ir palaikomojo gydymo ligoninės Panemunės padalinyje toliau vykdoma slaugos paslaugų plėtra, kaip dalis platesnės visos įstaigos infrastruktūros plėtros, susijusios su augančiu ilgalaikės slaugos poreikiu</w:t>
      </w:r>
      <w:r w:rsidRPr="00032961">
        <w:rPr>
          <w:rFonts w:eastAsia="Calibri"/>
          <w:szCs w:val="24"/>
        </w:rPr>
        <w:t>.</w:t>
      </w:r>
      <w:r w:rsidR="00F31D75">
        <w:rPr>
          <w:rFonts w:eastAsia="Calibri"/>
          <w:szCs w:val="24"/>
        </w:rPr>
        <w:t xml:space="preserve"> </w:t>
      </w:r>
    </w:p>
    <w:p w14:paraId="59E4F7E1" w14:textId="6FA0FB2F" w:rsidR="0088397F" w:rsidRPr="0088397F" w:rsidRDefault="0088397F" w:rsidP="00EB6E62">
      <w:pPr>
        <w:spacing w:line="360" w:lineRule="auto"/>
        <w:ind w:firstLine="1298"/>
        <w:jc w:val="both"/>
        <w:rPr>
          <w:rFonts w:eastAsia="Calibri"/>
          <w:szCs w:val="24"/>
          <w:lang w:eastAsia="en-US" w:bidi="he-IL"/>
        </w:rPr>
      </w:pPr>
      <w:r w:rsidRPr="0088397F">
        <w:rPr>
          <w:rFonts w:eastAsia="Calibri"/>
          <w:szCs w:val="24"/>
          <w:lang w:eastAsia="en-US" w:bidi="he-IL"/>
        </w:rPr>
        <w:t xml:space="preserve">Reaguojant į nuolat augantį slaugos, palaikomojo gydymo ir paliatyviosios pagalbos paslaugų poreikį, </w:t>
      </w:r>
      <w:r w:rsidR="00F94465" w:rsidRPr="00032961">
        <w:rPr>
          <w:rFonts w:eastAsia="Calibri"/>
          <w:szCs w:val="24"/>
          <w:lang w:eastAsia="en-US" w:bidi="he-IL"/>
        </w:rPr>
        <w:t xml:space="preserve">Kulautuvoje, Akacijų al. 2, baigiami naujo K. Griniaus slaugos ir palaikomojo gydymo ligoninės padalinio (buvusios tuberkuliozės ligoninės pastato) renovacijos darbai. Pastate bus įrengta beveik 170 vietų slaugos ir globos poreikį turintiems asmenims. Po vienu </w:t>
      </w:r>
      <w:r w:rsidR="004022CE">
        <w:rPr>
          <w:rFonts w:eastAsia="Calibri"/>
          <w:szCs w:val="24"/>
          <w:lang w:eastAsia="en-US" w:bidi="he-IL"/>
        </w:rPr>
        <w:t>numatoma teikti</w:t>
      </w:r>
      <w:r w:rsidR="00F94465" w:rsidRPr="00032961">
        <w:rPr>
          <w:rFonts w:eastAsia="Calibri"/>
          <w:szCs w:val="24"/>
          <w:lang w:eastAsia="en-US" w:bidi="he-IL"/>
        </w:rPr>
        <w:t xml:space="preserve"> tiek stacionarinės slaugos, tiek socialinės (senelių) globos paslaugos. Be to, </w:t>
      </w:r>
      <w:r w:rsidR="00EB6E62" w:rsidRPr="00032961">
        <w:rPr>
          <w:rFonts w:eastAsia="Calibri"/>
          <w:szCs w:val="24"/>
          <w:lang w:eastAsia="en-US" w:bidi="he-IL"/>
        </w:rPr>
        <w:t>Panemunėje, Raudonojo Kryžiaus g. 1., prie esamo Kazio Griniaus ligoninės pastato projektuojamas 150</w:t>
      </w:r>
      <w:r w:rsidR="00F31D75">
        <w:rPr>
          <w:rFonts w:eastAsia="Calibri"/>
          <w:szCs w:val="24"/>
          <w:lang w:eastAsia="en-US" w:bidi="he-IL"/>
        </w:rPr>
        <w:t> </w:t>
      </w:r>
      <w:r w:rsidR="00EB6E62" w:rsidRPr="00032961">
        <w:rPr>
          <w:rFonts w:eastAsia="Calibri"/>
          <w:szCs w:val="24"/>
          <w:lang w:eastAsia="en-US" w:bidi="he-IL"/>
        </w:rPr>
        <w:t>lovų naujos statybos</w:t>
      </w:r>
      <w:r w:rsidR="00F31D75">
        <w:rPr>
          <w:rFonts w:eastAsia="Calibri"/>
          <w:szCs w:val="24"/>
          <w:lang w:eastAsia="en-US" w:bidi="he-IL"/>
        </w:rPr>
        <w:t xml:space="preserve"> </w:t>
      </w:r>
      <w:r w:rsidR="00EB6E62" w:rsidRPr="00032961">
        <w:rPr>
          <w:rFonts w:eastAsia="Calibri"/>
          <w:szCs w:val="24"/>
          <w:lang w:eastAsia="en-US" w:bidi="he-IL"/>
        </w:rPr>
        <w:t>gydymo paskirties pastatas (apie 4,9 tūkst. kv.</w:t>
      </w:r>
      <w:r w:rsidR="00E9250B">
        <w:rPr>
          <w:rFonts w:eastAsia="Calibri"/>
          <w:szCs w:val="24"/>
          <w:lang w:eastAsia="en-US" w:bidi="he-IL"/>
        </w:rPr>
        <w:t xml:space="preserve"> </w:t>
      </w:r>
      <w:r w:rsidR="00EB6E62" w:rsidRPr="00032961">
        <w:rPr>
          <w:rFonts w:eastAsia="Calibri"/>
          <w:szCs w:val="24"/>
          <w:lang w:eastAsia="en-US" w:bidi="he-IL"/>
        </w:rPr>
        <w:t>m), sujungiant jį su esamu pastatu bendra galerija ar kitais inžineriniais sprendimais.</w:t>
      </w:r>
      <w:r w:rsidR="00F31D75">
        <w:rPr>
          <w:rFonts w:eastAsia="Calibri"/>
          <w:szCs w:val="24"/>
          <w:lang w:eastAsia="en-US" w:bidi="he-IL"/>
        </w:rPr>
        <w:t xml:space="preserve"> </w:t>
      </w:r>
    </w:p>
    <w:p w14:paraId="41E88908" w14:textId="0B1658DD" w:rsidR="004022CE" w:rsidRPr="00032961" w:rsidRDefault="004022CE" w:rsidP="004022CE">
      <w:pPr>
        <w:spacing w:line="360" w:lineRule="auto"/>
        <w:ind w:firstLine="1298"/>
        <w:jc w:val="both"/>
        <w:rPr>
          <w:rFonts w:eastAsia="Calibri"/>
          <w:szCs w:val="24"/>
          <w:lang w:eastAsia="en-US" w:bidi="he-IL"/>
        </w:rPr>
      </w:pPr>
      <w:r w:rsidRPr="00EB6E62">
        <w:rPr>
          <w:rFonts w:eastAsia="Calibri"/>
          <w:szCs w:val="24"/>
          <w:lang w:eastAsia="en-US" w:bidi="he-IL"/>
        </w:rPr>
        <w:t>Centro poliklinikos padaliny</w:t>
      </w:r>
      <w:r w:rsidRPr="00032961">
        <w:rPr>
          <w:rFonts w:eastAsia="Calibri"/>
          <w:szCs w:val="24"/>
          <w:lang w:eastAsia="en-US" w:bidi="he-IL"/>
        </w:rPr>
        <w:t xml:space="preserve">je, </w:t>
      </w:r>
      <w:r w:rsidRPr="00EB6E62">
        <w:rPr>
          <w:rFonts w:eastAsia="Calibri"/>
          <w:szCs w:val="24"/>
          <w:lang w:eastAsia="en-US" w:bidi="he-IL"/>
        </w:rPr>
        <w:t>A. Mickevičiaus g. 2</w:t>
      </w:r>
      <w:r w:rsidRPr="00032961">
        <w:rPr>
          <w:rFonts w:eastAsia="Calibri"/>
          <w:szCs w:val="24"/>
          <w:lang w:eastAsia="en-US" w:bidi="he-IL"/>
        </w:rPr>
        <w:t>, Kaune, v</w:t>
      </w:r>
      <w:r w:rsidRPr="00EB6E62">
        <w:rPr>
          <w:rFonts w:eastAsia="Calibri"/>
          <w:szCs w:val="24"/>
          <w:lang w:eastAsia="en-US" w:bidi="he-IL"/>
        </w:rPr>
        <w:t>ykdomas projektas, kurio tikslas - sukurti naują poliklinikos kompleksą (poliklinikos veiklai vykdyti), susiejant rekonstruotą istorinį pastatą ir naujos statybos gydymo paskirties pastatą</w:t>
      </w:r>
      <w:r w:rsidRPr="00032961">
        <w:rPr>
          <w:rFonts w:eastAsia="Calibri"/>
          <w:szCs w:val="24"/>
          <w:lang w:eastAsia="en-US" w:bidi="he-IL"/>
        </w:rPr>
        <w:t>. Numatyta įrengti modernius šeimos sveikatos priežiūros skyrių ir psichikos sveikatos skyrių  bei suaugusiųjų ir vaikų dienos stacionarą.</w:t>
      </w:r>
      <w:r w:rsidR="00F31D75">
        <w:rPr>
          <w:rFonts w:eastAsia="Calibri"/>
          <w:szCs w:val="24"/>
          <w:lang w:eastAsia="en-US" w:bidi="he-IL"/>
        </w:rPr>
        <w:t xml:space="preserve"> </w:t>
      </w:r>
    </w:p>
    <w:p w14:paraId="40064F80" w14:textId="7CB731CA" w:rsidR="0088397F" w:rsidRPr="00032961" w:rsidRDefault="0088397F" w:rsidP="0088397F">
      <w:pPr>
        <w:spacing w:line="360" w:lineRule="auto"/>
        <w:ind w:firstLine="1298"/>
        <w:jc w:val="both"/>
        <w:rPr>
          <w:rFonts w:eastAsia="Calibri"/>
          <w:szCs w:val="24"/>
          <w:lang w:eastAsia="en-US" w:bidi="he-IL"/>
        </w:rPr>
      </w:pPr>
      <w:r w:rsidRPr="0088397F">
        <w:rPr>
          <w:rFonts w:eastAsia="Calibri"/>
          <w:szCs w:val="24"/>
          <w:lang w:eastAsia="en-US" w:bidi="he-IL"/>
        </w:rPr>
        <w:t>2025 m. taip pat buvo įgyvendinami kiti reikšmingi ES lėšomis finansuojami projektai: Kauno miesto sveikatos centro infrastruktūros modernizavimas, sveikatos specialistų rengimas ir pritraukimas bei Kauno miesto sveikatos centro modelio diegimas.</w:t>
      </w:r>
      <w:r w:rsidR="00F31D75">
        <w:rPr>
          <w:rFonts w:eastAsia="Calibri"/>
          <w:szCs w:val="24"/>
          <w:lang w:eastAsia="en-US" w:bidi="he-IL"/>
        </w:rPr>
        <w:t xml:space="preserve"> </w:t>
      </w:r>
    </w:p>
    <w:p w14:paraId="23F5C31A" w14:textId="4B037ABC"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Visuomenės sveikatos srityje 2025 metais buvo tęsiamos ir plėtojamos priemonės, skirtos psichikos sveikatos stiprinimui, fizinio aktyvumo skatinimui, traumų ir nelaimingų atsitikimų prevencijai bei psichoaktyviųjų medžiagų vartojimo prevencijai. Tęstas savižudybių prevencijos modelio įgyvendinimas, vykdytas projektas „Judėk sveikai“, skirtas gyventojų fiziniam aktyvumui, ir projektas „Sveiki, senjorai“, orientuotas į traumų ir nelaimingų atsitikimų prevenciją vyresnio amžiaus gyventojams. Taip pat pradėtas projektas „Saugus ir sąmoningas Kauno miesto moksleivis“, </w:t>
      </w:r>
      <w:r w:rsidRPr="00D26788">
        <w:rPr>
          <w:rFonts w:eastAsia="Calibri"/>
          <w:szCs w:val="24"/>
          <w:lang w:eastAsia="en-US" w:bidi="he-IL"/>
        </w:rPr>
        <w:lastRenderedPageBreak/>
        <w:t>skirtas psichoaktyviųjų medžiagų vartojimo prevencijai. 2025 metais Kaunas aktyviai dalyvavo tarptautiniuose visuomenės sveikatos tinkluose ir renginiuose – PSO Sveikų miestų tinkle, EUPHA</w:t>
      </w:r>
      <w:r w:rsidR="00F31D75">
        <w:rPr>
          <w:rFonts w:eastAsia="Calibri"/>
          <w:szCs w:val="24"/>
          <w:lang w:eastAsia="en-US" w:bidi="he-IL"/>
        </w:rPr>
        <w:t> </w:t>
      </w:r>
      <w:r w:rsidRPr="00D26788">
        <w:rPr>
          <w:rFonts w:eastAsia="Calibri"/>
          <w:szCs w:val="24"/>
          <w:lang w:eastAsia="en-US" w:bidi="he-IL"/>
        </w:rPr>
        <w:t>veiklose ir kitose tarptautinėse konferencijose.</w:t>
      </w:r>
      <w:r w:rsidR="00F31D75">
        <w:rPr>
          <w:rFonts w:eastAsia="Calibri"/>
          <w:szCs w:val="24"/>
          <w:lang w:eastAsia="en-US" w:bidi="he-IL"/>
        </w:rPr>
        <w:t xml:space="preserve"> </w:t>
      </w:r>
    </w:p>
    <w:p w14:paraId="264A88A6" w14:textId="5513D7C9"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Papildomai pažymėtina, kad 2025 metų visuomenės sveikatos projektai pasižymėjo didele apimtimi ir konkrečiu poveikiu. Projekto „Judėk sveikai“ metu per metus įgyvendint</w:t>
      </w:r>
      <w:r w:rsidR="00406C5B" w:rsidRPr="00814F91">
        <w:rPr>
          <w:rFonts w:eastAsia="Calibri"/>
          <w:szCs w:val="24"/>
          <w:lang w:eastAsia="en-US" w:bidi="he-IL"/>
        </w:rPr>
        <w:t>i</w:t>
      </w:r>
      <w:r w:rsidRPr="00D26788">
        <w:rPr>
          <w:rFonts w:eastAsia="Calibri"/>
          <w:szCs w:val="24"/>
          <w:lang w:eastAsia="en-US" w:bidi="he-IL"/>
        </w:rPr>
        <w:t xml:space="preserve"> 1</w:t>
      </w:r>
      <w:r w:rsidR="00F31D75">
        <w:rPr>
          <w:rFonts w:eastAsia="Calibri"/>
          <w:szCs w:val="24"/>
          <w:lang w:eastAsia="en-US" w:bidi="he-IL"/>
        </w:rPr>
        <w:t> </w:t>
      </w:r>
      <w:r w:rsidRPr="00D26788">
        <w:rPr>
          <w:rFonts w:eastAsia="Calibri"/>
          <w:szCs w:val="24"/>
          <w:lang w:eastAsia="en-US" w:bidi="he-IL"/>
        </w:rPr>
        <w:t>771</w:t>
      </w:r>
      <w:r w:rsidR="00F31D75">
        <w:rPr>
          <w:rFonts w:eastAsia="Calibri"/>
          <w:szCs w:val="24"/>
          <w:lang w:eastAsia="en-US" w:bidi="he-IL"/>
        </w:rPr>
        <w:t> </w:t>
      </w:r>
      <w:r w:rsidRPr="00D26788">
        <w:rPr>
          <w:rFonts w:eastAsia="Calibri"/>
          <w:szCs w:val="24"/>
          <w:lang w:eastAsia="en-US" w:bidi="he-IL"/>
        </w:rPr>
        <w:t xml:space="preserve">fizinio aktyvumo užsiėmimai, kuriuose sudalyvavo 35,6 tūkst. asmenų, o </w:t>
      </w:r>
      <w:r w:rsidR="00406C5B" w:rsidRPr="00814F91">
        <w:rPr>
          <w:rFonts w:eastAsia="Calibri"/>
          <w:szCs w:val="24"/>
          <w:lang w:eastAsia="en-US" w:bidi="he-IL"/>
        </w:rPr>
        <w:t xml:space="preserve">įvairių miesto mikrorajonų gyventojai </w:t>
      </w:r>
      <w:r w:rsidRPr="00D26788">
        <w:rPr>
          <w:rFonts w:eastAsia="Calibri"/>
          <w:szCs w:val="24"/>
          <w:lang w:eastAsia="en-US" w:bidi="he-IL"/>
        </w:rPr>
        <w:t xml:space="preserve"> galėjo rinktis iš daugiau kaip 35 treniruočių per savaitę</w:t>
      </w:r>
      <w:r w:rsidR="00406C5B" w:rsidRPr="00814F91">
        <w:rPr>
          <w:rFonts w:eastAsia="Calibri"/>
          <w:szCs w:val="24"/>
          <w:lang w:eastAsia="en-US" w:bidi="he-IL"/>
        </w:rPr>
        <w:t>.</w:t>
      </w:r>
      <w:r w:rsidR="00814F91">
        <w:rPr>
          <w:rFonts w:eastAsia="Calibri"/>
          <w:szCs w:val="24"/>
          <w:lang w:eastAsia="en-US" w:bidi="he-IL"/>
        </w:rPr>
        <w:t xml:space="preserve"> </w:t>
      </w:r>
      <w:r w:rsidRPr="00D26788">
        <w:rPr>
          <w:rFonts w:eastAsia="Calibri"/>
          <w:szCs w:val="24"/>
          <w:lang w:eastAsia="en-US" w:bidi="he-IL"/>
        </w:rPr>
        <w:t>Projekto „Sveiki, senjorai“ metu įvykdyt</w:t>
      </w:r>
      <w:r w:rsidR="00814F91">
        <w:rPr>
          <w:rFonts w:eastAsia="Calibri"/>
          <w:szCs w:val="24"/>
          <w:lang w:eastAsia="en-US" w:bidi="he-IL"/>
        </w:rPr>
        <w:t>os</w:t>
      </w:r>
      <w:r w:rsidRPr="00D26788">
        <w:rPr>
          <w:rFonts w:eastAsia="Calibri"/>
          <w:szCs w:val="24"/>
          <w:lang w:eastAsia="en-US" w:bidi="he-IL"/>
        </w:rPr>
        <w:t xml:space="preserve"> 695 veiklos, kuriose dalyvavo 2,2 tūkst. Kauno miesto senjorų, papildomai organizuota 10 užsiėmimų ciklų ir pažintinės išvykos „Kauno senjorai renka Lietuvą“. Šie </w:t>
      </w:r>
      <w:r w:rsidR="00406C5B" w:rsidRPr="00814F91">
        <w:rPr>
          <w:rFonts w:eastAsia="Calibri"/>
          <w:szCs w:val="24"/>
          <w:lang w:eastAsia="en-US" w:bidi="he-IL"/>
        </w:rPr>
        <w:t>sėkmingai įgyvendinami projektai įrodo Savivaldybės dedamas pastangas</w:t>
      </w:r>
      <w:r w:rsidRPr="00D26788">
        <w:rPr>
          <w:rFonts w:eastAsia="Calibri"/>
          <w:szCs w:val="24"/>
          <w:lang w:eastAsia="en-US" w:bidi="he-IL"/>
        </w:rPr>
        <w:t xml:space="preserve"> </w:t>
      </w:r>
      <w:r w:rsidR="00406C5B" w:rsidRPr="00814F91">
        <w:rPr>
          <w:rFonts w:eastAsia="Calibri"/>
          <w:szCs w:val="24"/>
          <w:lang w:eastAsia="en-US" w:bidi="he-IL"/>
        </w:rPr>
        <w:t xml:space="preserve">įgyvendinamas </w:t>
      </w:r>
      <w:r w:rsidRPr="00D26788">
        <w:rPr>
          <w:rFonts w:eastAsia="Calibri"/>
          <w:szCs w:val="24"/>
          <w:lang w:eastAsia="en-US" w:bidi="he-IL"/>
        </w:rPr>
        <w:t>visuomenės sveikatos priemon</w:t>
      </w:r>
      <w:r w:rsidR="00406C5B" w:rsidRPr="00814F91">
        <w:rPr>
          <w:rFonts w:eastAsia="Calibri"/>
          <w:szCs w:val="24"/>
          <w:lang w:eastAsia="en-US" w:bidi="he-IL"/>
        </w:rPr>
        <w:t>e</w:t>
      </w:r>
      <w:r w:rsidRPr="00D26788">
        <w:rPr>
          <w:rFonts w:eastAsia="Calibri"/>
          <w:szCs w:val="24"/>
          <w:lang w:eastAsia="en-US" w:bidi="he-IL"/>
        </w:rPr>
        <w:t xml:space="preserve">s </w:t>
      </w:r>
      <w:r w:rsidR="00406C5B" w:rsidRPr="00814F91">
        <w:rPr>
          <w:rFonts w:eastAsia="Calibri"/>
          <w:szCs w:val="24"/>
          <w:lang w:eastAsia="en-US" w:bidi="he-IL"/>
        </w:rPr>
        <w:t>orientuoti ne</w:t>
      </w:r>
      <w:r w:rsidRPr="00D26788">
        <w:rPr>
          <w:rFonts w:eastAsia="Calibri"/>
          <w:szCs w:val="24"/>
          <w:lang w:eastAsia="en-US" w:bidi="he-IL"/>
        </w:rPr>
        <w:t xml:space="preserve"> tik į paslaugų prieinamumą, bet ir į realų gyventojų įsitraukimą.</w:t>
      </w:r>
      <w:r w:rsidR="00F31D75">
        <w:rPr>
          <w:rFonts w:eastAsia="Calibri"/>
          <w:szCs w:val="24"/>
          <w:lang w:eastAsia="en-US" w:bidi="he-IL"/>
        </w:rPr>
        <w:t xml:space="preserve"> </w:t>
      </w:r>
    </w:p>
    <w:p w14:paraId="146917BB" w14:textId="271A27FE" w:rsidR="00D26788" w:rsidRPr="00F31D75" w:rsidRDefault="00D26788" w:rsidP="00CF7979">
      <w:pPr>
        <w:spacing w:line="360" w:lineRule="auto"/>
        <w:ind w:firstLine="1298"/>
        <w:jc w:val="both"/>
        <w:rPr>
          <w:szCs w:val="24"/>
          <w:lang w:eastAsia="en-US" w:bidi="he-IL"/>
        </w:rPr>
      </w:pPr>
      <w:r w:rsidRPr="00D26788">
        <w:rPr>
          <w:rFonts w:eastAsia="Calibri"/>
          <w:szCs w:val="24"/>
          <w:lang w:eastAsia="en-US" w:bidi="he-IL"/>
        </w:rPr>
        <w:t>Socialinės paramos srityje 2025 metais Savivaldybė toliau užtikrino paramos prieinamumą pažeidžiamiausioms gyventojų grupėms. Vienkartinę, tikslinę ar kitokią piniginę paramą gavo 2</w:t>
      </w:r>
      <w:r w:rsidR="00814F91">
        <w:rPr>
          <w:rFonts w:eastAsia="Calibri"/>
          <w:szCs w:val="24"/>
          <w:lang w:eastAsia="en-US" w:bidi="he-IL"/>
        </w:rPr>
        <w:t> </w:t>
      </w:r>
      <w:r w:rsidRPr="00D26788">
        <w:rPr>
          <w:rFonts w:eastAsia="Calibri"/>
          <w:szCs w:val="24"/>
          <w:lang w:eastAsia="en-US" w:bidi="he-IL"/>
        </w:rPr>
        <w:t>547 asmenys, tarp jų – 1</w:t>
      </w:r>
      <w:r w:rsidR="00814F91">
        <w:rPr>
          <w:rFonts w:eastAsia="Calibri"/>
          <w:szCs w:val="24"/>
          <w:lang w:eastAsia="en-US" w:bidi="he-IL"/>
        </w:rPr>
        <w:t> </w:t>
      </w:r>
      <w:r w:rsidRPr="00D26788">
        <w:rPr>
          <w:rFonts w:eastAsia="Calibri"/>
          <w:szCs w:val="24"/>
          <w:lang w:eastAsia="en-US" w:bidi="he-IL"/>
        </w:rPr>
        <w:t xml:space="preserve">459 </w:t>
      </w:r>
      <w:r w:rsidR="00814F91">
        <w:rPr>
          <w:rFonts w:eastAsia="Calibri"/>
          <w:szCs w:val="24"/>
          <w:lang w:eastAsia="en-US" w:bidi="he-IL"/>
        </w:rPr>
        <w:t>sergantys sunkiomis ligomis</w:t>
      </w:r>
      <w:r w:rsidRPr="00D26788">
        <w:rPr>
          <w:rFonts w:eastAsia="Calibri"/>
          <w:szCs w:val="24"/>
          <w:lang w:eastAsia="en-US" w:bidi="he-IL"/>
        </w:rPr>
        <w:t>, 649 negalią turintys asmenys, 95 asmenys, grįžę iš laisvės atėmimo vietų, 107 šalpos pensininkai, 25 šimtamečiai ir 205</w:t>
      </w:r>
      <w:r w:rsidR="00F31D75">
        <w:rPr>
          <w:rFonts w:eastAsia="Calibri"/>
          <w:szCs w:val="24"/>
          <w:lang w:eastAsia="en-US" w:bidi="he-IL"/>
        </w:rPr>
        <w:t> </w:t>
      </w:r>
      <w:r w:rsidRPr="00D26788">
        <w:rPr>
          <w:rFonts w:eastAsia="Calibri"/>
          <w:szCs w:val="24"/>
          <w:lang w:eastAsia="en-US" w:bidi="he-IL"/>
        </w:rPr>
        <w:t>užsieniečiai. Būsto nuomos kompensacijos skirtos 1</w:t>
      </w:r>
      <w:r w:rsidR="00814F91">
        <w:rPr>
          <w:rFonts w:eastAsia="Calibri"/>
          <w:szCs w:val="24"/>
          <w:lang w:eastAsia="en-US" w:bidi="he-IL"/>
        </w:rPr>
        <w:t> </w:t>
      </w:r>
      <w:r w:rsidRPr="00D26788">
        <w:rPr>
          <w:rFonts w:eastAsia="Calibri"/>
          <w:szCs w:val="24"/>
          <w:lang w:eastAsia="en-US" w:bidi="he-IL"/>
        </w:rPr>
        <w:t>722 asmenims, iš jų 1</w:t>
      </w:r>
      <w:r w:rsidR="00814F91">
        <w:rPr>
          <w:rFonts w:eastAsia="Calibri"/>
          <w:szCs w:val="24"/>
          <w:lang w:eastAsia="en-US" w:bidi="he-IL"/>
        </w:rPr>
        <w:t> </w:t>
      </w:r>
      <w:r w:rsidRPr="00D26788">
        <w:rPr>
          <w:rFonts w:eastAsia="Calibri"/>
          <w:szCs w:val="24"/>
          <w:lang w:eastAsia="en-US" w:bidi="he-IL"/>
        </w:rPr>
        <w:t>264 užsieniečiams, o minimalių pajamų paramos priemonėmis</w:t>
      </w:r>
      <w:r w:rsidR="00CF7979">
        <w:rPr>
          <w:rFonts w:eastAsia="Calibri"/>
          <w:szCs w:val="24"/>
          <w:lang w:eastAsia="en-US" w:bidi="he-IL"/>
        </w:rPr>
        <w:t>, pagal 2021-2027 metų materialinio nepritekliaus mažinimo programą,</w:t>
      </w:r>
      <w:r w:rsidRPr="00D26788">
        <w:rPr>
          <w:rFonts w:eastAsia="Calibri"/>
          <w:szCs w:val="24"/>
          <w:lang w:eastAsia="en-US" w:bidi="he-IL"/>
        </w:rPr>
        <w:t xml:space="preserve"> pasinaudojo 7</w:t>
      </w:r>
      <w:r w:rsidR="00814F91">
        <w:rPr>
          <w:rFonts w:eastAsia="Calibri"/>
          <w:szCs w:val="24"/>
          <w:lang w:eastAsia="en-US" w:bidi="he-IL"/>
        </w:rPr>
        <w:t> </w:t>
      </w:r>
      <w:r w:rsidRPr="00D26788">
        <w:rPr>
          <w:rFonts w:eastAsia="Calibri"/>
          <w:szCs w:val="24"/>
          <w:lang w:eastAsia="en-US" w:bidi="he-IL"/>
        </w:rPr>
        <w:t>893 asmenys.</w:t>
      </w:r>
      <w:r w:rsidR="00F31D75">
        <w:rPr>
          <w:rFonts w:eastAsia="Calibri"/>
          <w:szCs w:val="24"/>
          <w:lang w:eastAsia="en-US" w:bidi="he-IL"/>
        </w:rPr>
        <w:t xml:space="preserve"> </w:t>
      </w:r>
    </w:p>
    <w:p w14:paraId="6EB06FD5" w14:textId="293726C8" w:rsidR="00594C88" w:rsidRPr="00594C88" w:rsidRDefault="00594C88" w:rsidP="00594C88">
      <w:pPr>
        <w:spacing w:line="360" w:lineRule="auto"/>
        <w:ind w:firstLine="1298"/>
        <w:jc w:val="both"/>
        <w:rPr>
          <w:rFonts w:eastAsia="Calibri"/>
          <w:szCs w:val="24"/>
          <w:lang w:eastAsia="en-US" w:bidi="he-IL"/>
        </w:rPr>
      </w:pPr>
      <w:r>
        <w:rPr>
          <w:rFonts w:eastAsia="Calibri"/>
          <w:szCs w:val="24"/>
          <w:lang w:eastAsia="en-US" w:bidi="he-IL"/>
        </w:rPr>
        <w:t>2</w:t>
      </w:r>
      <w:r w:rsidRPr="00594C88">
        <w:rPr>
          <w:rFonts w:eastAsia="Calibri"/>
          <w:szCs w:val="24"/>
          <w:lang w:eastAsia="en-US" w:bidi="he-IL"/>
        </w:rPr>
        <w:t>025 m</w:t>
      </w:r>
      <w:r>
        <w:rPr>
          <w:rFonts w:eastAsia="Calibri"/>
          <w:szCs w:val="24"/>
          <w:lang w:eastAsia="en-US" w:bidi="he-IL"/>
        </w:rPr>
        <w:t>etais</w:t>
      </w:r>
      <w:r w:rsidRPr="00594C88">
        <w:rPr>
          <w:rFonts w:eastAsia="Calibri"/>
          <w:szCs w:val="24"/>
          <w:lang w:eastAsia="en-US" w:bidi="he-IL"/>
        </w:rPr>
        <w:t xml:space="preserve"> Kauno mieste toliau augo socialinių paslaugų gavėjų skaičius, taip pat didėjo nevyriausybinių organizacijų, privačių ir viešųjų įstaigų, teikiančių socialines paslaugas miesto gyventojams, skaičius. Ataskaitinio laikotarpio pabaigoje Kauno mieste socialinių paslaugų poreikis buvo nustatytas iki 8</w:t>
      </w:r>
      <w:r>
        <w:rPr>
          <w:rFonts w:eastAsia="Calibri"/>
          <w:szCs w:val="24"/>
          <w:lang w:eastAsia="en-US" w:bidi="he-IL"/>
        </w:rPr>
        <w:t> </w:t>
      </w:r>
      <w:r w:rsidRPr="00594C88">
        <w:rPr>
          <w:rFonts w:eastAsia="Calibri"/>
          <w:szCs w:val="24"/>
          <w:lang w:eastAsia="en-US" w:bidi="he-IL"/>
        </w:rPr>
        <w:t>030 asmenų. Palyginti su ankstesniais metais, paslaugų gavėjų skaičius padidėjo dar 547 asmenimis.</w:t>
      </w:r>
      <w:r w:rsidR="00F31D75">
        <w:rPr>
          <w:rFonts w:eastAsia="Calibri"/>
          <w:szCs w:val="24"/>
          <w:lang w:eastAsia="en-US" w:bidi="he-IL"/>
        </w:rPr>
        <w:t xml:space="preserve"> </w:t>
      </w:r>
    </w:p>
    <w:p w14:paraId="01BF24CF" w14:textId="79F70CBD" w:rsidR="00594C88" w:rsidRPr="00594C88" w:rsidRDefault="00594C88" w:rsidP="00594C88">
      <w:pPr>
        <w:spacing w:line="360" w:lineRule="auto"/>
        <w:ind w:firstLine="1298"/>
        <w:jc w:val="both"/>
        <w:rPr>
          <w:rFonts w:eastAsia="Calibri"/>
          <w:szCs w:val="24"/>
          <w:lang w:eastAsia="en-US" w:bidi="he-IL"/>
        </w:rPr>
      </w:pPr>
      <w:r>
        <w:rPr>
          <w:rFonts w:eastAsia="Calibri"/>
          <w:szCs w:val="24"/>
          <w:lang w:eastAsia="en-US" w:bidi="he-IL"/>
        </w:rPr>
        <w:t>M</w:t>
      </w:r>
      <w:r w:rsidRPr="00594C88">
        <w:rPr>
          <w:rFonts w:eastAsia="Calibri"/>
          <w:szCs w:val="24"/>
          <w:lang w:eastAsia="en-US" w:bidi="he-IL"/>
        </w:rPr>
        <w:t>ieste nuosekliai plėtotos bendruomeninės socialinės paslaugos. Vidutiniškai per metus socialines paslaugas gavo apie 8</w:t>
      </w:r>
      <w:r>
        <w:rPr>
          <w:rFonts w:eastAsia="Calibri"/>
          <w:szCs w:val="24"/>
          <w:lang w:eastAsia="en-US" w:bidi="he-IL"/>
        </w:rPr>
        <w:t> </w:t>
      </w:r>
      <w:r w:rsidRPr="00594C88">
        <w:rPr>
          <w:rFonts w:eastAsia="Calibri"/>
          <w:szCs w:val="24"/>
          <w:lang w:eastAsia="en-US" w:bidi="he-IL"/>
        </w:rPr>
        <w:t>000 asmenų, iš kurių 1</w:t>
      </w:r>
      <w:r>
        <w:rPr>
          <w:rFonts w:eastAsia="Calibri"/>
          <w:szCs w:val="24"/>
          <w:lang w:eastAsia="en-US" w:bidi="he-IL"/>
        </w:rPr>
        <w:t> </w:t>
      </w:r>
      <w:r w:rsidRPr="00594C88">
        <w:rPr>
          <w:rFonts w:eastAsia="Calibri"/>
          <w:szCs w:val="24"/>
          <w:lang w:eastAsia="en-US" w:bidi="he-IL"/>
        </w:rPr>
        <w:t>711 asmenų buvo teikiamos ilgalaikės arba trumpalaikės socialinės globos paslaugos. Tai reiškia, kad 78,6 proc. visų paslaugų gavėjų paslaugas gavo ne institucijoje, o bendruomenėje ar savo gyvenamojoje aplinkoje. Siekiant užtikrinti šio rodiklio augimą, buvo aktyviai bendradarbiaujama su Kauno miesto socialinių paslaugų centro socialinio darbo organizatoriais, kitų įstaigų socialiniais darbuotojais, vertinančiais socialinių paslaugų poreikį, reguliariai keičiamasi informacija apie Kauno mieste teikiamas paslaugas ir jų teikėjus.</w:t>
      </w:r>
      <w:r w:rsidR="00F31D75">
        <w:rPr>
          <w:rFonts w:eastAsia="Calibri"/>
          <w:szCs w:val="24"/>
          <w:lang w:eastAsia="en-US" w:bidi="he-IL"/>
        </w:rPr>
        <w:t xml:space="preserve"> </w:t>
      </w:r>
    </w:p>
    <w:p w14:paraId="1CF3D85E" w14:textId="404DF699" w:rsidR="00594C88" w:rsidRPr="00594C88" w:rsidRDefault="009A079B" w:rsidP="00594C88">
      <w:pPr>
        <w:spacing w:line="360" w:lineRule="auto"/>
        <w:ind w:firstLine="1298"/>
        <w:jc w:val="both"/>
        <w:rPr>
          <w:rFonts w:eastAsia="Calibri"/>
          <w:szCs w:val="24"/>
          <w:lang w:eastAsia="en-US" w:bidi="he-IL"/>
        </w:rPr>
      </w:pPr>
      <w:r>
        <w:rPr>
          <w:rFonts w:eastAsia="Calibri"/>
          <w:szCs w:val="24"/>
          <w:lang w:eastAsia="en-US" w:bidi="he-IL"/>
        </w:rPr>
        <w:t>Praėjusių metų</w:t>
      </w:r>
      <w:r w:rsidR="00594C88" w:rsidRPr="00594C88">
        <w:rPr>
          <w:rFonts w:eastAsia="Calibri"/>
          <w:szCs w:val="24"/>
          <w:lang w:eastAsia="en-US" w:bidi="he-IL"/>
        </w:rPr>
        <w:t xml:space="preserve"> pabaigoje paslaugas namuose gavo 3</w:t>
      </w:r>
      <w:r w:rsidR="00594C88">
        <w:rPr>
          <w:rFonts w:eastAsia="Calibri"/>
          <w:szCs w:val="24"/>
          <w:lang w:eastAsia="en-US" w:bidi="he-IL"/>
        </w:rPr>
        <w:t> </w:t>
      </w:r>
      <w:r w:rsidR="00594C88" w:rsidRPr="00594C88">
        <w:rPr>
          <w:rFonts w:eastAsia="Calibri"/>
          <w:szCs w:val="24"/>
          <w:lang w:eastAsia="en-US" w:bidi="he-IL"/>
        </w:rPr>
        <w:t>449 Kauno miesto gyventojai: 1</w:t>
      </w:r>
      <w:r w:rsidR="00594C88">
        <w:rPr>
          <w:rFonts w:eastAsia="Calibri"/>
          <w:szCs w:val="24"/>
          <w:lang w:eastAsia="en-US" w:bidi="he-IL"/>
        </w:rPr>
        <w:t> </w:t>
      </w:r>
      <w:r w:rsidR="00594C88" w:rsidRPr="00594C88">
        <w:rPr>
          <w:rFonts w:eastAsia="Calibri"/>
          <w:szCs w:val="24"/>
          <w:lang w:eastAsia="en-US" w:bidi="he-IL"/>
        </w:rPr>
        <w:t>090 asmenų buvo teikiama dienos socialinė globa asmens namuose, 2</w:t>
      </w:r>
      <w:r w:rsidR="00594C88">
        <w:rPr>
          <w:rFonts w:eastAsia="Calibri"/>
          <w:szCs w:val="24"/>
          <w:lang w:eastAsia="en-US" w:bidi="he-IL"/>
        </w:rPr>
        <w:t> </w:t>
      </w:r>
      <w:r w:rsidR="00594C88" w:rsidRPr="00594C88">
        <w:rPr>
          <w:rFonts w:eastAsia="Calibri"/>
          <w:szCs w:val="24"/>
          <w:lang w:eastAsia="en-US" w:bidi="he-IL"/>
        </w:rPr>
        <w:t xml:space="preserve">231 asmeniui – pagalba į </w:t>
      </w:r>
      <w:r w:rsidR="00594C88" w:rsidRPr="00594C88">
        <w:rPr>
          <w:rFonts w:eastAsia="Calibri"/>
          <w:szCs w:val="24"/>
          <w:lang w:eastAsia="en-US" w:bidi="he-IL"/>
        </w:rPr>
        <w:lastRenderedPageBreak/>
        <w:t>namus, 128 asmenims – asmeninė pagalba. Dar 1</w:t>
      </w:r>
      <w:r w:rsidR="00594C88">
        <w:rPr>
          <w:rFonts w:eastAsia="Calibri"/>
          <w:szCs w:val="24"/>
          <w:lang w:eastAsia="en-US" w:bidi="he-IL"/>
        </w:rPr>
        <w:t> </w:t>
      </w:r>
      <w:r w:rsidR="00594C88" w:rsidRPr="00594C88">
        <w:rPr>
          <w:rFonts w:eastAsia="Calibri"/>
          <w:szCs w:val="24"/>
          <w:lang w:eastAsia="en-US" w:bidi="he-IL"/>
        </w:rPr>
        <w:t>871 kaunietis gavo paslaugas įvairiuose dienos centruose, iš jų: 345 asmenims buvo teikiama dienos socialinė globa dienos centre, 295 asmenims – socialinių įgūdžių ugdymo, palaikymo ir (ar) atkūrimo paslaugos dienos centre, 746 asmenys gavo asmenų su negalia socialinės reabilitacijos bendruomenėje paslaugas, apie 485 vaikai lankė vaikų dienos centrus.</w:t>
      </w:r>
      <w:r w:rsidR="00F31D75">
        <w:rPr>
          <w:rFonts w:eastAsia="Calibri"/>
          <w:szCs w:val="24"/>
          <w:lang w:eastAsia="en-US" w:bidi="he-IL"/>
        </w:rPr>
        <w:t xml:space="preserve"> </w:t>
      </w:r>
    </w:p>
    <w:p w14:paraId="72554B22" w14:textId="02D6FE80" w:rsidR="00594C88" w:rsidRDefault="00594C88" w:rsidP="00594C88">
      <w:pPr>
        <w:spacing w:line="360" w:lineRule="auto"/>
        <w:ind w:firstLine="1298"/>
        <w:jc w:val="both"/>
        <w:rPr>
          <w:rFonts w:eastAsia="Calibri"/>
          <w:szCs w:val="24"/>
          <w:lang w:eastAsia="en-US" w:bidi="he-IL"/>
        </w:rPr>
      </w:pPr>
      <w:r>
        <w:rPr>
          <w:rFonts w:eastAsia="Calibri"/>
          <w:szCs w:val="24"/>
          <w:lang w:eastAsia="en-US" w:bidi="he-IL"/>
        </w:rPr>
        <w:t>A</w:t>
      </w:r>
      <w:r w:rsidRPr="00594C88">
        <w:rPr>
          <w:rFonts w:eastAsia="Calibri"/>
          <w:szCs w:val="24"/>
          <w:lang w:eastAsia="en-US" w:bidi="he-IL"/>
        </w:rPr>
        <w:t xml:space="preserve">ugo </w:t>
      </w:r>
      <w:r>
        <w:rPr>
          <w:rFonts w:eastAsia="Calibri"/>
          <w:szCs w:val="24"/>
          <w:lang w:eastAsia="en-US" w:bidi="he-IL"/>
        </w:rPr>
        <w:t xml:space="preserve">ir </w:t>
      </w:r>
      <w:r w:rsidRPr="00594C88">
        <w:rPr>
          <w:rFonts w:eastAsia="Calibri"/>
          <w:szCs w:val="24"/>
          <w:lang w:eastAsia="en-US" w:bidi="he-IL"/>
        </w:rPr>
        <w:t xml:space="preserve">transporto paslaugų gavėjų skaičius. </w:t>
      </w:r>
      <w:r>
        <w:rPr>
          <w:rFonts w:eastAsia="Calibri"/>
          <w:szCs w:val="24"/>
          <w:lang w:eastAsia="en-US" w:bidi="he-IL"/>
        </w:rPr>
        <w:t>2025 metų</w:t>
      </w:r>
      <w:r w:rsidRPr="00594C88">
        <w:rPr>
          <w:rFonts w:eastAsia="Calibri"/>
          <w:szCs w:val="24"/>
          <w:lang w:eastAsia="en-US" w:bidi="he-IL"/>
        </w:rPr>
        <w:t xml:space="preserve"> pabaigoje šia paslauga naudojosi 348 asmenys, kai 2024 m</w:t>
      </w:r>
      <w:r>
        <w:rPr>
          <w:rFonts w:eastAsia="Calibri"/>
          <w:szCs w:val="24"/>
          <w:lang w:eastAsia="en-US" w:bidi="he-IL"/>
        </w:rPr>
        <w:t>etais</w:t>
      </w:r>
      <w:r w:rsidRPr="00594C88">
        <w:rPr>
          <w:rFonts w:eastAsia="Calibri"/>
          <w:szCs w:val="24"/>
          <w:lang w:eastAsia="en-US" w:bidi="he-IL"/>
        </w:rPr>
        <w:t xml:space="preserve"> transporto paslaugos buvo teikiamos 293 asmenims.</w:t>
      </w:r>
      <w:r w:rsidR="00F31D75">
        <w:rPr>
          <w:rFonts w:eastAsia="Calibri"/>
          <w:szCs w:val="24"/>
          <w:lang w:eastAsia="en-US" w:bidi="he-IL"/>
        </w:rPr>
        <w:t xml:space="preserve"> </w:t>
      </w:r>
    </w:p>
    <w:p w14:paraId="681A9332" w14:textId="6BEBD4D5" w:rsidR="00E435DC" w:rsidRDefault="00E435DC" w:rsidP="00594C88">
      <w:pPr>
        <w:spacing w:line="360" w:lineRule="auto"/>
        <w:ind w:firstLine="1298"/>
        <w:jc w:val="both"/>
        <w:rPr>
          <w:rFonts w:eastAsia="Calibri"/>
          <w:szCs w:val="24"/>
          <w:lang w:eastAsia="en-US" w:bidi="he-IL"/>
        </w:rPr>
      </w:pPr>
      <w:r w:rsidRPr="00E435DC">
        <w:rPr>
          <w:rFonts w:eastAsia="Calibri"/>
          <w:szCs w:val="24"/>
          <w:lang w:eastAsia="en-US" w:bidi="he-IL"/>
        </w:rPr>
        <w:t>Pažymėtina, kad per pastaruosius kelerius metus nuosekliai didėjo šeimose globojamų (rūpinamų) vaikų dalis, o institucinės globos nustatymo atvejų skaičius išliko stabilus. Ši tendencija sietina su projekto „Paslaugų, skatinančių ir efektyviai palaikančių globą šeimos aplinkoje, vystymas“ įgyvendinimu. Projektą kartu su Valstybės vaiko teisių apsaugos ir įvaikinimo tarnyba vykdo Vaikų gerovės centras „Pastogė“, Kauno mieste atliekantis globos centro funkcijas. Įgyvendinant projektą vykdomos veiklos, susijusios su globos viešinimu, globėjų pritraukimu ir pagalbos globojančioms šeimoms stiprinimu.</w:t>
      </w:r>
      <w:r w:rsidR="00F31D75">
        <w:rPr>
          <w:rFonts w:eastAsia="Calibri"/>
          <w:szCs w:val="24"/>
          <w:lang w:eastAsia="en-US" w:bidi="he-IL"/>
        </w:rPr>
        <w:t xml:space="preserve"> </w:t>
      </w:r>
    </w:p>
    <w:p w14:paraId="03B3513D" w14:textId="50A1A757" w:rsidR="00E435DC" w:rsidRDefault="00E435DC" w:rsidP="00594C88">
      <w:pPr>
        <w:spacing w:line="360" w:lineRule="auto"/>
        <w:ind w:firstLine="1298"/>
        <w:jc w:val="both"/>
        <w:rPr>
          <w:rFonts w:eastAsia="Calibri"/>
          <w:szCs w:val="24"/>
          <w:lang w:eastAsia="en-US" w:bidi="he-IL"/>
        </w:rPr>
      </w:pPr>
      <w:r>
        <w:rPr>
          <w:rFonts w:eastAsia="Calibri"/>
          <w:szCs w:val="24"/>
          <w:lang w:eastAsia="en-US" w:bidi="he-IL"/>
        </w:rPr>
        <w:t>Atidaryti savarankiško gyvenimo namai</w:t>
      </w:r>
      <w:r w:rsidR="009A079B">
        <w:rPr>
          <w:rFonts w:eastAsia="Calibri"/>
          <w:szCs w:val="24"/>
          <w:lang w:eastAsia="en-US" w:bidi="he-IL"/>
        </w:rPr>
        <w:t xml:space="preserve"> </w:t>
      </w:r>
      <w:r w:rsidRPr="00E435DC">
        <w:rPr>
          <w:rFonts w:eastAsia="Calibri"/>
          <w:szCs w:val="24"/>
          <w:lang w:eastAsia="en-US" w:bidi="he-IL"/>
        </w:rPr>
        <w:t>Lampėdžių g. 10, Kaune</w:t>
      </w:r>
      <w:r>
        <w:rPr>
          <w:rFonts w:eastAsia="Calibri"/>
          <w:szCs w:val="24"/>
          <w:lang w:eastAsia="en-US" w:bidi="he-IL"/>
        </w:rPr>
        <w:t>, rekonstruotame pastate</w:t>
      </w:r>
      <w:r w:rsidR="009A079B">
        <w:rPr>
          <w:rFonts w:eastAsia="Calibri"/>
          <w:szCs w:val="24"/>
          <w:lang w:eastAsia="en-US" w:bidi="he-IL"/>
        </w:rPr>
        <w:t>. Čia,</w:t>
      </w:r>
      <w:r w:rsidRPr="00E435DC">
        <w:rPr>
          <w:rFonts w:eastAsia="Calibri"/>
          <w:szCs w:val="24"/>
          <w:lang w:eastAsia="en-US" w:bidi="he-IL"/>
        </w:rPr>
        <w:t xml:space="preserve"> viešųjų pirkimų būdu atrinkus paslaugų teikėją VšĮ „Gerumo rankos“, Kauno miesto gyventojams, susiduriantiems su gyvenimo sunkumais, tačiau siekiantiems juos įveikti, pradėtos teikti įgalinančios pagalbos paslaugos su apgyvendinimu. Pagrindinis šių paslaugų tikslas – stiprinti paslaugų gavėjų savarankiškumą, padėti atkurti gebėjimus pasirūpinti savimi, tvarkyti buitį, dalyvauti užimtumo veiklose, rūpintis savo sveikata bei palaikyti socialinius ryšius su šeima, artimaisiais ir bendruomene. Pastate iš viso įrengti ir paslaugų teikimui pritaikyti 102 butai</w:t>
      </w:r>
      <w:r>
        <w:rPr>
          <w:rFonts w:eastAsia="Calibri"/>
          <w:szCs w:val="24"/>
          <w:lang w:eastAsia="en-US" w:bidi="he-IL"/>
        </w:rPr>
        <w:t>.</w:t>
      </w:r>
      <w:r w:rsidR="00F31D75">
        <w:rPr>
          <w:rFonts w:eastAsia="Calibri"/>
          <w:szCs w:val="24"/>
          <w:lang w:eastAsia="en-US" w:bidi="he-IL"/>
        </w:rPr>
        <w:t xml:space="preserve"> </w:t>
      </w:r>
    </w:p>
    <w:p w14:paraId="332BA694" w14:textId="0967177C" w:rsidR="007E46DA" w:rsidRPr="007E46DA" w:rsidRDefault="007E46DA" w:rsidP="009A079B">
      <w:pPr>
        <w:spacing w:line="360" w:lineRule="auto"/>
        <w:ind w:firstLine="1298"/>
        <w:jc w:val="both"/>
        <w:rPr>
          <w:rFonts w:eastAsia="Calibri"/>
          <w:szCs w:val="24"/>
          <w:lang w:eastAsia="en-US" w:bidi="he-IL"/>
        </w:rPr>
      </w:pPr>
      <w:r>
        <w:rPr>
          <w:rFonts w:eastAsia="Calibri"/>
          <w:szCs w:val="24"/>
          <w:lang w:eastAsia="en-US" w:bidi="he-IL"/>
        </w:rPr>
        <w:t xml:space="preserve">Gerinant miesto socialinių įstaigų infrastruktūrą, </w:t>
      </w:r>
      <w:r w:rsidRPr="00D26788">
        <w:rPr>
          <w:rFonts w:eastAsia="Calibri"/>
          <w:szCs w:val="24"/>
          <w:lang w:eastAsia="en-US" w:bidi="he-IL"/>
        </w:rPr>
        <w:t xml:space="preserve">2025 metais investuota į </w:t>
      </w:r>
      <w:r>
        <w:rPr>
          <w:rFonts w:eastAsia="Calibri"/>
          <w:szCs w:val="24"/>
          <w:lang w:eastAsia="en-US" w:bidi="he-IL"/>
        </w:rPr>
        <w:t>v</w:t>
      </w:r>
      <w:r w:rsidRPr="007E46DA">
        <w:rPr>
          <w:rFonts w:eastAsia="Calibri"/>
          <w:szCs w:val="24"/>
          <w:lang w:eastAsia="en-US" w:bidi="he-IL"/>
        </w:rPr>
        <w:t>aikų globos  namų</w:t>
      </w:r>
      <w:r>
        <w:rPr>
          <w:rFonts w:eastAsia="Calibri"/>
          <w:szCs w:val="24"/>
          <w:lang w:eastAsia="en-US" w:bidi="he-IL"/>
        </w:rPr>
        <w:t>, v</w:t>
      </w:r>
      <w:r w:rsidRPr="007E46DA">
        <w:rPr>
          <w:rFonts w:eastAsia="Calibri"/>
          <w:szCs w:val="24"/>
          <w:lang w:eastAsia="en-US" w:bidi="he-IL"/>
        </w:rPr>
        <w:t xml:space="preserve">aikų gerovės centro </w:t>
      </w:r>
      <w:r>
        <w:rPr>
          <w:rFonts w:eastAsia="Calibri"/>
          <w:szCs w:val="24"/>
          <w:lang w:eastAsia="en-US" w:bidi="he-IL"/>
        </w:rPr>
        <w:t>„</w:t>
      </w:r>
      <w:r w:rsidRPr="007E46DA">
        <w:rPr>
          <w:rFonts w:eastAsia="Calibri"/>
          <w:szCs w:val="24"/>
          <w:lang w:eastAsia="en-US" w:bidi="he-IL"/>
        </w:rPr>
        <w:t>Pastogė"</w:t>
      </w:r>
      <w:r>
        <w:rPr>
          <w:rFonts w:eastAsia="Calibri"/>
          <w:szCs w:val="24"/>
          <w:lang w:eastAsia="en-US" w:bidi="he-IL"/>
        </w:rPr>
        <w:t xml:space="preserve">, </w:t>
      </w:r>
      <w:r w:rsidRPr="007E46DA">
        <w:rPr>
          <w:rFonts w:eastAsia="Calibri"/>
          <w:szCs w:val="24"/>
          <w:lang w:eastAsia="en-US" w:bidi="he-IL"/>
        </w:rPr>
        <w:t xml:space="preserve">socialinių paslaugų centro </w:t>
      </w:r>
      <w:r>
        <w:rPr>
          <w:rFonts w:eastAsia="Calibri"/>
          <w:szCs w:val="24"/>
          <w:lang w:eastAsia="en-US" w:bidi="he-IL"/>
        </w:rPr>
        <w:t xml:space="preserve">pastatų remonto bei renovacijos </w:t>
      </w:r>
      <w:r w:rsidRPr="007E46DA">
        <w:rPr>
          <w:rFonts w:eastAsia="Calibri"/>
          <w:szCs w:val="24"/>
          <w:lang w:eastAsia="en-US" w:bidi="he-IL"/>
        </w:rPr>
        <w:t>darbus.</w:t>
      </w:r>
      <w:r w:rsidR="00F31D75">
        <w:rPr>
          <w:rFonts w:eastAsia="Calibri"/>
          <w:szCs w:val="24"/>
          <w:lang w:eastAsia="en-US" w:bidi="he-IL"/>
        </w:rPr>
        <w:t xml:space="preserve"> </w:t>
      </w:r>
    </w:p>
    <w:p w14:paraId="3B618181" w14:textId="4FEACC51" w:rsidR="007F54C8" w:rsidRDefault="00D26788" w:rsidP="009A079B">
      <w:pPr>
        <w:spacing w:line="360" w:lineRule="auto"/>
        <w:ind w:firstLine="1298"/>
        <w:jc w:val="both"/>
        <w:rPr>
          <w:rFonts w:eastAsia="Calibri"/>
          <w:szCs w:val="24"/>
          <w:lang w:eastAsia="en-US" w:bidi="he-IL"/>
        </w:rPr>
      </w:pPr>
      <w:r w:rsidRPr="00D26788">
        <w:rPr>
          <w:rFonts w:eastAsia="Calibri"/>
          <w:szCs w:val="24"/>
          <w:lang w:eastAsia="en-US" w:bidi="he-IL"/>
        </w:rPr>
        <w:t>Mieste ir toliau plėtotos bendruomeninės socialinės paslaugos, tęstas projektas „Perėjimas nuo institucinės globos prie bendruomeninių paslaugų“</w:t>
      </w:r>
      <w:r w:rsidR="007F54C8">
        <w:rPr>
          <w:rFonts w:eastAsia="Calibri"/>
          <w:szCs w:val="24"/>
          <w:lang w:eastAsia="en-US" w:bidi="he-IL"/>
        </w:rPr>
        <w:t>.</w:t>
      </w:r>
      <w:r w:rsidR="00F31D75">
        <w:rPr>
          <w:rFonts w:eastAsia="Calibri"/>
          <w:szCs w:val="24"/>
          <w:lang w:eastAsia="en-US" w:bidi="he-IL"/>
        </w:rPr>
        <w:t xml:space="preserve"> </w:t>
      </w:r>
    </w:p>
    <w:p w14:paraId="6FF2108A" w14:textId="04331209" w:rsidR="007F54C8" w:rsidRPr="007F54C8" w:rsidRDefault="007F54C8" w:rsidP="007F54C8">
      <w:pPr>
        <w:spacing w:line="360" w:lineRule="auto"/>
        <w:ind w:firstLine="1298"/>
        <w:jc w:val="both"/>
        <w:rPr>
          <w:rFonts w:eastAsia="Calibri"/>
          <w:szCs w:val="24"/>
          <w:lang w:eastAsia="en-US" w:bidi="he-IL"/>
        </w:rPr>
      </w:pPr>
      <w:r w:rsidRPr="007F54C8">
        <w:rPr>
          <w:rFonts w:eastAsia="Calibri"/>
          <w:szCs w:val="24"/>
          <w:lang w:eastAsia="en-US" w:bidi="he-IL"/>
        </w:rPr>
        <w:t xml:space="preserve">Visus </w:t>
      </w:r>
      <w:r>
        <w:rPr>
          <w:rFonts w:eastAsia="Calibri"/>
          <w:szCs w:val="24"/>
          <w:lang w:eastAsia="en-US" w:bidi="he-IL"/>
        </w:rPr>
        <w:t>metus</w:t>
      </w:r>
      <w:r w:rsidRPr="007F54C8">
        <w:rPr>
          <w:rFonts w:eastAsia="Calibri"/>
          <w:szCs w:val="24"/>
          <w:lang w:eastAsia="en-US" w:bidi="he-IL"/>
        </w:rPr>
        <w:t xml:space="preserve"> buvo aktyviai dalyvaujama socialinių paslaugų organizavimo ir administravimo procesų skaitmenizavimo veiklose, siekiant šiuos procesus optimizuoti, pagreitinti, sumažinti administracinę naštą ir užtikrinti galimybę operatyviai gauti aktualią informaciją pagal skirtingus statistinius </w:t>
      </w:r>
      <w:r w:rsidR="00661452">
        <w:rPr>
          <w:rFonts w:eastAsia="Calibri"/>
          <w:szCs w:val="24"/>
          <w:lang w:eastAsia="en-US" w:bidi="he-IL"/>
        </w:rPr>
        <w:t xml:space="preserve">ir </w:t>
      </w:r>
      <w:r w:rsidRPr="007F54C8">
        <w:rPr>
          <w:rFonts w:eastAsia="Calibri"/>
          <w:szCs w:val="24"/>
          <w:lang w:eastAsia="en-US" w:bidi="he-IL"/>
        </w:rPr>
        <w:t>valdymo poreikius.</w:t>
      </w:r>
      <w:r>
        <w:rPr>
          <w:rFonts w:eastAsia="Calibri"/>
          <w:szCs w:val="24"/>
          <w:lang w:eastAsia="en-US" w:bidi="he-IL"/>
        </w:rPr>
        <w:t xml:space="preserve"> P</w:t>
      </w:r>
      <w:r w:rsidR="00D26788" w:rsidRPr="00D26788">
        <w:rPr>
          <w:rFonts w:eastAsia="Calibri"/>
          <w:szCs w:val="24"/>
          <w:lang w:eastAsia="en-US" w:bidi="he-IL"/>
        </w:rPr>
        <w:t>aslaugų kokybės ir administravimo procesams modernizuoti diegta skaitmeninė socialinių paslaugų platforma „Soctaškas“</w:t>
      </w:r>
      <w:r>
        <w:rPr>
          <w:rFonts w:eastAsia="Calibri"/>
          <w:szCs w:val="24"/>
          <w:lang w:eastAsia="en-US" w:bidi="he-IL"/>
        </w:rPr>
        <w:t>. P</w:t>
      </w:r>
      <w:r w:rsidRPr="007F54C8">
        <w:rPr>
          <w:rFonts w:eastAsia="Calibri"/>
          <w:szCs w:val="24"/>
          <w:lang w:eastAsia="en-US" w:bidi="he-IL"/>
        </w:rPr>
        <w:t xml:space="preserve">rojekto </w:t>
      </w:r>
      <w:r>
        <w:rPr>
          <w:rFonts w:eastAsia="Calibri"/>
          <w:szCs w:val="24"/>
          <w:lang w:eastAsia="en-US" w:bidi="he-IL"/>
        </w:rPr>
        <w:t xml:space="preserve">„Soctaškas“ </w:t>
      </w:r>
      <w:r w:rsidRPr="007F54C8">
        <w:rPr>
          <w:rFonts w:eastAsia="Calibri"/>
          <w:szCs w:val="24"/>
          <w:lang w:eastAsia="en-US" w:bidi="he-IL"/>
        </w:rPr>
        <w:t xml:space="preserve">apimtyje kuriamas Socialinės paramos šeimai informacinės sistemos modulis, kurio pagalba bus skaitmenizuoti socialinių paslaugų teikimo procesai, įskaitant </w:t>
      </w:r>
      <w:r>
        <w:rPr>
          <w:rFonts w:eastAsia="Calibri"/>
          <w:szCs w:val="24"/>
          <w:lang w:eastAsia="en-US" w:bidi="he-IL"/>
        </w:rPr>
        <w:t>S</w:t>
      </w:r>
      <w:r w:rsidRPr="007F54C8">
        <w:rPr>
          <w:rFonts w:eastAsia="Calibri"/>
          <w:szCs w:val="24"/>
          <w:lang w:eastAsia="en-US" w:bidi="he-IL"/>
        </w:rPr>
        <w:t xml:space="preserve">avivaldybės vidaus procesų </w:t>
      </w:r>
      <w:r w:rsidRPr="007F54C8">
        <w:rPr>
          <w:rFonts w:eastAsia="Calibri"/>
          <w:szCs w:val="24"/>
          <w:lang w:eastAsia="en-US" w:bidi="he-IL"/>
        </w:rPr>
        <w:lastRenderedPageBreak/>
        <w:t>optimizavimą ir skaitmenizavimą, procese dalyvaujančių įstaigų ir institucijų integraciją, jų teikiamų paslaugų administravimą, stebėseną, kokybės priežiūrą bei paslaugų gavėjų pasitenkinimo gautomis paslaugomis vertinimą. Įdiegus šį modulį, gyventojams bus sudarytos sąlygos paprasčiau ir greičiau pasirinkti socialinių paslaugų teikėją, užsisakyti ir gauti jiems reikalingas socialines paslaugas bei vertinti jų kokybę.</w:t>
      </w:r>
      <w:r w:rsidR="00F31D75">
        <w:rPr>
          <w:rFonts w:eastAsia="Calibri"/>
          <w:szCs w:val="24"/>
          <w:lang w:eastAsia="en-US" w:bidi="he-IL"/>
        </w:rPr>
        <w:t xml:space="preserve"> </w:t>
      </w:r>
    </w:p>
    <w:p w14:paraId="74F74223" w14:textId="0931890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Kompleksinių paslaugų šeimai ir vaiko gerovės srityje 2025 metais toliau stiprintos ankstyvosios pagalbos, pagalbos šeimai ir tarpinstitucinio bendradarbiavimo priemonės. Pagalbos pinigai skirti 579 asmenims, teikiantiems globos ar rūpybos funkcijas, o vaikų globos sistemoje atlikti ir struktūriniai</w:t>
      </w:r>
      <w:r w:rsidR="00D07945">
        <w:rPr>
          <w:rFonts w:eastAsia="Calibri"/>
          <w:szCs w:val="24"/>
          <w:lang w:eastAsia="en-US" w:bidi="he-IL"/>
        </w:rPr>
        <w:t>, veiklos efektyvumą bei paslaugų kokybę didinantys ir administracinę naštą mažinantys</w:t>
      </w:r>
      <w:r w:rsidRPr="00D26788">
        <w:rPr>
          <w:rFonts w:eastAsia="Calibri"/>
          <w:szCs w:val="24"/>
          <w:lang w:eastAsia="en-US" w:bidi="he-IL"/>
        </w:rPr>
        <w:t xml:space="preserve"> pokyčiai – vaikų globos namų funkcijos reorganizuotos prijungiant jas prie </w:t>
      </w:r>
      <w:r w:rsidRPr="00D26788">
        <w:rPr>
          <w:rFonts w:eastAsia="Calibri"/>
          <w:bCs/>
          <w:szCs w:val="24"/>
          <w:lang w:eastAsia="en-US" w:bidi="he-IL"/>
        </w:rPr>
        <w:t>„Pastogės“. Tarpinstitucinio</w:t>
      </w:r>
      <w:r w:rsidRPr="00D26788">
        <w:rPr>
          <w:rFonts w:eastAsia="Calibri"/>
          <w:szCs w:val="24"/>
          <w:lang w:eastAsia="en-US" w:bidi="he-IL"/>
        </w:rPr>
        <w:t xml:space="preserve"> bendradarbiavimo srityje gauti 205 prašymai dėl vaiko minimalios ar vidutinės priežiūros priemonių taikymo, 27 vaikams paskirtos minimalios, o 10 vaikų – vidutinės priežiūros priemonės. Per metus įvyko 38 tarpinstituciniai pasitarimai ir 110 konsultacijų sudėtingais atvejais, o metinis vertinimas rodo, kad apie 50 proc. </w:t>
      </w:r>
      <w:r w:rsidR="00660AB1">
        <w:rPr>
          <w:rFonts w:eastAsia="Calibri"/>
          <w:szCs w:val="24"/>
          <w:lang w:eastAsia="en-US" w:bidi="he-IL"/>
        </w:rPr>
        <w:t xml:space="preserve">atvejų </w:t>
      </w:r>
      <w:r w:rsidRPr="00D26788">
        <w:rPr>
          <w:rFonts w:eastAsia="Calibri"/>
          <w:szCs w:val="24"/>
          <w:lang w:eastAsia="en-US" w:bidi="he-IL"/>
        </w:rPr>
        <w:t>vaikų elgesio ir mokymosi situacija pagerėjo.</w:t>
      </w:r>
      <w:r w:rsidR="00F31D75">
        <w:rPr>
          <w:rFonts w:eastAsia="Calibri"/>
          <w:szCs w:val="24"/>
          <w:lang w:eastAsia="en-US" w:bidi="he-IL"/>
        </w:rPr>
        <w:t xml:space="preserve"> </w:t>
      </w:r>
    </w:p>
    <w:p w14:paraId="4CB1219D" w14:textId="5F49743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taip pat buvo tęsiami projektai, orientuoti į socialinę riziką patiriančių vaikų ugdymo ir paslaugų prieinamumą. Tarp jų – projektas „Ankstyvojo ugdymo užtikrinimas vaikams iš socialinę riziką patiriančių šeimų“</w:t>
      </w:r>
      <w:r w:rsidR="009371CE" w:rsidRPr="009371CE">
        <w:rPr>
          <w:rFonts w:eastAsia="Calibri"/>
          <w:szCs w:val="24"/>
          <w:lang w:eastAsia="en-US" w:bidi="he-IL"/>
        </w:rPr>
        <w:t>.</w:t>
      </w:r>
      <w:r w:rsidR="009371CE">
        <w:rPr>
          <w:rFonts w:eastAsia="Calibri"/>
          <w:szCs w:val="24"/>
          <w:lang w:eastAsia="en-US" w:bidi="he-IL"/>
        </w:rPr>
        <w:t xml:space="preserve"> </w:t>
      </w:r>
      <w:r w:rsidRPr="00D26788">
        <w:rPr>
          <w:rFonts w:eastAsia="Calibri"/>
          <w:szCs w:val="24"/>
          <w:lang w:eastAsia="en-US" w:bidi="he-IL"/>
        </w:rPr>
        <w:t>Be to, per įvairias Savivaldybės ir partnerių priemones buvo stiprinamos visos dienos mokyklos, mokinio padėjėjų tinklas, nusiraminimo kambariai, įtraukiojo ugdymo priemonės ir kiti sprendimai, prisidedantys prie palankesnės aplinkos šeimai ir vaikui kūrimo.</w:t>
      </w:r>
      <w:r w:rsidR="00F31D75">
        <w:rPr>
          <w:rFonts w:eastAsia="Calibri"/>
          <w:szCs w:val="24"/>
          <w:lang w:eastAsia="en-US" w:bidi="he-IL"/>
        </w:rPr>
        <w:t xml:space="preserve"> </w:t>
      </w:r>
    </w:p>
    <w:p w14:paraId="42636943" w14:textId="30F0B51A" w:rsidR="00D26788" w:rsidRPr="00D26788" w:rsidRDefault="00B32ADE" w:rsidP="00D26788">
      <w:pPr>
        <w:spacing w:line="360" w:lineRule="auto"/>
        <w:ind w:firstLine="1298"/>
        <w:jc w:val="both"/>
        <w:rPr>
          <w:szCs w:val="24"/>
          <w:lang w:eastAsia="en-US" w:bidi="he-IL"/>
        </w:rPr>
      </w:pPr>
      <w:r>
        <w:rPr>
          <w:rFonts w:eastAsia="Calibri"/>
          <w:szCs w:val="24"/>
          <w:lang w:eastAsia="en-US" w:bidi="he-IL"/>
        </w:rPr>
        <w:t>Š</w:t>
      </w:r>
      <w:r w:rsidR="00D26788" w:rsidRPr="00D26788">
        <w:rPr>
          <w:rFonts w:eastAsia="Calibri"/>
          <w:szCs w:val="24"/>
          <w:lang w:eastAsia="en-US" w:bidi="he-IL"/>
        </w:rPr>
        <w:t xml:space="preserve">vietimo srityje buvo siekiama ne tik išlaikyti paslaugų prieinamumą, bet ir didinti ugdymo kokybę. Savivaldybės </w:t>
      </w:r>
      <w:r w:rsidR="00867CE3">
        <w:rPr>
          <w:rFonts w:eastAsia="Calibri"/>
          <w:szCs w:val="24"/>
          <w:lang w:eastAsia="en-US" w:bidi="he-IL"/>
        </w:rPr>
        <w:t>bendrojo ugdymo mokyklų (toliau – BUM)</w:t>
      </w:r>
      <w:r w:rsidR="00D26788" w:rsidRPr="00D26788">
        <w:rPr>
          <w:rFonts w:eastAsia="Calibri"/>
          <w:szCs w:val="24"/>
          <w:lang w:eastAsia="en-US" w:bidi="he-IL"/>
        </w:rPr>
        <w:t xml:space="preserve"> mokinių skaičius, lyginant 2016</w:t>
      </w:r>
      <w:r w:rsidR="0059460C">
        <w:rPr>
          <w:rFonts w:eastAsia="Calibri"/>
          <w:szCs w:val="24"/>
          <w:lang w:eastAsia="en-US" w:bidi="he-IL"/>
        </w:rPr>
        <w:t> </w:t>
      </w:r>
      <w:r w:rsidR="00661452">
        <w:rPr>
          <w:rFonts w:eastAsia="Calibri"/>
          <w:szCs w:val="24"/>
          <w:lang w:eastAsia="en-US" w:bidi="he-IL"/>
        </w:rPr>
        <w:t>m.</w:t>
      </w:r>
      <w:r w:rsidR="00D26788" w:rsidRPr="00D26788">
        <w:rPr>
          <w:rFonts w:eastAsia="Calibri"/>
          <w:szCs w:val="24"/>
          <w:lang w:eastAsia="en-US" w:bidi="he-IL"/>
        </w:rPr>
        <w:t xml:space="preserve"> ir 2025 m</w:t>
      </w:r>
      <w:r w:rsidR="00661452">
        <w:rPr>
          <w:rFonts w:eastAsia="Calibri"/>
          <w:szCs w:val="24"/>
          <w:lang w:eastAsia="en-US" w:bidi="he-IL"/>
        </w:rPr>
        <w:t>.</w:t>
      </w:r>
      <w:r w:rsidR="00D26788" w:rsidRPr="00D26788">
        <w:rPr>
          <w:rFonts w:eastAsia="Calibri"/>
          <w:szCs w:val="24"/>
          <w:lang w:eastAsia="en-US" w:bidi="he-IL"/>
        </w:rPr>
        <w:t>, padidėjo 26,71 proc., o per trejus metus – 1,9 proc.; 2025–2026 mokslo metais veikė 1 suaugusiųjų mokykla, 20 gimnazijų, 18 progimnazijų, 5 daugiafunkcio centro tipo mokyklos, 3</w:t>
      </w:r>
      <w:r w:rsidR="0059460C">
        <w:rPr>
          <w:rFonts w:eastAsia="Calibri"/>
          <w:szCs w:val="24"/>
          <w:lang w:eastAsia="en-US" w:bidi="he-IL"/>
        </w:rPr>
        <w:t> </w:t>
      </w:r>
      <w:r w:rsidR="00D26788" w:rsidRPr="00D26788">
        <w:rPr>
          <w:rFonts w:eastAsia="Calibri"/>
          <w:szCs w:val="24"/>
          <w:lang w:eastAsia="en-US" w:bidi="he-IL"/>
        </w:rPr>
        <w:t xml:space="preserve">specialiosios mokyklos, 5 pradinės mokyklos ir 5 mokyklos-darželiai. Toliau įgyvendintas Savivaldybės BUM tinklo pertvarkos 2021–2025 metų bendrasis planas, </w:t>
      </w:r>
      <w:r w:rsidR="003D619D">
        <w:rPr>
          <w:rFonts w:eastAsia="Calibri"/>
          <w:szCs w:val="24"/>
          <w:lang w:eastAsia="en-US" w:bidi="he-IL"/>
        </w:rPr>
        <w:t xml:space="preserve">mieste </w:t>
      </w:r>
      <w:r w:rsidR="009D678E">
        <w:rPr>
          <w:rFonts w:eastAsia="Calibri"/>
          <w:szCs w:val="24"/>
          <w:lang w:eastAsia="en-US" w:bidi="he-IL"/>
        </w:rPr>
        <w:t>vykdytos rezultatyvios švietimo</w:t>
      </w:r>
      <w:r w:rsidR="003D619D">
        <w:rPr>
          <w:rFonts w:eastAsia="Calibri"/>
          <w:szCs w:val="24"/>
          <w:lang w:eastAsia="en-US" w:bidi="he-IL"/>
        </w:rPr>
        <w:t xml:space="preserve"> programos.</w:t>
      </w:r>
      <w:r w:rsidR="00586ABC" w:rsidRPr="00586ABC">
        <w:t xml:space="preserve"> </w:t>
      </w:r>
    </w:p>
    <w:p w14:paraId="4645F9C5" w14:textId="3DAC227C" w:rsidR="00450FC2" w:rsidRPr="00D26788" w:rsidRDefault="00D26788" w:rsidP="00450FC2">
      <w:pPr>
        <w:spacing w:line="360" w:lineRule="auto"/>
        <w:ind w:firstLine="1298"/>
        <w:jc w:val="both"/>
        <w:rPr>
          <w:szCs w:val="24"/>
          <w:lang w:eastAsia="en-US" w:bidi="he-IL"/>
        </w:rPr>
      </w:pPr>
      <w:r w:rsidRPr="00D26788">
        <w:rPr>
          <w:rFonts w:eastAsia="Calibri"/>
          <w:szCs w:val="24"/>
          <w:lang w:eastAsia="en-US" w:bidi="he-IL"/>
        </w:rPr>
        <w:t xml:space="preserve">Mokinių pasiekimų duomenys rodo nuosekliai aukštą </w:t>
      </w:r>
      <w:r w:rsidR="00586ABC">
        <w:rPr>
          <w:rFonts w:eastAsia="Calibri"/>
          <w:szCs w:val="24"/>
          <w:lang w:eastAsia="en-US" w:bidi="he-IL"/>
        </w:rPr>
        <w:t xml:space="preserve">ir toliau augančią </w:t>
      </w:r>
      <w:r w:rsidRPr="00D26788">
        <w:rPr>
          <w:rFonts w:eastAsia="Calibri"/>
          <w:szCs w:val="24"/>
          <w:lang w:eastAsia="en-US" w:bidi="he-IL"/>
        </w:rPr>
        <w:t>ugdymo kokybę</w:t>
      </w:r>
      <w:r w:rsidR="00586ABC">
        <w:rPr>
          <w:rFonts w:eastAsia="Calibri"/>
          <w:szCs w:val="24"/>
          <w:lang w:eastAsia="en-US" w:bidi="he-IL"/>
        </w:rPr>
        <w:t xml:space="preserve"> Kaune</w:t>
      </w:r>
      <w:r w:rsidRPr="00D26788">
        <w:rPr>
          <w:rFonts w:eastAsia="Calibri"/>
          <w:szCs w:val="24"/>
          <w:lang w:eastAsia="en-US" w:bidi="he-IL"/>
        </w:rPr>
        <w:t xml:space="preserve">. 2025 metų </w:t>
      </w:r>
      <w:r w:rsidR="00AC1B00">
        <w:rPr>
          <w:rFonts w:eastAsia="Calibri"/>
          <w:szCs w:val="24"/>
          <w:lang w:eastAsia="en-US" w:bidi="he-IL"/>
        </w:rPr>
        <w:t xml:space="preserve">nacionalinio mokinių pasiekimų patikrinimo </w:t>
      </w:r>
      <w:r w:rsidRPr="00D26788">
        <w:rPr>
          <w:rFonts w:eastAsia="Calibri"/>
          <w:szCs w:val="24"/>
          <w:lang w:eastAsia="en-US" w:bidi="he-IL"/>
        </w:rPr>
        <w:t>rezultatai atskleidė, kad 4</w:t>
      </w:r>
      <w:r w:rsidR="00E9250B">
        <w:rPr>
          <w:rFonts w:eastAsia="Calibri"/>
          <w:szCs w:val="24"/>
          <w:lang w:eastAsia="en-US" w:bidi="he-IL"/>
        </w:rPr>
        <w:t> </w:t>
      </w:r>
      <w:r w:rsidRPr="00D26788">
        <w:rPr>
          <w:rFonts w:eastAsia="Calibri"/>
          <w:szCs w:val="24"/>
          <w:lang w:eastAsia="en-US" w:bidi="he-IL"/>
        </w:rPr>
        <w:t>klasės mokinių matematikos rezultatų vidurkis siekė 80,9 proc.</w:t>
      </w:r>
      <w:r w:rsidR="00586ABC">
        <w:rPr>
          <w:rFonts w:eastAsia="Calibri"/>
          <w:szCs w:val="24"/>
          <w:lang w:eastAsia="en-US" w:bidi="he-IL"/>
        </w:rPr>
        <w:t xml:space="preserve"> (</w:t>
      </w:r>
      <w:r w:rsidR="00586ABC" w:rsidRPr="00586ABC">
        <w:rPr>
          <w:rFonts w:eastAsia="Calibri"/>
          <w:szCs w:val="24"/>
          <w:lang w:eastAsia="en-US" w:bidi="he-IL"/>
        </w:rPr>
        <w:t>12,8 proc.</w:t>
      </w:r>
      <w:r w:rsidR="00586ABC">
        <w:rPr>
          <w:rFonts w:eastAsia="Calibri"/>
          <w:szCs w:val="24"/>
          <w:lang w:eastAsia="en-US" w:bidi="he-IL"/>
        </w:rPr>
        <w:t xml:space="preserve"> didesnis nei 2024</w:t>
      </w:r>
      <w:r w:rsidR="00E9250B">
        <w:rPr>
          <w:rFonts w:eastAsia="Calibri"/>
          <w:szCs w:val="24"/>
          <w:lang w:eastAsia="en-US" w:bidi="he-IL"/>
        </w:rPr>
        <w:t> </w:t>
      </w:r>
      <w:r w:rsidR="00586ABC">
        <w:rPr>
          <w:rFonts w:eastAsia="Calibri"/>
          <w:szCs w:val="24"/>
          <w:lang w:eastAsia="en-US" w:bidi="he-IL"/>
        </w:rPr>
        <w:t>m</w:t>
      </w:r>
      <w:r w:rsidR="00661452">
        <w:rPr>
          <w:rFonts w:eastAsia="Calibri"/>
          <w:szCs w:val="24"/>
          <w:lang w:eastAsia="en-US" w:bidi="he-IL"/>
        </w:rPr>
        <w:t xml:space="preserve">. </w:t>
      </w:r>
      <w:r w:rsidR="00586ABC">
        <w:rPr>
          <w:rFonts w:eastAsia="Calibri"/>
          <w:szCs w:val="24"/>
          <w:lang w:eastAsia="en-US" w:bidi="he-IL"/>
        </w:rPr>
        <w:t>ir 8</w:t>
      </w:r>
      <w:r w:rsidR="00661452">
        <w:rPr>
          <w:rFonts w:eastAsia="Calibri"/>
          <w:szCs w:val="24"/>
          <w:lang w:eastAsia="en-US" w:bidi="he-IL"/>
        </w:rPr>
        <w:t> </w:t>
      </w:r>
      <w:r w:rsidR="00586ABC">
        <w:rPr>
          <w:rFonts w:eastAsia="Calibri"/>
          <w:szCs w:val="24"/>
          <w:lang w:eastAsia="en-US" w:bidi="he-IL"/>
        </w:rPr>
        <w:t>proc. didesnis nei šalies vidurkis)</w:t>
      </w:r>
      <w:r w:rsidRPr="00D26788">
        <w:rPr>
          <w:rFonts w:eastAsia="Calibri"/>
          <w:szCs w:val="24"/>
          <w:lang w:eastAsia="en-US" w:bidi="he-IL"/>
        </w:rPr>
        <w:t>, skaitymo – 81,9 proc.</w:t>
      </w:r>
      <w:r w:rsidR="00586ABC">
        <w:rPr>
          <w:rFonts w:eastAsia="Calibri"/>
          <w:szCs w:val="24"/>
          <w:lang w:eastAsia="en-US" w:bidi="he-IL"/>
        </w:rPr>
        <w:t xml:space="preserve"> (</w:t>
      </w:r>
      <w:r w:rsidR="00586ABC" w:rsidRPr="00586ABC">
        <w:rPr>
          <w:rFonts w:eastAsia="Calibri"/>
          <w:szCs w:val="24"/>
          <w:lang w:eastAsia="en-US" w:bidi="he-IL"/>
        </w:rPr>
        <w:t>31,</w:t>
      </w:r>
      <w:r w:rsidR="00586ABC">
        <w:rPr>
          <w:rFonts w:eastAsia="Calibri"/>
          <w:szCs w:val="24"/>
          <w:lang w:eastAsia="en-US" w:bidi="he-IL"/>
        </w:rPr>
        <w:t>9</w:t>
      </w:r>
      <w:r w:rsidR="00586ABC" w:rsidRPr="00586ABC">
        <w:rPr>
          <w:rFonts w:eastAsia="Calibri"/>
          <w:szCs w:val="24"/>
          <w:lang w:eastAsia="en-US" w:bidi="he-IL"/>
        </w:rPr>
        <w:t xml:space="preserve"> proc. didesnis nei 2024</w:t>
      </w:r>
      <w:r w:rsidR="00E9250B">
        <w:rPr>
          <w:rFonts w:eastAsia="Calibri"/>
          <w:szCs w:val="24"/>
          <w:lang w:eastAsia="en-US" w:bidi="he-IL"/>
        </w:rPr>
        <w:t> </w:t>
      </w:r>
      <w:r w:rsidR="00586ABC">
        <w:rPr>
          <w:rFonts w:eastAsia="Calibri"/>
          <w:szCs w:val="24"/>
          <w:lang w:eastAsia="en-US" w:bidi="he-IL"/>
        </w:rPr>
        <w:t>m</w:t>
      </w:r>
      <w:r w:rsidR="00661452">
        <w:rPr>
          <w:rFonts w:eastAsia="Calibri"/>
          <w:szCs w:val="24"/>
          <w:lang w:eastAsia="en-US" w:bidi="he-IL"/>
        </w:rPr>
        <w:t xml:space="preserve">. </w:t>
      </w:r>
      <w:r w:rsidR="00586ABC">
        <w:rPr>
          <w:rFonts w:eastAsia="Calibri"/>
          <w:szCs w:val="24"/>
          <w:lang w:eastAsia="en-US" w:bidi="he-IL"/>
        </w:rPr>
        <w:t>ir 8,5</w:t>
      </w:r>
      <w:r w:rsidR="00661452">
        <w:rPr>
          <w:rFonts w:eastAsia="Calibri"/>
          <w:szCs w:val="24"/>
          <w:lang w:eastAsia="en-US" w:bidi="he-IL"/>
        </w:rPr>
        <w:t> </w:t>
      </w:r>
      <w:r w:rsidR="00586ABC">
        <w:rPr>
          <w:rFonts w:eastAsia="Calibri"/>
          <w:szCs w:val="24"/>
          <w:lang w:eastAsia="en-US" w:bidi="he-IL"/>
        </w:rPr>
        <w:t>proc. didesnis nei šalies vidurkis)</w:t>
      </w:r>
      <w:r w:rsidRPr="00D26788">
        <w:rPr>
          <w:rFonts w:eastAsia="Calibri"/>
          <w:szCs w:val="24"/>
          <w:lang w:eastAsia="en-US" w:bidi="he-IL"/>
        </w:rPr>
        <w:t xml:space="preserve">. 8 klasės mokinių lietuvių kalbos ir literatūros pasiekimų vidurkis </w:t>
      </w:r>
      <w:r w:rsidR="00586ABC">
        <w:rPr>
          <w:rFonts w:eastAsia="Calibri"/>
          <w:szCs w:val="24"/>
          <w:lang w:eastAsia="en-US" w:bidi="he-IL"/>
        </w:rPr>
        <w:t>pa</w:t>
      </w:r>
      <w:r w:rsidRPr="00D26788">
        <w:rPr>
          <w:rFonts w:eastAsia="Calibri"/>
          <w:szCs w:val="24"/>
          <w:lang w:eastAsia="en-US" w:bidi="he-IL"/>
        </w:rPr>
        <w:t>siekė 78,4</w:t>
      </w:r>
      <w:r w:rsidR="00661452">
        <w:rPr>
          <w:rFonts w:eastAsia="Calibri"/>
          <w:szCs w:val="24"/>
          <w:lang w:eastAsia="en-US" w:bidi="he-IL"/>
        </w:rPr>
        <w:t> </w:t>
      </w:r>
      <w:r w:rsidRPr="00D26788">
        <w:rPr>
          <w:rFonts w:eastAsia="Calibri"/>
          <w:szCs w:val="24"/>
          <w:lang w:eastAsia="en-US" w:bidi="he-IL"/>
        </w:rPr>
        <w:t>proc.</w:t>
      </w:r>
      <w:r w:rsidR="00586ABC">
        <w:rPr>
          <w:rFonts w:eastAsia="Calibri"/>
          <w:szCs w:val="24"/>
          <w:lang w:eastAsia="en-US" w:bidi="he-IL"/>
        </w:rPr>
        <w:t xml:space="preserve"> (</w:t>
      </w:r>
      <w:r w:rsidR="00586ABC" w:rsidRPr="00586ABC">
        <w:rPr>
          <w:rFonts w:eastAsia="Calibri"/>
          <w:szCs w:val="24"/>
          <w:lang w:eastAsia="en-US" w:bidi="he-IL"/>
        </w:rPr>
        <w:t>2024 m</w:t>
      </w:r>
      <w:r w:rsidR="00661452">
        <w:rPr>
          <w:rFonts w:eastAsia="Calibri"/>
          <w:szCs w:val="24"/>
          <w:lang w:eastAsia="en-US" w:bidi="he-IL"/>
        </w:rPr>
        <w:t xml:space="preserve">. </w:t>
      </w:r>
      <w:r w:rsidR="00586ABC" w:rsidRPr="00586ABC">
        <w:rPr>
          <w:rFonts w:eastAsia="Calibri"/>
          <w:szCs w:val="24"/>
          <w:lang w:eastAsia="en-US" w:bidi="he-IL"/>
        </w:rPr>
        <w:t xml:space="preserve"> – 75</w:t>
      </w:r>
      <w:r w:rsidR="00661452">
        <w:rPr>
          <w:rFonts w:eastAsia="Calibri"/>
          <w:szCs w:val="24"/>
          <w:lang w:eastAsia="en-US" w:bidi="he-IL"/>
        </w:rPr>
        <w:t xml:space="preserve"> </w:t>
      </w:r>
      <w:r w:rsidR="00586ABC" w:rsidRPr="00586ABC">
        <w:rPr>
          <w:rFonts w:eastAsia="Calibri"/>
          <w:szCs w:val="24"/>
          <w:lang w:eastAsia="en-US" w:bidi="he-IL"/>
        </w:rPr>
        <w:t>proc.</w:t>
      </w:r>
      <w:r w:rsidR="00586ABC">
        <w:rPr>
          <w:rFonts w:eastAsia="Calibri"/>
          <w:szCs w:val="24"/>
          <w:lang w:eastAsia="en-US" w:bidi="he-IL"/>
        </w:rPr>
        <w:t>)</w:t>
      </w:r>
      <w:r w:rsidRPr="00D26788">
        <w:rPr>
          <w:rFonts w:eastAsia="Calibri"/>
          <w:szCs w:val="24"/>
          <w:lang w:eastAsia="en-US" w:bidi="he-IL"/>
        </w:rPr>
        <w:t>, matematikos – 66,7</w:t>
      </w:r>
      <w:r w:rsidR="00661452">
        <w:rPr>
          <w:rFonts w:eastAsia="Calibri"/>
          <w:szCs w:val="24"/>
          <w:lang w:eastAsia="en-US" w:bidi="he-IL"/>
        </w:rPr>
        <w:t xml:space="preserve"> </w:t>
      </w:r>
      <w:r w:rsidRPr="00D26788">
        <w:rPr>
          <w:rFonts w:eastAsia="Calibri"/>
          <w:szCs w:val="24"/>
          <w:lang w:eastAsia="en-US" w:bidi="he-IL"/>
        </w:rPr>
        <w:t>proc.</w:t>
      </w:r>
      <w:r w:rsidR="00450FC2">
        <w:rPr>
          <w:rFonts w:eastAsia="Calibri"/>
          <w:szCs w:val="24"/>
          <w:lang w:eastAsia="en-US" w:bidi="he-IL"/>
        </w:rPr>
        <w:t xml:space="preserve"> (</w:t>
      </w:r>
      <w:r w:rsidR="00450FC2" w:rsidRPr="00586ABC">
        <w:rPr>
          <w:rFonts w:eastAsia="Calibri"/>
          <w:szCs w:val="24"/>
          <w:lang w:eastAsia="en-US" w:bidi="he-IL"/>
        </w:rPr>
        <w:t>2024</w:t>
      </w:r>
      <w:r w:rsidR="00E9250B">
        <w:rPr>
          <w:rFonts w:eastAsia="Calibri"/>
          <w:szCs w:val="24"/>
          <w:lang w:eastAsia="en-US" w:bidi="he-IL"/>
        </w:rPr>
        <w:t> </w:t>
      </w:r>
      <w:r w:rsidR="00450FC2" w:rsidRPr="00586ABC">
        <w:rPr>
          <w:rFonts w:eastAsia="Calibri"/>
          <w:szCs w:val="24"/>
          <w:lang w:eastAsia="en-US" w:bidi="he-IL"/>
        </w:rPr>
        <w:t>m</w:t>
      </w:r>
      <w:r w:rsidR="00450FC2">
        <w:rPr>
          <w:rFonts w:eastAsia="Calibri"/>
          <w:szCs w:val="24"/>
          <w:lang w:eastAsia="en-US" w:bidi="he-IL"/>
        </w:rPr>
        <w:t>etais</w:t>
      </w:r>
      <w:r w:rsidR="00450FC2" w:rsidRPr="00586ABC">
        <w:rPr>
          <w:rFonts w:eastAsia="Calibri"/>
          <w:szCs w:val="24"/>
          <w:lang w:eastAsia="en-US" w:bidi="he-IL"/>
        </w:rPr>
        <w:t xml:space="preserve"> – 50,8 proc.)</w:t>
      </w:r>
      <w:r w:rsidRPr="00D26788">
        <w:rPr>
          <w:rFonts w:eastAsia="Calibri"/>
          <w:szCs w:val="24"/>
          <w:lang w:eastAsia="en-US" w:bidi="he-IL"/>
        </w:rPr>
        <w:t xml:space="preserve">, o skirtumas </w:t>
      </w:r>
      <w:r w:rsidRPr="00D26788">
        <w:rPr>
          <w:rFonts w:eastAsia="Calibri"/>
          <w:szCs w:val="24"/>
          <w:lang w:eastAsia="en-US" w:bidi="he-IL"/>
        </w:rPr>
        <w:lastRenderedPageBreak/>
        <w:t>nuo šalies vidurkio buvo reikšmingas</w:t>
      </w:r>
      <w:r w:rsidR="00450FC2">
        <w:rPr>
          <w:rFonts w:eastAsia="Calibri"/>
          <w:szCs w:val="24"/>
          <w:lang w:eastAsia="en-US" w:bidi="he-IL"/>
        </w:rPr>
        <w:t>, t.</w:t>
      </w:r>
      <w:r w:rsidR="00E9250B">
        <w:rPr>
          <w:rFonts w:eastAsia="Calibri"/>
          <w:szCs w:val="24"/>
          <w:lang w:eastAsia="en-US" w:bidi="he-IL"/>
        </w:rPr>
        <w:t xml:space="preserve"> </w:t>
      </w:r>
      <w:r w:rsidR="00450FC2">
        <w:rPr>
          <w:rFonts w:eastAsia="Calibri"/>
          <w:szCs w:val="24"/>
          <w:lang w:eastAsia="en-US" w:bidi="he-IL"/>
        </w:rPr>
        <w:t xml:space="preserve">y. </w:t>
      </w:r>
      <w:r w:rsidR="00450FC2" w:rsidRPr="00586ABC">
        <w:rPr>
          <w:rFonts w:eastAsia="Calibri"/>
          <w:szCs w:val="24"/>
          <w:lang w:eastAsia="en-US" w:bidi="he-IL"/>
        </w:rPr>
        <w:t xml:space="preserve">matematikos </w:t>
      </w:r>
      <w:r w:rsidR="00450FC2">
        <w:rPr>
          <w:rFonts w:eastAsia="Calibri"/>
          <w:szCs w:val="24"/>
          <w:lang w:eastAsia="en-US" w:bidi="he-IL"/>
        </w:rPr>
        <w:t>vidurkis šalies vidurkį viršijo</w:t>
      </w:r>
      <w:r w:rsidR="00450FC2" w:rsidRPr="00586ABC">
        <w:rPr>
          <w:rFonts w:eastAsia="Calibri"/>
          <w:szCs w:val="24"/>
          <w:lang w:eastAsia="en-US" w:bidi="he-IL"/>
        </w:rPr>
        <w:t xml:space="preserve"> 13,2</w:t>
      </w:r>
      <w:r w:rsidR="00661452">
        <w:rPr>
          <w:rFonts w:eastAsia="Calibri"/>
          <w:szCs w:val="24"/>
          <w:lang w:eastAsia="en-US" w:bidi="he-IL"/>
        </w:rPr>
        <w:t> </w:t>
      </w:r>
      <w:r w:rsidR="00450FC2" w:rsidRPr="00586ABC">
        <w:rPr>
          <w:rFonts w:eastAsia="Calibri"/>
          <w:szCs w:val="24"/>
          <w:lang w:eastAsia="en-US" w:bidi="he-IL"/>
        </w:rPr>
        <w:t xml:space="preserve">proc. (2023–2024 m. m. – 8,2 proc.), </w:t>
      </w:r>
      <w:r w:rsidR="00450FC2">
        <w:rPr>
          <w:rFonts w:eastAsia="Calibri"/>
          <w:szCs w:val="24"/>
          <w:lang w:eastAsia="en-US" w:bidi="he-IL"/>
        </w:rPr>
        <w:t xml:space="preserve">o </w:t>
      </w:r>
      <w:r w:rsidR="00450FC2" w:rsidRPr="00586ABC">
        <w:rPr>
          <w:rFonts w:eastAsia="Calibri"/>
          <w:szCs w:val="24"/>
          <w:lang w:eastAsia="en-US" w:bidi="he-IL"/>
        </w:rPr>
        <w:t>skaitymo – 33,11</w:t>
      </w:r>
      <w:r w:rsidR="00661452">
        <w:rPr>
          <w:rFonts w:eastAsia="Calibri"/>
          <w:szCs w:val="24"/>
          <w:lang w:eastAsia="en-US" w:bidi="he-IL"/>
        </w:rPr>
        <w:t xml:space="preserve"> </w:t>
      </w:r>
      <w:r w:rsidR="00450FC2" w:rsidRPr="00586ABC">
        <w:rPr>
          <w:rFonts w:eastAsia="Calibri"/>
          <w:szCs w:val="24"/>
          <w:lang w:eastAsia="en-US" w:bidi="he-IL"/>
        </w:rPr>
        <w:t>proc. (2023–2024 m. m. – 5,2 proc.).</w:t>
      </w:r>
      <w:r w:rsidR="00E9250B">
        <w:rPr>
          <w:rFonts w:eastAsia="Calibri"/>
          <w:szCs w:val="24"/>
          <w:lang w:eastAsia="en-US" w:bidi="he-IL"/>
        </w:rPr>
        <w:t xml:space="preserve"> </w:t>
      </w:r>
    </w:p>
    <w:p w14:paraId="7ACA1863" w14:textId="53133BED"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metų </w:t>
      </w:r>
      <w:r w:rsidR="00AC1B00">
        <w:rPr>
          <w:rFonts w:eastAsia="Calibri"/>
          <w:szCs w:val="24"/>
          <w:lang w:eastAsia="en-US" w:bidi="he-IL"/>
        </w:rPr>
        <w:t>valstybinių brandos egzaminų</w:t>
      </w:r>
      <w:r w:rsidRPr="00D26788">
        <w:rPr>
          <w:rFonts w:eastAsia="Calibri"/>
          <w:szCs w:val="24"/>
          <w:lang w:eastAsia="en-US" w:bidi="he-IL"/>
        </w:rPr>
        <w:t xml:space="preserve"> rezultatai Kaune taip pat išsiskyrė aukštais pasiekimais ir rekordine šimtukų gausa – Kauno abiturientų surinktas balų vidurkis matematikos ir lietuvių kalbos egzaminuose buvo atitinkamai 8,5 proc. ir 6,2 proc. aukštesnis už šalies vidurkį, o aukštesnįjį pasiekimų lygį pasiekusių mokinių dalis buvo 12</w:t>
      </w:r>
      <w:r w:rsidR="00661452">
        <w:rPr>
          <w:rFonts w:eastAsia="Calibri"/>
          <w:szCs w:val="24"/>
          <w:lang w:eastAsia="en-US" w:bidi="he-IL"/>
        </w:rPr>
        <w:t xml:space="preserve"> </w:t>
      </w:r>
      <w:r w:rsidRPr="00D26788">
        <w:rPr>
          <w:rFonts w:eastAsia="Calibri"/>
          <w:szCs w:val="24"/>
          <w:lang w:eastAsia="en-US" w:bidi="he-IL"/>
        </w:rPr>
        <w:t>proc. didesnė už šalies vidurkį.</w:t>
      </w:r>
      <w:r w:rsidR="00011595">
        <w:rPr>
          <w:rFonts w:eastAsia="Calibri"/>
          <w:szCs w:val="24"/>
          <w:lang w:eastAsia="en-US" w:bidi="he-IL"/>
        </w:rPr>
        <w:t xml:space="preserve"> </w:t>
      </w:r>
    </w:p>
    <w:p w14:paraId="36168121" w14:textId="349540F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Savivaldybė toliau plėtojo tikslines ugdymo kokybę gerinančias programas</w:t>
      </w:r>
      <w:r w:rsidR="00FD20A7">
        <w:rPr>
          <w:rFonts w:eastAsia="Calibri"/>
          <w:szCs w:val="24"/>
          <w:lang w:eastAsia="en-US" w:bidi="he-IL"/>
        </w:rPr>
        <w:t>: g</w:t>
      </w:r>
      <w:r w:rsidRPr="00D26788">
        <w:rPr>
          <w:rFonts w:eastAsia="Calibri"/>
          <w:szCs w:val="24"/>
          <w:lang w:eastAsia="en-US" w:bidi="he-IL"/>
        </w:rPr>
        <w:t xml:space="preserve">eresnių matematikos rezultatų siekiantiems mokiniams tęsta matematikos laboratorijos </w:t>
      </w:r>
      <w:r w:rsidR="00FD20A7">
        <w:rPr>
          <w:rFonts w:eastAsia="Calibri"/>
          <w:szCs w:val="24"/>
          <w:lang w:eastAsia="en-US" w:bidi="he-IL"/>
        </w:rPr>
        <w:t>„</w:t>
      </w:r>
      <w:r w:rsidRPr="00D26788">
        <w:rPr>
          <w:rFonts w:eastAsia="Calibri"/>
          <w:szCs w:val="24"/>
          <w:lang w:eastAsia="en-US" w:bidi="he-IL"/>
        </w:rPr>
        <w:t>MatLab</w:t>
      </w:r>
      <w:r w:rsidR="00FD20A7">
        <w:rPr>
          <w:rFonts w:eastAsia="Calibri"/>
          <w:szCs w:val="24"/>
          <w:lang w:eastAsia="en-US" w:bidi="he-IL"/>
        </w:rPr>
        <w:t>“</w:t>
      </w:r>
      <w:r w:rsidRPr="00D26788">
        <w:rPr>
          <w:rFonts w:eastAsia="Calibri"/>
          <w:szCs w:val="24"/>
          <w:lang w:eastAsia="en-US" w:bidi="he-IL"/>
        </w:rPr>
        <w:t xml:space="preserve"> veikla;</w:t>
      </w:r>
      <w:r w:rsidR="00FD20A7">
        <w:rPr>
          <w:rFonts w:eastAsia="Calibri"/>
          <w:szCs w:val="24"/>
          <w:lang w:eastAsia="en-US" w:bidi="he-IL"/>
        </w:rPr>
        <w:t xml:space="preserve"> </w:t>
      </w:r>
      <w:r w:rsidRPr="00D26788">
        <w:rPr>
          <w:rFonts w:eastAsia="Calibri"/>
          <w:szCs w:val="24"/>
          <w:lang w:eastAsia="en-US" w:bidi="he-IL"/>
        </w:rPr>
        <w:t xml:space="preserve">sudarytos sąlygos plėsti </w:t>
      </w:r>
      <w:r w:rsidR="00FD20A7">
        <w:rPr>
          <w:rFonts w:eastAsia="Calibri"/>
          <w:szCs w:val="24"/>
          <w:lang w:eastAsia="en-US" w:bidi="he-IL"/>
        </w:rPr>
        <w:t>„</w:t>
      </w:r>
      <w:r w:rsidRPr="00D26788">
        <w:rPr>
          <w:rFonts w:eastAsia="Calibri"/>
          <w:bCs/>
          <w:szCs w:val="24"/>
          <w:lang w:eastAsia="en-US" w:bidi="he-IL"/>
        </w:rPr>
        <w:t>Visos dienos mokyklos</w:t>
      </w:r>
      <w:r w:rsidR="00FD20A7">
        <w:rPr>
          <w:rFonts w:eastAsia="Calibri"/>
          <w:bCs/>
          <w:szCs w:val="24"/>
          <w:lang w:eastAsia="en-US" w:bidi="he-IL"/>
        </w:rPr>
        <w:t>“</w:t>
      </w:r>
      <w:r w:rsidRPr="00D26788">
        <w:rPr>
          <w:rFonts w:eastAsia="Calibri"/>
          <w:szCs w:val="24"/>
          <w:lang w:eastAsia="en-US" w:bidi="he-IL"/>
        </w:rPr>
        <w:t xml:space="preserve"> modelį;</w:t>
      </w:r>
      <w:r w:rsidR="00FD20A7">
        <w:rPr>
          <w:rFonts w:eastAsia="Calibri"/>
          <w:szCs w:val="24"/>
          <w:lang w:eastAsia="en-US" w:bidi="he-IL"/>
        </w:rPr>
        <w:t xml:space="preserve"> </w:t>
      </w:r>
      <w:r w:rsidRPr="00D26788">
        <w:rPr>
          <w:rFonts w:eastAsia="Calibri"/>
          <w:szCs w:val="24"/>
          <w:lang w:eastAsia="en-US" w:bidi="he-IL"/>
        </w:rPr>
        <w:t xml:space="preserve">ruoštasi dar platesniam </w:t>
      </w:r>
      <w:r w:rsidR="00FD20A7">
        <w:rPr>
          <w:rFonts w:eastAsia="Calibri"/>
          <w:szCs w:val="24"/>
          <w:lang w:eastAsia="en-US" w:bidi="he-IL"/>
        </w:rPr>
        <w:t>„</w:t>
      </w:r>
      <w:r w:rsidRPr="00D26788">
        <w:rPr>
          <w:rFonts w:eastAsia="Calibri"/>
          <w:szCs w:val="24"/>
          <w:lang w:eastAsia="en-US" w:bidi="he-IL"/>
        </w:rPr>
        <w:t>Tarptautinio bakalaureato</w:t>
      </w:r>
      <w:r w:rsidR="00FD20A7">
        <w:rPr>
          <w:rFonts w:eastAsia="Calibri"/>
          <w:szCs w:val="24"/>
          <w:lang w:eastAsia="en-US" w:bidi="he-IL"/>
        </w:rPr>
        <w:t>“</w:t>
      </w:r>
      <w:r w:rsidRPr="00D26788">
        <w:rPr>
          <w:rFonts w:eastAsia="Calibri"/>
          <w:szCs w:val="24"/>
          <w:lang w:eastAsia="en-US" w:bidi="he-IL"/>
        </w:rPr>
        <w:t xml:space="preserve"> programos įgyvendinimui</w:t>
      </w:r>
      <w:r w:rsidR="00FA2D81">
        <w:rPr>
          <w:rFonts w:eastAsia="Calibri"/>
          <w:szCs w:val="24"/>
          <w:lang w:eastAsia="en-US" w:bidi="he-IL"/>
        </w:rPr>
        <w:t xml:space="preserve"> (</w:t>
      </w:r>
      <w:r w:rsidR="00FA2D81">
        <w:rPr>
          <w:szCs w:val="24"/>
        </w:rPr>
        <w:t>b</w:t>
      </w:r>
      <w:r w:rsidR="00FA2D81" w:rsidRPr="00F10850">
        <w:rPr>
          <w:szCs w:val="24"/>
        </w:rPr>
        <w:t>akalaureato programos įgyvendinimas Kauno lopšelyje</w:t>
      </w:r>
      <w:r w:rsidR="00011595">
        <w:rPr>
          <w:szCs w:val="24"/>
        </w:rPr>
        <w:noBreakHyphen/>
      </w:r>
      <w:r w:rsidR="00FA2D81" w:rsidRPr="00F10850">
        <w:rPr>
          <w:szCs w:val="24"/>
        </w:rPr>
        <w:t>darželyje „Vyturėlis“</w:t>
      </w:r>
      <w:r w:rsidR="00FA2D81">
        <w:rPr>
          <w:szCs w:val="24"/>
        </w:rPr>
        <w:t>)</w:t>
      </w:r>
      <w:r w:rsidRPr="00D26788">
        <w:rPr>
          <w:rFonts w:eastAsia="Calibri"/>
          <w:szCs w:val="24"/>
          <w:lang w:eastAsia="en-US" w:bidi="he-IL"/>
        </w:rPr>
        <w:t xml:space="preserve">, o </w:t>
      </w:r>
      <w:r w:rsidR="00FD20A7" w:rsidRPr="00FD20A7">
        <w:rPr>
          <w:rFonts w:eastAsia="Calibri"/>
          <w:szCs w:val="24"/>
          <w:lang w:eastAsia="en-US" w:bidi="he-IL"/>
        </w:rPr>
        <w:t>„</w:t>
      </w:r>
      <w:r w:rsidRPr="00D26788">
        <w:rPr>
          <w:rFonts w:eastAsia="Calibri"/>
          <w:szCs w:val="24"/>
          <w:lang w:eastAsia="en-US" w:bidi="he-IL"/>
        </w:rPr>
        <w:t>Tūkstantmečio mokyklų</w:t>
      </w:r>
      <w:r w:rsidR="00FD20A7" w:rsidRPr="00FD20A7">
        <w:rPr>
          <w:rFonts w:eastAsia="Calibri"/>
          <w:szCs w:val="24"/>
          <w:lang w:eastAsia="en-US" w:bidi="he-IL"/>
        </w:rPr>
        <w:t>“</w:t>
      </w:r>
      <w:r w:rsidRPr="00D26788">
        <w:rPr>
          <w:rFonts w:eastAsia="Calibri"/>
          <w:szCs w:val="24"/>
          <w:lang w:eastAsia="en-US" w:bidi="he-IL"/>
        </w:rPr>
        <w:t xml:space="preserve">, STEAM laboratorijų ir ugdymo aplinkų plėtra </w:t>
      </w:r>
      <w:r w:rsidR="00011595">
        <w:rPr>
          <w:rFonts w:eastAsia="Calibri"/>
          <w:szCs w:val="24"/>
          <w:lang w:eastAsia="en-US" w:bidi="he-IL"/>
        </w:rPr>
        <w:t xml:space="preserve">ir </w:t>
      </w:r>
      <w:r w:rsidRPr="00D26788">
        <w:rPr>
          <w:rFonts w:eastAsia="Calibri"/>
          <w:szCs w:val="24"/>
          <w:lang w:eastAsia="en-US" w:bidi="he-IL"/>
        </w:rPr>
        <w:t>karjeros specialistų veikla stiprino įtraukų, šiuolaikišką ir įvairius poreikius atliepiantį ugdymą.</w:t>
      </w:r>
      <w:r w:rsidR="00011595">
        <w:rPr>
          <w:rFonts w:eastAsia="Calibri"/>
          <w:szCs w:val="24"/>
          <w:lang w:eastAsia="en-US" w:bidi="he-IL"/>
        </w:rPr>
        <w:t xml:space="preserve"> </w:t>
      </w:r>
    </w:p>
    <w:p w14:paraId="1864AFE0" w14:textId="170775B2" w:rsidR="00D26788" w:rsidRDefault="00D26788" w:rsidP="00D26788">
      <w:pPr>
        <w:spacing w:line="360" w:lineRule="auto"/>
        <w:ind w:firstLine="1298"/>
        <w:jc w:val="both"/>
        <w:rPr>
          <w:rFonts w:eastAsia="Calibri"/>
          <w:szCs w:val="24"/>
          <w:lang w:eastAsia="en-US" w:bidi="he-IL"/>
        </w:rPr>
      </w:pPr>
      <w:r w:rsidRPr="00D26788">
        <w:rPr>
          <w:rFonts w:eastAsia="Calibri"/>
          <w:szCs w:val="24"/>
          <w:lang w:eastAsia="en-US" w:bidi="he-IL"/>
        </w:rPr>
        <w:t xml:space="preserve">2025 metais </w:t>
      </w:r>
      <w:r w:rsidR="009D678E">
        <w:rPr>
          <w:rFonts w:eastAsia="Calibri"/>
          <w:szCs w:val="24"/>
          <w:lang w:eastAsia="en-US" w:bidi="he-IL"/>
        </w:rPr>
        <w:t>„</w:t>
      </w:r>
      <w:r w:rsidRPr="00D26788">
        <w:rPr>
          <w:rFonts w:eastAsia="Calibri"/>
          <w:szCs w:val="24"/>
          <w:lang w:eastAsia="en-US" w:bidi="he-IL"/>
        </w:rPr>
        <w:t>Tūkstantmečio mokyklų</w:t>
      </w:r>
      <w:r w:rsidR="009D678E">
        <w:rPr>
          <w:rFonts w:eastAsia="Calibri"/>
          <w:szCs w:val="24"/>
          <w:lang w:eastAsia="en-US" w:bidi="he-IL"/>
        </w:rPr>
        <w:t xml:space="preserve">“ (TŪM) </w:t>
      </w:r>
      <w:r w:rsidRPr="00D26788">
        <w:rPr>
          <w:rFonts w:eastAsia="Calibri"/>
          <w:szCs w:val="24"/>
          <w:lang w:eastAsia="en-US" w:bidi="he-IL"/>
        </w:rPr>
        <w:t>veiklose dalyvavo 11 gimnazijų ir 46</w:t>
      </w:r>
      <w:r w:rsidR="00011595">
        <w:rPr>
          <w:rFonts w:eastAsia="Calibri"/>
          <w:szCs w:val="24"/>
          <w:lang w:eastAsia="en-US" w:bidi="he-IL"/>
        </w:rPr>
        <w:t> </w:t>
      </w:r>
      <w:r w:rsidRPr="00D26788">
        <w:rPr>
          <w:rFonts w:eastAsia="Calibri"/>
          <w:szCs w:val="24"/>
          <w:lang w:eastAsia="en-US" w:bidi="he-IL"/>
        </w:rPr>
        <w:t>mokyklos, nuo programos pradžios apmokyta 300 programos dalyvių – pedagoginių darbuotojų ir tėvų, įvairiose veiklose jau dalyvavo daugiau kaip 20</w:t>
      </w:r>
      <w:r w:rsidR="00011595">
        <w:rPr>
          <w:rFonts w:eastAsia="Calibri"/>
          <w:szCs w:val="24"/>
          <w:lang w:eastAsia="en-US" w:bidi="he-IL"/>
        </w:rPr>
        <w:t xml:space="preserve"> </w:t>
      </w:r>
      <w:r w:rsidRPr="00D26788">
        <w:rPr>
          <w:rFonts w:eastAsia="Calibri"/>
          <w:szCs w:val="24"/>
          <w:lang w:eastAsia="en-US" w:bidi="he-IL"/>
        </w:rPr>
        <w:t>tūkst. mokinių, parengti 33 LEAN vidiniai ekspertai, 11 TŪM mokyklų įdiegtas LEAN metodas</w:t>
      </w:r>
      <w:r w:rsidR="00B32ADE">
        <w:rPr>
          <w:rFonts w:eastAsia="Calibri"/>
          <w:szCs w:val="24"/>
          <w:lang w:eastAsia="en-US" w:bidi="he-IL"/>
        </w:rPr>
        <w:t xml:space="preserve">. </w:t>
      </w:r>
      <w:r w:rsidRPr="00D26788">
        <w:rPr>
          <w:rFonts w:eastAsia="Calibri"/>
          <w:szCs w:val="24"/>
          <w:lang w:eastAsia="en-US" w:bidi="he-IL"/>
        </w:rPr>
        <w:t>2025 metais taip pat 1 gimnazija, 2</w:t>
      </w:r>
      <w:r w:rsidR="00011595">
        <w:rPr>
          <w:rFonts w:eastAsia="Calibri"/>
          <w:szCs w:val="24"/>
          <w:lang w:eastAsia="en-US" w:bidi="he-IL"/>
        </w:rPr>
        <w:t> </w:t>
      </w:r>
      <w:r w:rsidRPr="00D26788">
        <w:rPr>
          <w:rFonts w:eastAsia="Calibri"/>
          <w:szCs w:val="24"/>
          <w:lang w:eastAsia="en-US" w:bidi="he-IL"/>
        </w:rPr>
        <w:t xml:space="preserve">progimnazijos ir 79 mokytojai buvo parengti darbui pagal </w:t>
      </w:r>
      <w:r w:rsidR="009D678E">
        <w:rPr>
          <w:rFonts w:eastAsia="Calibri"/>
          <w:szCs w:val="24"/>
          <w:lang w:eastAsia="en-US" w:bidi="he-IL"/>
        </w:rPr>
        <w:t>„</w:t>
      </w:r>
      <w:r w:rsidRPr="00D26788">
        <w:rPr>
          <w:rFonts w:eastAsia="Calibri"/>
          <w:szCs w:val="24"/>
          <w:lang w:eastAsia="en-US" w:bidi="he-IL"/>
        </w:rPr>
        <w:t>Tarptautinio bakalaureato</w:t>
      </w:r>
      <w:r w:rsidR="009D678E">
        <w:rPr>
          <w:rFonts w:eastAsia="Calibri"/>
          <w:szCs w:val="24"/>
          <w:lang w:eastAsia="en-US" w:bidi="he-IL"/>
        </w:rPr>
        <w:t>“</w:t>
      </w:r>
      <w:r w:rsidRPr="00D26788">
        <w:rPr>
          <w:rFonts w:eastAsia="Calibri"/>
          <w:szCs w:val="24"/>
          <w:lang w:eastAsia="en-US" w:bidi="he-IL"/>
        </w:rPr>
        <w:t xml:space="preserve"> programą, o STEAM kryptyje 2025 metais įrengtos 24 laboratorijos ir parengtos 24 neformaliojo švietimo STEAM programos. Šie konkretūs rezultatai sustiprina ankstesnį teiginį, kad švietimo paslaugų plėtra Kaune 2025 metais buvo orientuota tiek į pasiekimų augimą, tiek į ilgalaikį ugdymo sistemos tvarumą.</w:t>
      </w:r>
      <w:r w:rsidR="00011595">
        <w:rPr>
          <w:rFonts w:eastAsia="Calibri"/>
          <w:szCs w:val="24"/>
          <w:lang w:eastAsia="en-US" w:bidi="he-IL"/>
        </w:rPr>
        <w:t xml:space="preserve"> </w:t>
      </w:r>
    </w:p>
    <w:p w14:paraId="2DEB06D1" w14:textId="414D50CB" w:rsidR="00BF547D" w:rsidRDefault="00BF547D" w:rsidP="00D26788">
      <w:pPr>
        <w:spacing w:line="360" w:lineRule="auto"/>
        <w:ind w:firstLine="1298"/>
        <w:jc w:val="both"/>
        <w:rPr>
          <w:rFonts w:eastAsia="Calibri"/>
          <w:szCs w:val="24"/>
          <w:lang w:eastAsia="en-US" w:bidi="he-IL"/>
        </w:rPr>
      </w:pPr>
      <w:r>
        <w:rPr>
          <w:rFonts w:eastAsia="Calibri"/>
          <w:szCs w:val="24"/>
          <w:lang w:eastAsia="en-US" w:bidi="he-IL"/>
        </w:rPr>
        <w:t xml:space="preserve">Taip pat Savivaldybės švietimo srityje </w:t>
      </w:r>
      <w:r w:rsidR="009A079B">
        <w:rPr>
          <w:rFonts w:eastAsia="Calibri"/>
          <w:szCs w:val="24"/>
          <w:lang w:eastAsia="en-US" w:bidi="he-IL"/>
        </w:rPr>
        <w:t xml:space="preserve">praėjusiais </w:t>
      </w:r>
      <w:r>
        <w:rPr>
          <w:rFonts w:eastAsia="Calibri"/>
          <w:szCs w:val="24"/>
          <w:lang w:eastAsia="en-US" w:bidi="he-IL"/>
        </w:rPr>
        <w:t>metais:</w:t>
      </w:r>
      <w:r w:rsidR="00011595">
        <w:rPr>
          <w:rFonts w:eastAsia="Calibri"/>
          <w:szCs w:val="24"/>
          <w:lang w:eastAsia="en-US" w:bidi="he-IL"/>
        </w:rPr>
        <w:t xml:space="preserve"> </w:t>
      </w:r>
    </w:p>
    <w:p w14:paraId="48DEC562" w14:textId="306FF5D9" w:rsidR="00BF547D" w:rsidRDefault="00BF547D" w:rsidP="00BF547D">
      <w:pPr>
        <w:spacing w:line="360" w:lineRule="auto"/>
        <w:ind w:firstLine="1298"/>
        <w:jc w:val="both"/>
        <w:rPr>
          <w:rFonts w:eastAsia="Aptos"/>
          <w:kern w:val="2"/>
          <w:szCs w:val="24"/>
          <w14:ligatures w14:val="standardContextual"/>
        </w:rPr>
      </w:pPr>
      <w:r>
        <w:rPr>
          <w:rFonts w:eastAsia="Aptos"/>
          <w:kern w:val="2"/>
          <w:szCs w:val="24"/>
          <w14:ligatures w14:val="standardContextual"/>
        </w:rPr>
        <w:t xml:space="preserve">užtikrintas BUM tinklo valdymo efektyvumas: </w:t>
      </w:r>
      <w:r w:rsidRPr="00F10850">
        <w:rPr>
          <w:rFonts w:eastAsia="Aptos"/>
          <w:kern w:val="2"/>
          <w:szCs w:val="24"/>
          <w14:ligatures w14:val="standardContextual"/>
        </w:rPr>
        <w:t>mokinių skaičius klasėje optimalus – didėjant mokinių skaičiui</w:t>
      </w:r>
      <w:r w:rsidR="00086087">
        <w:rPr>
          <w:rFonts w:eastAsia="Aptos"/>
          <w:kern w:val="2"/>
          <w:szCs w:val="24"/>
          <w14:ligatures w14:val="standardContextual"/>
        </w:rPr>
        <w:t>,</w:t>
      </w:r>
      <w:r w:rsidRPr="00F10850">
        <w:rPr>
          <w:rFonts w:eastAsia="Aptos"/>
          <w:kern w:val="2"/>
          <w:szCs w:val="24"/>
          <w14:ligatures w14:val="standardContextual"/>
        </w:rPr>
        <w:t xml:space="preserve"> mažėjo komplektų skaičius; sąlyginei mokytojo pareigybei tenkantis mokinių skaičius 10,</w:t>
      </w:r>
      <w:r>
        <w:rPr>
          <w:rFonts w:eastAsia="Aptos"/>
          <w:kern w:val="2"/>
          <w:szCs w:val="24"/>
          <w14:ligatures w14:val="standardContextual"/>
        </w:rPr>
        <w:t>7</w:t>
      </w:r>
      <w:r w:rsidRPr="00F10850">
        <w:rPr>
          <w:rFonts w:eastAsia="Aptos"/>
          <w:kern w:val="2"/>
          <w:szCs w:val="24"/>
          <w14:ligatures w14:val="standardContextual"/>
        </w:rPr>
        <w:t xml:space="preserve"> stabilus</w:t>
      </w:r>
      <w:r w:rsidR="00086087">
        <w:rPr>
          <w:rFonts w:eastAsia="Aptos"/>
          <w:kern w:val="2"/>
          <w:szCs w:val="24"/>
          <w14:ligatures w14:val="standardContextual"/>
        </w:rPr>
        <w:t>;</w:t>
      </w:r>
      <w:r w:rsidR="00011595">
        <w:rPr>
          <w:rFonts w:eastAsia="Aptos"/>
          <w:kern w:val="2"/>
          <w:szCs w:val="24"/>
          <w14:ligatures w14:val="standardContextual"/>
        </w:rPr>
        <w:t xml:space="preserve"> </w:t>
      </w:r>
    </w:p>
    <w:p w14:paraId="355C5F4C" w14:textId="3F9AF54D" w:rsidR="00086087" w:rsidRDefault="00396E04" w:rsidP="00BF547D">
      <w:pPr>
        <w:spacing w:line="360" w:lineRule="auto"/>
        <w:ind w:firstLine="1298"/>
        <w:jc w:val="both"/>
        <w:rPr>
          <w:rFonts w:eastAsia="Aptos"/>
          <w:kern w:val="2"/>
          <w:szCs w:val="24"/>
          <w14:ligatures w14:val="standardContextual"/>
        </w:rPr>
      </w:pPr>
      <w:r>
        <w:rPr>
          <w:rFonts w:eastAsia="Aptos"/>
          <w:kern w:val="2"/>
          <w:szCs w:val="24"/>
          <w14:ligatures w14:val="standardContextual"/>
        </w:rPr>
        <w:t>sėkmingai vykdyta</w:t>
      </w:r>
      <w:r w:rsidR="00086087">
        <w:rPr>
          <w:rFonts w:eastAsia="Aptos"/>
          <w:kern w:val="2"/>
          <w:szCs w:val="24"/>
          <w14:ligatures w14:val="standardContextual"/>
        </w:rPr>
        <w:t xml:space="preserve"> mokytojų pritraukimo ir skatinimo sistema;</w:t>
      </w:r>
      <w:r w:rsidR="00011595">
        <w:rPr>
          <w:rFonts w:eastAsia="Aptos"/>
          <w:kern w:val="2"/>
          <w:szCs w:val="24"/>
          <w14:ligatures w14:val="standardContextual"/>
        </w:rPr>
        <w:t xml:space="preserve"> </w:t>
      </w:r>
    </w:p>
    <w:p w14:paraId="08E7B636" w14:textId="78180FF9" w:rsidR="00086087" w:rsidRDefault="00086087" w:rsidP="00BF547D">
      <w:pPr>
        <w:spacing w:line="360" w:lineRule="auto"/>
        <w:ind w:firstLine="1298"/>
        <w:jc w:val="both"/>
        <w:rPr>
          <w:rFonts w:eastAsia="Aptos"/>
          <w:kern w:val="2"/>
          <w:szCs w:val="24"/>
          <w14:ligatures w14:val="standardContextual"/>
        </w:rPr>
      </w:pPr>
      <w:r>
        <w:rPr>
          <w:rFonts w:eastAsia="Aptos"/>
          <w:kern w:val="2"/>
          <w:szCs w:val="24"/>
          <w14:ligatures w14:val="standardContextual"/>
        </w:rPr>
        <w:t>mokiniams suteiktos</w:t>
      </w:r>
      <w:r w:rsidRPr="00086087">
        <w:rPr>
          <w:rFonts w:eastAsia="Aptos"/>
          <w:kern w:val="2"/>
          <w:szCs w:val="24"/>
          <w14:ligatures w14:val="standardContextual"/>
        </w:rPr>
        <w:t xml:space="preserve"> prieigos prie pažangios skaitmeninės matematikos platformos</w:t>
      </w:r>
      <w:r>
        <w:rPr>
          <w:rFonts w:eastAsia="Aptos"/>
          <w:kern w:val="2"/>
          <w:szCs w:val="24"/>
          <w14:ligatures w14:val="standardContextual"/>
        </w:rPr>
        <w:t>;</w:t>
      </w:r>
      <w:r w:rsidR="00011595">
        <w:rPr>
          <w:rFonts w:eastAsia="Aptos"/>
          <w:kern w:val="2"/>
          <w:szCs w:val="24"/>
          <w14:ligatures w14:val="standardContextual"/>
        </w:rPr>
        <w:t xml:space="preserve"> </w:t>
      </w:r>
    </w:p>
    <w:p w14:paraId="3F58FF5B" w14:textId="2F0C3BDD" w:rsidR="00396E04" w:rsidRDefault="00396E04" w:rsidP="00BF547D">
      <w:pPr>
        <w:spacing w:line="360" w:lineRule="auto"/>
        <w:ind w:firstLine="1298"/>
        <w:jc w:val="both"/>
        <w:rPr>
          <w:rFonts w:eastAsia="Aptos"/>
          <w:kern w:val="2"/>
          <w:szCs w:val="24"/>
          <w14:ligatures w14:val="standardContextual"/>
        </w:rPr>
      </w:pPr>
      <w:r>
        <w:rPr>
          <w:rFonts w:eastAsia="Aptos"/>
          <w:kern w:val="2"/>
          <w:szCs w:val="24"/>
          <w14:ligatures w14:val="standardContextual"/>
        </w:rPr>
        <w:t>įgyvendinant projektą „Ugdymo priemonės mokykloms“, paskirstyta daugiau kaip 4,4</w:t>
      </w:r>
      <w:r w:rsidR="00011595">
        <w:rPr>
          <w:rFonts w:eastAsia="Aptos"/>
          <w:kern w:val="2"/>
          <w:szCs w:val="24"/>
          <w14:ligatures w14:val="standardContextual"/>
        </w:rPr>
        <w:t> </w:t>
      </w:r>
      <w:r>
        <w:rPr>
          <w:rFonts w:eastAsia="Aptos"/>
          <w:kern w:val="2"/>
          <w:szCs w:val="24"/>
          <w14:ligatures w14:val="standardContextual"/>
        </w:rPr>
        <w:t>tūkst. vienetų nešiojamųjų kompiuterių</w:t>
      </w:r>
      <w:r w:rsidR="00DC1BBB">
        <w:rPr>
          <w:rFonts w:eastAsia="Aptos"/>
          <w:kern w:val="2"/>
          <w:szCs w:val="24"/>
          <w14:ligatures w14:val="standardContextual"/>
        </w:rPr>
        <w:t xml:space="preserve">, įdiegtos 5 kalbų laboratorijos, </w:t>
      </w:r>
      <w:r w:rsidR="00DC1BBB" w:rsidRPr="00F10850">
        <w:rPr>
          <w:rFonts w:eastAsia="Aptos"/>
          <w:kern w:val="2"/>
          <w:szCs w:val="24"/>
          <w14:ligatures w14:val="standardContextual"/>
        </w:rPr>
        <w:t xml:space="preserve">50 mokyklų </w:t>
      </w:r>
      <w:r w:rsidR="00DC1BBB">
        <w:rPr>
          <w:rFonts w:eastAsia="Aptos"/>
          <w:kern w:val="2"/>
          <w:szCs w:val="24"/>
          <w14:ligatures w14:val="standardContextual"/>
        </w:rPr>
        <w:t>pradėti</w:t>
      </w:r>
      <w:r w:rsidR="00DC1BBB" w:rsidRPr="00F10850">
        <w:rPr>
          <w:rFonts w:eastAsia="Aptos"/>
          <w:kern w:val="2"/>
          <w:szCs w:val="24"/>
          <w14:ligatures w14:val="standardContextual"/>
        </w:rPr>
        <w:t xml:space="preserve"> gamtos mokslų laboratorijų aprūpinim</w:t>
      </w:r>
      <w:r w:rsidR="00DC1BBB">
        <w:rPr>
          <w:rFonts w:eastAsia="Aptos"/>
          <w:kern w:val="2"/>
          <w:szCs w:val="24"/>
          <w14:ligatures w14:val="standardContextual"/>
        </w:rPr>
        <w:t>o reikiamomis</w:t>
      </w:r>
      <w:r w:rsidR="00DC1BBB" w:rsidRPr="00F10850">
        <w:rPr>
          <w:rFonts w:eastAsia="Aptos"/>
          <w:kern w:val="2"/>
          <w:szCs w:val="24"/>
          <w14:ligatures w14:val="standardContextual"/>
        </w:rPr>
        <w:t xml:space="preserve"> priemonėmis</w:t>
      </w:r>
      <w:r w:rsidR="00DC1BBB">
        <w:rPr>
          <w:rFonts w:eastAsia="Aptos"/>
          <w:kern w:val="2"/>
          <w:szCs w:val="24"/>
          <w14:ligatures w14:val="standardContextual"/>
        </w:rPr>
        <w:t xml:space="preserve"> procesai;</w:t>
      </w:r>
      <w:r w:rsidR="00011595">
        <w:rPr>
          <w:rFonts w:eastAsia="Aptos"/>
          <w:kern w:val="2"/>
          <w:szCs w:val="24"/>
          <w14:ligatures w14:val="standardContextual"/>
        </w:rPr>
        <w:t xml:space="preserve"> </w:t>
      </w:r>
    </w:p>
    <w:p w14:paraId="776515EF" w14:textId="303D9C21" w:rsidR="00DC1BBB" w:rsidRDefault="00DC1BBB" w:rsidP="00BF547D">
      <w:pPr>
        <w:spacing w:line="360" w:lineRule="auto"/>
        <w:ind w:firstLine="1298"/>
        <w:jc w:val="both"/>
        <w:rPr>
          <w:rFonts w:eastAsia="Aptos"/>
          <w:kern w:val="2"/>
          <w:szCs w:val="24"/>
          <w14:ligatures w14:val="standardContextual"/>
        </w:rPr>
      </w:pPr>
      <w:r>
        <w:rPr>
          <w:rFonts w:eastAsia="Aptos"/>
          <w:kern w:val="2"/>
          <w:szCs w:val="24"/>
          <w14:ligatures w14:val="standardContextual"/>
        </w:rPr>
        <w:t xml:space="preserve">tęsiant </w:t>
      </w:r>
      <w:r w:rsidRPr="00DC1BBB">
        <w:rPr>
          <w:rFonts w:eastAsia="Aptos"/>
          <w:kern w:val="2"/>
          <w:szCs w:val="24"/>
          <w14:ligatures w14:val="standardContextual"/>
        </w:rPr>
        <w:t>2024 m</w:t>
      </w:r>
      <w:r>
        <w:rPr>
          <w:rFonts w:eastAsia="Aptos"/>
          <w:kern w:val="2"/>
          <w:szCs w:val="24"/>
          <w14:ligatures w14:val="standardContextual"/>
        </w:rPr>
        <w:t xml:space="preserve">etais pradėtą </w:t>
      </w:r>
      <w:r w:rsidRPr="00DC1BBB">
        <w:rPr>
          <w:rFonts w:eastAsia="Aptos"/>
          <w:kern w:val="2"/>
          <w:szCs w:val="24"/>
          <w14:ligatures w14:val="standardContextual"/>
        </w:rPr>
        <w:t>projekt</w:t>
      </w:r>
      <w:r>
        <w:rPr>
          <w:rFonts w:eastAsia="Aptos"/>
          <w:kern w:val="2"/>
          <w:szCs w:val="24"/>
          <w14:ligatures w14:val="standardContextual"/>
        </w:rPr>
        <w:t>ą</w:t>
      </w:r>
      <w:r w:rsidRPr="00DC1BBB">
        <w:rPr>
          <w:rFonts w:eastAsia="Aptos"/>
          <w:kern w:val="2"/>
          <w:szCs w:val="24"/>
          <w14:ligatures w14:val="standardContextual"/>
        </w:rPr>
        <w:t xml:space="preserve"> „Galimybių mokykla“</w:t>
      </w:r>
      <w:r>
        <w:rPr>
          <w:rFonts w:eastAsia="Aptos"/>
          <w:kern w:val="2"/>
          <w:szCs w:val="24"/>
          <w14:ligatures w14:val="standardContextual"/>
        </w:rPr>
        <w:t xml:space="preserve">, sėkmingai organizuotas </w:t>
      </w:r>
      <w:r w:rsidRPr="00DC1BBB">
        <w:rPr>
          <w:rFonts w:eastAsia="Aptos"/>
          <w:kern w:val="2"/>
          <w:szCs w:val="24"/>
          <w14:ligatures w14:val="standardContextual"/>
        </w:rPr>
        <w:t>BUM</w:t>
      </w:r>
      <w:r>
        <w:rPr>
          <w:rFonts w:eastAsia="Aptos"/>
          <w:kern w:val="2"/>
          <w:szCs w:val="24"/>
          <w14:ligatures w14:val="standardContextual"/>
        </w:rPr>
        <w:t xml:space="preserve"> aprūpinimas</w:t>
      </w:r>
      <w:r w:rsidRPr="00DC1BBB">
        <w:rPr>
          <w:rFonts w:eastAsia="Aptos"/>
          <w:kern w:val="2"/>
          <w:szCs w:val="24"/>
          <w14:ligatures w14:val="standardContextual"/>
        </w:rPr>
        <w:t xml:space="preserve"> vadovėliais</w:t>
      </w:r>
      <w:r>
        <w:rPr>
          <w:rFonts w:eastAsia="Aptos"/>
          <w:kern w:val="2"/>
          <w:szCs w:val="24"/>
          <w14:ligatures w14:val="standardContextual"/>
        </w:rPr>
        <w:t>;</w:t>
      </w:r>
      <w:r w:rsidR="00011595">
        <w:rPr>
          <w:rFonts w:eastAsia="Aptos"/>
          <w:kern w:val="2"/>
          <w:szCs w:val="24"/>
          <w14:ligatures w14:val="standardContextual"/>
        </w:rPr>
        <w:t xml:space="preserve"> </w:t>
      </w:r>
    </w:p>
    <w:p w14:paraId="71C7640D" w14:textId="716AAC1A" w:rsidR="00063D2A" w:rsidRDefault="00DC1BBB" w:rsidP="00063D2A">
      <w:pPr>
        <w:spacing w:line="360" w:lineRule="auto"/>
        <w:ind w:firstLine="1298"/>
        <w:jc w:val="both"/>
        <w:rPr>
          <w:rFonts w:eastAsia="Aptos"/>
          <w:kern w:val="2"/>
          <w:szCs w:val="24"/>
          <w14:ligatures w14:val="standardContextual"/>
        </w:rPr>
      </w:pPr>
      <w:r>
        <w:rPr>
          <w:rFonts w:eastAsia="Aptos"/>
          <w:kern w:val="2"/>
          <w:szCs w:val="24"/>
          <w14:ligatures w14:val="standardContextual"/>
        </w:rPr>
        <w:lastRenderedPageBreak/>
        <w:t xml:space="preserve">43 švietimo įstaigose buvo tęsiamas </w:t>
      </w:r>
      <w:r w:rsidRPr="00F10850">
        <w:rPr>
          <w:rFonts w:eastAsia="Aptos"/>
          <w:kern w:val="2"/>
          <w:szCs w:val="24"/>
          <w14:ligatures w14:val="standardContextual"/>
        </w:rPr>
        <w:t>mokinių profesinio</w:t>
      </w:r>
      <w:r>
        <w:rPr>
          <w:rFonts w:eastAsia="Aptos"/>
          <w:kern w:val="2"/>
          <w:szCs w:val="24"/>
          <w14:ligatures w14:val="standardContextual"/>
        </w:rPr>
        <w:t xml:space="preserve"> </w:t>
      </w:r>
      <w:r w:rsidRPr="00F10850">
        <w:rPr>
          <w:rFonts w:eastAsia="Aptos"/>
          <w:kern w:val="2"/>
          <w:szCs w:val="24"/>
          <w14:ligatures w14:val="standardContextual"/>
        </w:rPr>
        <w:t>orientavimo projektas</w:t>
      </w:r>
      <w:r>
        <w:rPr>
          <w:rFonts w:eastAsia="Aptos"/>
          <w:kern w:val="2"/>
          <w:szCs w:val="24"/>
          <w14:ligatures w14:val="standardContextual"/>
        </w:rPr>
        <w:t>;</w:t>
      </w:r>
      <w:r w:rsidR="00011595">
        <w:rPr>
          <w:rFonts w:eastAsia="Aptos"/>
          <w:kern w:val="2"/>
          <w:szCs w:val="24"/>
          <w14:ligatures w14:val="standardContextual"/>
        </w:rPr>
        <w:t xml:space="preserve"> </w:t>
      </w:r>
    </w:p>
    <w:p w14:paraId="0E12934C" w14:textId="0849EDD1" w:rsidR="00716B5C" w:rsidRDefault="00716B5C" w:rsidP="00063D2A">
      <w:pPr>
        <w:spacing w:line="360" w:lineRule="auto"/>
        <w:ind w:firstLine="1298"/>
        <w:jc w:val="both"/>
        <w:rPr>
          <w:rFonts w:eastAsia="Aptos"/>
          <w:kern w:val="2"/>
          <w:szCs w:val="24"/>
          <w14:ligatures w14:val="standardContextual"/>
        </w:rPr>
      </w:pPr>
      <w:r>
        <w:rPr>
          <w:rFonts w:eastAsia="Aptos"/>
          <w:kern w:val="2"/>
          <w:szCs w:val="24"/>
          <w14:ligatures w14:val="standardContextual"/>
        </w:rPr>
        <w:t xml:space="preserve">sėkmingai vykdyti įtraukties ir prieinamumo didinimo projektai </w:t>
      </w:r>
      <w:r w:rsidRPr="00F10850">
        <w:rPr>
          <w:rFonts w:eastAsia="Aptos"/>
          <w:kern w:val="2"/>
          <w:szCs w:val="24"/>
          <w14:ligatures w14:val="standardContextual"/>
        </w:rPr>
        <w:t>„Įtrauktis: visiems ir kiekvienam“</w:t>
      </w:r>
      <w:r>
        <w:rPr>
          <w:rFonts w:eastAsia="Aptos"/>
          <w:kern w:val="2"/>
          <w:szCs w:val="24"/>
          <w14:ligatures w14:val="standardContextual"/>
        </w:rPr>
        <w:t xml:space="preserve">, </w:t>
      </w:r>
      <w:r w:rsidRPr="00002BC5">
        <w:rPr>
          <w:rFonts w:eastAsia="Aptos"/>
          <w:kern w:val="2"/>
          <w:szCs w:val="24"/>
          <w14:ligatures w14:val="standardContextual"/>
        </w:rPr>
        <w:t>„Švietimo pagalbos ir koordinuotai teikiamų paslaugų užtikrinimas Kauno mieste“</w:t>
      </w:r>
      <w:r w:rsidR="008C6117">
        <w:rPr>
          <w:rFonts w:eastAsia="Aptos"/>
          <w:kern w:val="2"/>
          <w:szCs w:val="24"/>
          <w14:ligatures w14:val="standardContextual"/>
        </w:rPr>
        <w:t>;</w:t>
      </w:r>
      <w:r w:rsidR="00011595">
        <w:rPr>
          <w:rFonts w:eastAsia="Aptos"/>
          <w:kern w:val="2"/>
          <w:szCs w:val="24"/>
          <w14:ligatures w14:val="standardContextual"/>
        </w:rPr>
        <w:t xml:space="preserve"> </w:t>
      </w:r>
    </w:p>
    <w:p w14:paraId="099035C7" w14:textId="5D1B2C28" w:rsidR="00B32ADE" w:rsidRDefault="00B32ADE" w:rsidP="00063D2A">
      <w:pPr>
        <w:spacing w:line="360" w:lineRule="auto"/>
        <w:ind w:firstLine="1298"/>
        <w:jc w:val="both"/>
        <w:rPr>
          <w:rFonts w:eastAsia="Aptos"/>
          <w:kern w:val="2"/>
          <w:szCs w:val="24"/>
          <w14:ligatures w14:val="standardContextual"/>
        </w:rPr>
      </w:pPr>
      <w:r>
        <w:rPr>
          <w:rFonts w:eastAsia="Aptos"/>
          <w:kern w:val="2"/>
          <w:szCs w:val="24"/>
          <w14:ligatures w14:val="standardContextual"/>
        </w:rPr>
        <w:t>veikė 20 atvirųjų klasių;</w:t>
      </w:r>
      <w:r w:rsidR="00011595">
        <w:rPr>
          <w:rFonts w:eastAsia="Aptos"/>
          <w:kern w:val="2"/>
          <w:szCs w:val="24"/>
          <w14:ligatures w14:val="standardContextual"/>
        </w:rPr>
        <w:t xml:space="preserve"> </w:t>
      </w:r>
    </w:p>
    <w:p w14:paraId="62A0D19A" w14:textId="67F3993D" w:rsidR="008C6117" w:rsidRDefault="00B32ADE" w:rsidP="00063D2A">
      <w:pPr>
        <w:spacing w:line="360" w:lineRule="auto"/>
        <w:ind w:firstLine="1298"/>
        <w:jc w:val="both"/>
        <w:rPr>
          <w:rFonts w:eastAsia="Aptos"/>
          <w:kern w:val="2"/>
          <w:szCs w:val="24"/>
          <w14:ligatures w14:val="standardContextual"/>
        </w:rPr>
      </w:pPr>
      <w:r>
        <w:rPr>
          <w:rFonts w:eastAsia="Aptos"/>
          <w:kern w:val="2"/>
          <w:szCs w:val="24"/>
          <w14:ligatures w14:val="standardContextual"/>
        </w:rPr>
        <w:t>dėmesio sulaukė</w:t>
      </w:r>
      <w:r w:rsidR="008C6117">
        <w:rPr>
          <w:rFonts w:eastAsia="Aptos"/>
          <w:kern w:val="2"/>
          <w:szCs w:val="24"/>
          <w14:ligatures w14:val="standardContextual"/>
        </w:rPr>
        <w:t xml:space="preserve"> </w:t>
      </w:r>
      <w:r w:rsidR="008C6117" w:rsidRPr="008C6117">
        <w:rPr>
          <w:rFonts w:eastAsia="Aptos"/>
          <w:kern w:val="2"/>
          <w:szCs w:val="24"/>
          <w14:ligatures w14:val="standardContextual"/>
        </w:rPr>
        <w:t>tarpdisciplinin</w:t>
      </w:r>
      <w:r w:rsidR="008C6117">
        <w:rPr>
          <w:rFonts w:eastAsia="Aptos"/>
          <w:kern w:val="2"/>
          <w:szCs w:val="24"/>
          <w14:ligatures w14:val="standardContextual"/>
        </w:rPr>
        <w:t>is</w:t>
      </w:r>
      <w:r w:rsidR="008C6117" w:rsidRPr="008C6117">
        <w:rPr>
          <w:rFonts w:eastAsia="Aptos"/>
          <w:kern w:val="2"/>
          <w:szCs w:val="24"/>
          <w14:ligatures w14:val="standardContextual"/>
        </w:rPr>
        <w:t xml:space="preserve"> projekt</w:t>
      </w:r>
      <w:r w:rsidR="008C6117">
        <w:rPr>
          <w:rFonts w:eastAsia="Aptos"/>
          <w:kern w:val="2"/>
          <w:szCs w:val="24"/>
          <w14:ligatures w14:val="standardContextual"/>
        </w:rPr>
        <w:t>as</w:t>
      </w:r>
      <w:r w:rsidR="008C6117" w:rsidRPr="008C6117">
        <w:rPr>
          <w:rFonts w:eastAsia="Aptos"/>
          <w:kern w:val="2"/>
          <w:szCs w:val="24"/>
          <w14:ligatures w14:val="standardContextual"/>
        </w:rPr>
        <w:t xml:space="preserve"> „Matematika dailėje</w:t>
      </w:r>
      <w:r w:rsidR="008C6117">
        <w:rPr>
          <w:rFonts w:eastAsia="Aptos"/>
          <w:kern w:val="2"/>
          <w:szCs w:val="24"/>
          <w14:ligatures w14:val="standardContextual"/>
        </w:rPr>
        <w:t xml:space="preserve"> </w:t>
      </w:r>
      <w:r w:rsidR="00011595">
        <w:rPr>
          <w:rFonts w:eastAsia="Aptos"/>
          <w:kern w:val="2"/>
          <w:szCs w:val="24"/>
          <w14:ligatures w14:val="standardContextual"/>
        </w:rPr>
        <w:t>–</w:t>
      </w:r>
      <w:r w:rsidR="008C6117">
        <w:rPr>
          <w:rFonts w:eastAsia="Aptos"/>
          <w:kern w:val="2"/>
          <w:szCs w:val="24"/>
          <w14:ligatures w14:val="standardContextual"/>
        </w:rPr>
        <w:t xml:space="preserve"> </w:t>
      </w:r>
      <w:r w:rsidR="008C6117" w:rsidRPr="008C6117">
        <w:rPr>
          <w:rFonts w:eastAsia="Aptos"/>
          <w:kern w:val="2"/>
          <w:szCs w:val="24"/>
          <w14:ligatures w14:val="standardContextual"/>
        </w:rPr>
        <w:t>dailė matematikoje (MaDa</w:t>
      </w:r>
      <w:r w:rsidR="00661452">
        <w:rPr>
          <w:rFonts w:eastAsia="Aptos"/>
          <w:kern w:val="2"/>
          <w:szCs w:val="24"/>
          <w14:ligatures w14:val="standardContextual"/>
        </w:rPr>
        <w:t xml:space="preserve"> – </w:t>
      </w:r>
      <w:r w:rsidR="008C6117" w:rsidRPr="008C6117">
        <w:rPr>
          <w:rFonts w:eastAsia="Aptos"/>
          <w:kern w:val="2"/>
          <w:szCs w:val="24"/>
          <w14:ligatures w14:val="standardContextual"/>
        </w:rPr>
        <w:t xml:space="preserve">DaMa)“ </w:t>
      </w:r>
      <w:r w:rsidR="00011595">
        <w:rPr>
          <w:rFonts w:eastAsia="Aptos"/>
          <w:kern w:val="2"/>
          <w:szCs w:val="24"/>
          <w14:ligatures w14:val="standardContextual"/>
        </w:rPr>
        <w:t>–</w:t>
      </w:r>
      <w:r w:rsidR="008C6117" w:rsidRPr="008C6117">
        <w:rPr>
          <w:rFonts w:eastAsia="Aptos"/>
          <w:kern w:val="2"/>
          <w:szCs w:val="24"/>
          <w14:ligatures w14:val="standardContextual"/>
        </w:rPr>
        <w:t xml:space="preserve"> naujų meninių veiklų įgyvendinimas, prisidedant prie vienos didžiausių švietimo aktualijų mieste ir šalyje įgyvendinimo – matematinio mąstymo ugdymo ir mokymosi rezultatų gerinimo</w:t>
      </w:r>
      <w:r w:rsidR="008C6117">
        <w:rPr>
          <w:rFonts w:eastAsia="Aptos"/>
          <w:kern w:val="2"/>
          <w:szCs w:val="24"/>
          <w14:ligatures w14:val="standardContextual"/>
        </w:rPr>
        <w:t>;</w:t>
      </w:r>
      <w:r w:rsidR="00011595">
        <w:rPr>
          <w:rFonts w:eastAsia="Aptos"/>
          <w:kern w:val="2"/>
          <w:szCs w:val="24"/>
          <w14:ligatures w14:val="standardContextual"/>
        </w:rPr>
        <w:t xml:space="preserve"> </w:t>
      </w:r>
    </w:p>
    <w:p w14:paraId="238B141C" w14:textId="1B5BC07D" w:rsidR="00063D2A" w:rsidRPr="00F10850" w:rsidRDefault="00063D2A" w:rsidP="00063D2A">
      <w:pPr>
        <w:spacing w:line="360" w:lineRule="auto"/>
        <w:ind w:firstLine="1298"/>
        <w:jc w:val="both"/>
        <w:rPr>
          <w:rFonts w:eastAsia="Aptos"/>
          <w:kern w:val="2"/>
          <w:szCs w:val="24"/>
          <w14:ligatures w14:val="standardContextual"/>
        </w:rPr>
      </w:pPr>
      <w:r>
        <w:rPr>
          <w:rFonts w:eastAsia="Aptos"/>
          <w:kern w:val="2"/>
          <w:szCs w:val="24"/>
          <w14:ligatures w14:val="standardContextual"/>
        </w:rPr>
        <w:t xml:space="preserve">investuota į švietimo įstaigų infrastruktūros atnaujinimą: </w:t>
      </w:r>
      <w:r w:rsidRPr="00F10850">
        <w:rPr>
          <w:rFonts w:eastAsia="Aptos"/>
          <w:kern w:val="2"/>
          <w:szCs w:val="24"/>
          <w14:ligatures w14:val="standardContextual"/>
        </w:rPr>
        <w:t>baigtas kapitalinis pastato remontas Kauno Miko Petrausko scenos menų mokykloje, Parodos g. 26</w:t>
      </w:r>
      <w:r w:rsidR="00716B5C">
        <w:rPr>
          <w:rFonts w:eastAsia="Aptos"/>
          <w:kern w:val="2"/>
          <w:szCs w:val="24"/>
          <w14:ligatures w14:val="standardContextual"/>
        </w:rPr>
        <w:t xml:space="preserve">, </w:t>
      </w:r>
      <w:r w:rsidRPr="00F10850">
        <w:rPr>
          <w:rFonts w:eastAsia="Aptos"/>
          <w:kern w:val="2"/>
          <w:szCs w:val="24"/>
          <w14:ligatures w14:val="standardContextual"/>
        </w:rPr>
        <w:t>suremontuotos 6</w:t>
      </w:r>
      <w:r w:rsidR="0059460C">
        <w:rPr>
          <w:rFonts w:eastAsia="Aptos"/>
          <w:kern w:val="2"/>
          <w:szCs w:val="24"/>
          <w14:ligatures w14:val="standardContextual"/>
        </w:rPr>
        <w:t> </w:t>
      </w:r>
      <w:r w:rsidRPr="00F10850">
        <w:rPr>
          <w:rFonts w:eastAsia="Aptos"/>
          <w:kern w:val="2"/>
          <w:szCs w:val="24"/>
          <w14:ligatures w14:val="standardContextual"/>
        </w:rPr>
        <w:t xml:space="preserve">įstaigų virtuvės, 4 įstaigų sporto salės, 12 darželių įrengtos kondicionavimo sistemos, </w:t>
      </w:r>
      <w:r>
        <w:rPr>
          <w:rFonts w:eastAsia="Aptos"/>
          <w:kern w:val="2"/>
          <w:szCs w:val="24"/>
          <w14:ligatures w14:val="standardContextual"/>
        </w:rPr>
        <w:t>25</w:t>
      </w:r>
      <w:r w:rsidRPr="00F10850">
        <w:rPr>
          <w:rFonts w:eastAsia="Aptos"/>
          <w:kern w:val="2"/>
          <w:szCs w:val="24"/>
          <w14:ligatures w14:val="standardContextual"/>
        </w:rPr>
        <w:t xml:space="preserve"> švietimo įstaigose</w:t>
      </w:r>
      <w:r w:rsidRPr="00063D2A">
        <w:rPr>
          <w:rFonts w:eastAsia="Aptos"/>
          <w:kern w:val="2"/>
          <w:szCs w:val="24"/>
          <w14:ligatures w14:val="standardContextual"/>
        </w:rPr>
        <w:t xml:space="preserve"> </w:t>
      </w:r>
      <w:r w:rsidRPr="00F10850">
        <w:rPr>
          <w:rFonts w:eastAsia="Aptos"/>
          <w:kern w:val="2"/>
          <w:szCs w:val="24"/>
          <w14:ligatures w14:val="standardContextual"/>
        </w:rPr>
        <w:t>atlikti teritorijos tvarkymo darbai, baigta vieno stadiono</w:t>
      </w:r>
      <w:r>
        <w:rPr>
          <w:rFonts w:eastAsia="Aptos"/>
          <w:kern w:val="2"/>
          <w:szCs w:val="24"/>
          <w14:ligatures w14:val="standardContextual"/>
        </w:rPr>
        <w:t xml:space="preserve"> </w:t>
      </w:r>
      <w:r w:rsidR="00661452">
        <w:rPr>
          <w:rFonts w:eastAsia="Aptos"/>
          <w:kern w:val="2"/>
          <w:szCs w:val="24"/>
          <w14:ligatures w14:val="standardContextual"/>
        </w:rPr>
        <w:t xml:space="preserve">ir </w:t>
      </w:r>
      <w:r w:rsidRPr="00F10850">
        <w:rPr>
          <w:rFonts w:eastAsia="Aptos"/>
          <w:kern w:val="2"/>
          <w:szCs w:val="24"/>
          <w14:ligatures w14:val="standardContextual"/>
        </w:rPr>
        <w:t xml:space="preserve">sporto aikštyno rekonstrukcija, rekonstruojami dar 4, apšiltinta 20 pastatų, 7 įstaigų apšiltintas stogas, atliktas 5 įstaigų </w:t>
      </w:r>
      <w:r w:rsidR="00011595">
        <w:rPr>
          <w:rFonts w:eastAsia="Aptos"/>
          <w:kern w:val="2"/>
          <w:szCs w:val="24"/>
          <w14:ligatures w14:val="standardContextual"/>
        </w:rPr>
        <w:t xml:space="preserve">visiškas </w:t>
      </w:r>
      <w:r w:rsidRPr="00F10850">
        <w:rPr>
          <w:rFonts w:eastAsia="Aptos"/>
          <w:kern w:val="2"/>
          <w:szCs w:val="24"/>
          <w14:ligatures w14:val="standardContextual"/>
        </w:rPr>
        <w:t>elektrotechnikos remontas,</w:t>
      </w:r>
      <w:r w:rsidR="00011595">
        <w:rPr>
          <w:rFonts w:eastAsia="Aptos"/>
          <w:kern w:val="2"/>
          <w:szCs w:val="24"/>
          <w14:ligatures w14:val="standardContextual"/>
        </w:rPr>
        <w:t xml:space="preserve"> </w:t>
      </w:r>
      <w:r w:rsidR="00011595" w:rsidRPr="00F10850">
        <w:rPr>
          <w:rFonts w:eastAsia="Aptos"/>
          <w:kern w:val="2"/>
          <w:szCs w:val="24"/>
          <w14:ligatures w14:val="standardContextual"/>
        </w:rPr>
        <w:t>atnaujintos</w:t>
      </w:r>
      <w:r w:rsidRPr="00F10850">
        <w:rPr>
          <w:rFonts w:eastAsia="Aptos"/>
          <w:kern w:val="2"/>
          <w:szCs w:val="24"/>
          <w14:ligatures w14:val="standardContextual"/>
        </w:rPr>
        <w:t xml:space="preserve"> 4 įstaigų šildymo sistemos</w:t>
      </w:r>
      <w:r w:rsidR="00A87E23">
        <w:rPr>
          <w:rFonts w:eastAsia="Aptos"/>
          <w:kern w:val="2"/>
          <w:szCs w:val="24"/>
          <w14:ligatures w14:val="standardContextual"/>
        </w:rPr>
        <w:t>.</w:t>
      </w:r>
      <w:r w:rsidR="00011595">
        <w:rPr>
          <w:rFonts w:eastAsia="Aptos"/>
          <w:kern w:val="2"/>
          <w:szCs w:val="24"/>
          <w14:ligatures w14:val="standardContextual"/>
        </w:rPr>
        <w:t xml:space="preserve"> </w:t>
      </w:r>
    </w:p>
    <w:p w14:paraId="69BBD287" w14:textId="55D4DB1E"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Ne mažiau svarbus buvo ir mokinių užimtumas bei prevencinės priemonės. 2025</w:t>
      </w:r>
      <w:r w:rsidR="00011595">
        <w:rPr>
          <w:rFonts w:eastAsia="Calibri"/>
          <w:szCs w:val="24"/>
          <w:lang w:eastAsia="en-US" w:bidi="he-IL"/>
        </w:rPr>
        <w:t> </w:t>
      </w:r>
      <w:r w:rsidRPr="00D26788">
        <w:rPr>
          <w:rFonts w:eastAsia="Calibri"/>
          <w:szCs w:val="24"/>
          <w:lang w:eastAsia="en-US" w:bidi="he-IL"/>
        </w:rPr>
        <w:t xml:space="preserve">metais vasaros stovyklose dalyvavo 3923 mokiniai, iš jų 34 proc. buvo jautresnėje socialinėje situacijoje esantys vaikai; papildomai biudžetinių neformaliojo ugdymo mokyklų organizuojamose stovyklose dalyvavo 392 mokiniai, o 2–4 valandų nemokamuose vasaros užsiėmimuose – </w:t>
      </w:r>
      <w:r w:rsidRPr="00D26788">
        <w:rPr>
          <w:rFonts w:eastAsia="Calibri"/>
          <w:bCs/>
          <w:szCs w:val="24"/>
          <w:lang w:eastAsia="en-US" w:bidi="he-IL"/>
        </w:rPr>
        <w:t>1</w:t>
      </w:r>
      <w:r w:rsidR="00011595">
        <w:rPr>
          <w:rFonts w:eastAsia="Calibri"/>
          <w:bCs/>
          <w:szCs w:val="24"/>
          <w:lang w:eastAsia="en-US" w:bidi="he-IL"/>
        </w:rPr>
        <w:t> </w:t>
      </w:r>
      <w:r w:rsidRPr="00D26788">
        <w:rPr>
          <w:rFonts w:eastAsia="Calibri"/>
          <w:bCs/>
          <w:szCs w:val="24"/>
          <w:lang w:eastAsia="en-US" w:bidi="he-IL"/>
        </w:rPr>
        <w:t>180</w:t>
      </w:r>
      <w:r w:rsidR="00011595">
        <w:rPr>
          <w:rFonts w:eastAsia="Calibri"/>
          <w:bCs/>
          <w:szCs w:val="24"/>
          <w:lang w:eastAsia="en-US" w:bidi="he-IL"/>
        </w:rPr>
        <w:t> </w:t>
      </w:r>
      <w:r w:rsidRPr="00D26788">
        <w:rPr>
          <w:rFonts w:eastAsia="Calibri"/>
          <w:bCs/>
          <w:szCs w:val="24"/>
          <w:lang w:eastAsia="en-US" w:bidi="he-IL"/>
        </w:rPr>
        <w:t>mokinių. Tais pačiais metais 45 gimnazijose ir progimnazijose buvo sėkmingai užbaigtas elektroninių</w:t>
      </w:r>
      <w:r w:rsidRPr="00D26788">
        <w:rPr>
          <w:rFonts w:eastAsia="Calibri"/>
          <w:szCs w:val="24"/>
          <w:lang w:eastAsia="en-US" w:bidi="he-IL"/>
        </w:rPr>
        <w:t xml:space="preserve"> cigarečių, vadinamųjų </w:t>
      </w:r>
      <w:r w:rsidRPr="00E9250B">
        <w:rPr>
          <w:rFonts w:eastAsia="Calibri"/>
          <w:i/>
          <w:szCs w:val="24"/>
          <w:lang w:eastAsia="en-US" w:bidi="he-IL"/>
        </w:rPr>
        <w:t>veipų</w:t>
      </w:r>
      <w:r w:rsidRPr="00D26788">
        <w:rPr>
          <w:rFonts w:eastAsia="Calibri"/>
          <w:szCs w:val="24"/>
          <w:lang w:eastAsia="en-US" w:bidi="he-IL"/>
        </w:rPr>
        <w:t>, prevencijos priemonių</w:t>
      </w:r>
      <w:r w:rsidR="00C06E2D">
        <w:rPr>
          <w:rFonts w:eastAsia="Calibri"/>
          <w:szCs w:val="24"/>
          <w:lang w:eastAsia="en-US" w:bidi="he-IL"/>
        </w:rPr>
        <w:t xml:space="preserve">, skirtų </w:t>
      </w:r>
      <w:r w:rsidR="00C06E2D" w:rsidRPr="00D26788">
        <w:rPr>
          <w:rFonts w:eastAsia="Calibri"/>
          <w:szCs w:val="24"/>
          <w:lang w:eastAsia="en-US" w:bidi="he-IL"/>
        </w:rPr>
        <w:t>ankstyvajai žalingų įpročių prevencijai</w:t>
      </w:r>
      <w:r w:rsidR="00C06E2D">
        <w:rPr>
          <w:rFonts w:eastAsia="Calibri"/>
          <w:szCs w:val="24"/>
          <w:lang w:eastAsia="en-US" w:bidi="he-IL"/>
        </w:rPr>
        <w:t>,</w:t>
      </w:r>
      <w:r w:rsidR="00C06E2D" w:rsidRPr="00D26788">
        <w:rPr>
          <w:rFonts w:eastAsia="Calibri"/>
          <w:szCs w:val="24"/>
          <w:lang w:eastAsia="en-US" w:bidi="he-IL"/>
        </w:rPr>
        <w:t xml:space="preserve"> </w:t>
      </w:r>
      <w:r w:rsidRPr="00D26788">
        <w:rPr>
          <w:rFonts w:eastAsia="Calibri"/>
          <w:szCs w:val="24"/>
          <w:lang w:eastAsia="en-US" w:bidi="he-IL"/>
        </w:rPr>
        <w:t>diegimas</w:t>
      </w:r>
      <w:r w:rsidR="00C06E2D">
        <w:rPr>
          <w:rFonts w:eastAsia="Calibri"/>
          <w:szCs w:val="24"/>
          <w:lang w:eastAsia="en-US" w:bidi="he-IL"/>
        </w:rPr>
        <w:t>.</w:t>
      </w:r>
      <w:r w:rsidR="00A87E23">
        <w:rPr>
          <w:rFonts w:eastAsia="Calibri"/>
          <w:szCs w:val="24"/>
          <w:lang w:eastAsia="en-US" w:bidi="he-IL"/>
        </w:rPr>
        <w:t xml:space="preserve"> P</w:t>
      </w:r>
      <w:r w:rsidR="00A87E23" w:rsidRPr="00A87E23">
        <w:rPr>
          <w:rFonts w:eastAsia="Calibri"/>
          <w:szCs w:val="24"/>
          <w:lang w:eastAsia="en-US" w:bidi="he-IL"/>
        </w:rPr>
        <w:t>radėtas nuosekl</w:t>
      </w:r>
      <w:r w:rsidR="00A87E23">
        <w:rPr>
          <w:rFonts w:eastAsia="Calibri"/>
          <w:szCs w:val="24"/>
          <w:lang w:eastAsia="en-US" w:bidi="he-IL"/>
        </w:rPr>
        <w:t>a</w:t>
      </w:r>
      <w:r w:rsidR="00A87E23" w:rsidRPr="00A87E23">
        <w:rPr>
          <w:rFonts w:eastAsia="Calibri"/>
          <w:szCs w:val="24"/>
          <w:lang w:eastAsia="en-US" w:bidi="he-IL"/>
        </w:rPr>
        <w:t>us mokyklų aprūpinim</w:t>
      </w:r>
      <w:r w:rsidR="00A87E23">
        <w:rPr>
          <w:rFonts w:eastAsia="Calibri"/>
          <w:szCs w:val="24"/>
          <w:lang w:eastAsia="en-US" w:bidi="he-IL"/>
        </w:rPr>
        <w:t>o</w:t>
      </w:r>
      <w:r w:rsidR="00A87E23" w:rsidRPr="00A87E23">
        <w:rPr>
          <w:rFonts w:eastAsia="Calibri"/>
          <w:szCs w:val="24"/>
          <w:lang w:eastAsia="en-US" w:bidi="he-IL"/>
        </w:rPr>
        <w:t xml:space="preserve"> vaizdo stebėjimo sistemomis</w:t>
      </w:r>
      <w:r w:rsidR="00A87E23">
        <w:rPr>
          <w:rFonts w:eastAsia="Calibri"/>
          <w:szCs w:val="24"/>
          <w:lang w:eastAsia="en-US" w:bidi="he-IL"/>
        </w:rPr>
        <w:t xml:space="preserve"> įgyvendinimas.</w:t>
      </w:r>
      <w:r w:rsidR="00C06E2D">
        <w:rPr>
          <w:rFonts w:eastAsia="Calibri"/>
          <w:szCs w:val="24"/>
          <w:lang w:eastAsia="en-US" w:bidi="he-IL"/>
        </w:rPr>
        <w:t xml:space="preserve"> </w:t>
      </w:r>
      <w:r w:rsidRPr="00D26788">
        <w:rPr>
          <w:rFonts w:eastAsia="Calibri"/>
          <w:szCs w:val="24"/>
          <w:lang w:eastAsia="en-US" w:bidi="he-IL"/>
        </w:rPr>
        <w:t xml:space="preserve"> Tai rodo, kad paslaugų miestiečiams srityje 2025 metais buvo derinamas ugdymo kokybės, saugumo ir vaikų užimtumo tikslas.</w:t>
      </w:r>
      <w:r w:rsidR="00011595">
        <w:rPr>
          <w:rFonts w:eastAsia="Calibri"/>
          <w:szCs w:val="24"/>
          <w:lang w:eastAsia="en-US" w:bidi="he-IL"/>
        </w:rPr>
        <w:t xml:space="preserve"> </w:t>
      </w:r>
    </w:p>
    <w:p w14:paraId="046FD25C" w14:textId="65D34B6D"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2025 m</w:t>
      </w:r>
      <w:r w:rsidR="00675635">
        <w:rPr>
          <w:rFonts w:eastAsia="Calibri"/>
          <w:szCs w:val="24"/>
          <w:lang w:eastAsia="en-US" w:bidi="he-IL"/>
        </w:rPr>
        <w:t>etais</w:t>
      </w:r>
      <w:r w:rsidRPr="00C175E2">
        <w:rPr>
          <w:rFonts w:eastAsia="Calibri"/>
          <w:szCs w:val="24"/>
          <w:lang w:eastAsia="en-US" w:bidi="he-IL"/>
        </w:rPr>
        <w:t xml:space="preserve"> Kauno miesto savivaldybė toliau nuosekliai investavo į sporto infrastruktūros plėtrą, sporto paslaugų kokybės gerinimą ir gyventojų fizinio aktyvumo skatinimą. Buvo tęsiami tiek naujų sporto objektų kūrimo, tiek esamų erdvių modernizavimo darbai, gerinant sąlygas vaikų, jaunimo, mėgėjų ir aukšto meistriškumo sportininkų ugdymui bei aktyviam miestiečių laisvalaikiui.</w:t>
      </w:r>
      <w:r w:rsidR="00011595">
        <w:rPr>
          <w:rFonts w:eastAsia="Calibri"/>
          <w:szCs w:val="24"/>
          <w:lang w:eastAsia="en-US" w:bidi="he-IL"/>
        </w:rPr>
        <w:t xml:space="preserve"> </w:t>
      </w:r>
    </w:p>
    <w:p w14:paraId="50E5D460" w14:textId="638F0FA0"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 xml:space="preserve">Vienu svarbiausių metų sporto infrastruktūros projektų tapo 2025 m. gegužę atidarytas Prezidento Valdo Adamkaus lengvosios atletikos maniežas, perduotas valdyti sporto mokyklai „Startas“. Tai moderniausias tokio tipo objektas Baltijos šalyse, sudarantis aukšto lygio sąlygas tiek pradedantiesiems, tiek profesionaliems sportininkams. Naujojo maniežo atidarymas </w:t>
      </w:r>
      <w:r w:rsidRPr="00C175E2">
        <w:rPr>
          <w:rFonts w:eastAsia="Calibri"/>
          <w:szCs w:val="24"/>
          <w:lang w:eastAsia="en-US" w:bidi="he-IL"/>
        </w:rPr>
        <w:lastRenderedPageBreak/>
        <w:t>prisidėjo prie lengvąją atletiką sportuojančių vaikų skaičiaus augimo. Manieže taip pat pradėjo veikti nauja treniruoklių salė, kuria naudojasi įvairių sporto šakų atstovai ir miesto gyventojai.</w:t>
      </w:r>
      <w:r w:rsidR="00661452">
        <w:rPr>
          <w:rFonts w:eastAsia="Calibri"/>
          <w:szCs w:val="24"/>
          <w:lang w:eastAsia="en-US" w:bidi="he-IL"/>
        </w:rPr>
        <w:t xml:space="preserve"> </w:t>
      </w:r>
    </w:p>
    <w:p w14:paraId="1C1143F7" w14:textId="420B72FD"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2025 m. rugsėjo mėn. atidarytas rekonstruotas baseinas „Šilainiai“, kurio bendrasis plotas padidėjo nuo 1,9 tūkst. kv. m iki 2,6 tūkst. kv. m. Baseine įrengti aštuoni 25 metrų ilgio ir 2</w:t>
      </w:r>
      <w:r w:rsidR="00011595">
        <w:rPr>
          <w:rFonts w:eastAsia="Calibri"/>
          <w:szCs w:val="24"/>
          <w:lang w:eastAsia="en-US" w:bidi="he-IL"/>
        </w:rPr>
        <w:t> </w:t>
      </w:r>
      <w:r w:rsidRPr="00C175E2">
        <w:rPr>
          <w:rFonts w:eastAsia="Calibri"/>
          <w:szCs w:val="24"/>
          <w:lang w:eastAsia="en-US" w:bidi="he-IL"/>
        </w:rPr>
        <w:t>metrų gylio plaukimo takai, zona mažesniesiems plaukikams, atnaujintos persirengimo patalpos, įrengta SPA erdvė su trimis pirtimis ir sūkurinėmis voniomis. Baseiną patikėjimo teise valdo Kauno plaukimo mokykla. Jame vyksta vaikų sportinis ugdymas, o paslaugos tapo labiau orientuotos ir į miestiečių poreikius – pailgintas darbo laikas, užtikrintas darbas savaitgaliais. Tų pačių metų rugsėjį Kauno plaukimo mokykla taip pat perėmė „Žalgirio“ baseino valdymą, kuriame vykdomos sporto ir sveikatinimo veiklos, antrokų mokymo plaukti programa bei plaukimo akademijos veikla.</w:t>
      </w:r>
      <w:r w:rsidR="00011595">
        <w:rPr>
          <w:rFonts w:eastAsia="Calibri"/>
          <w:szCs w:val="24"/>
          <w:lang w:eastAsia="en-US" w:bidi="he-IL"/>
        </w:rPr>
        <w:t xml:space="preserve"> </w:t>
      </w:r>
    </w:p>
    <w:p w14:paraId="16784F66" w14:textId="5C628CF9" w:rsidR="00675635"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2025 m. rugsėjo mėn. Kaune atidaryta nauja moderni buriavimo sporto bazė – sporto mokyklos „Bangpūtys“ kompleksas, skirtas profesionaliam buriavimui ir jaunųjų sportininkų rengimui. Jame įrengta sporto salė, mokomoji klasė, rūbinės, džiovyklos, elingai, kapitonatas, dirbtuvės bei papildomos erdvės renginiams ir paslaugoms. Ši infrastruktūra sudarys galimybes didinti buriuotojų skaičių Kaune nuo 180 iki daugiau kaip 250 sportininkų.</w:t>
      </w:r>
      <w:r w:rsidR="00011595">
        <w:rPr>
          <w:rFonts w:eastAsia="Calibri"/>
          <w:szCs w:val="24"/>
          <w:lang w:eastAsia="en-US" w:bidi="he-IL"/>
        </w:rPr>
        <w:t xml:space="preserve"> </w:t>
      </w:r>
    </w:p>
    <w:p w14:paraId="5D692C8D" w14:textId="41DCDA5B"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Rudenį Panemunės šile taip pat atidaryta didžiausia Lietuvoje kliūčių ruožo (OCR) aikštelė.</w:t>
      </w:r>
      <w:r w:rsidR="00011595">
        <w:rPr>
          <w:rFonts w:eastAsia="Calibri"/>
          <w:szCs w:val="24"/>
          <w:lang w:eastAsia="en-US" w:bidi="he-IL"/>
        </w:rPr>
        <w:t xml:space="preserve"> </w:t>
      </w:r>
    </w:p>
    <w:p w14:paraId="26DF048D" w14:textId="6B60013F"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Didelis dėmesys 2025 m</w:t>
      </w:r>
      <w:r w:rsidR="00675635">
        <w:rPr>
          <w:rFonts w:eastAsia="Calibri"/>
          <w:szCs w:val="24"/>
          <w:lang w:eastAsia="en-US" w:bidi="he-IL"/>
        </w:rPr>
        <w:t>etais</w:t>
      </w:r>
      <w:r w:rsidRPr="00C175E2">
        <w:rPr>
          <w:rFonts w:eastAsia="Calibri"/>
          <w:szCs w:val="24"/>
          <w:lang w:eastAsia="en-US" w:bidi="he-IL"/>
        </w:rPr>
        <w:t xml:space="preserve"> skirtas ir miesto sporto bei aktyvaus laisvalaikio erdvių atnaujinimui. Kauno miesto sporto įstaigų teikiamų paslaugų kokybei užtikrinti įsigyta sporto inventoriaus už beveik 136</w:t>
      </w:r>
      <w:r w:rsidR="00661452">
        <w:rPr>
          <w:rFonts w:eastAsia="Calibri"/>
          <w:szCs w:val="24"/>
          <w:lang w:eastAsia="en-US" w:bidi="he-IL"/>
        </w:rPr>
        <w:t xml:space="preserve"> </w:t>
      </w:r>
      <w:r w:rsidRPr="00C175E2">
        <w:rPr>
          <w:rFonts w:eastAsia="Calibri"/>
          <w:szCs w:val="24"/>
          <w:lang w:eastAsia="en-US" w:bidi="he-IL"/>
        </w:rPr>
        <w:t>tūkst. Eur. Taip pat už daugiau kaip 2</w:t>
      </w:r>
      <w:r w:rsidR="00661452">
        <w:rPr>
          <w:rFonts w:eastAsia="Calibri"/>
          <w:szCs w:val="24"/>
          <w:lang w:eastAsia="en-US" w:bidi="he-IL"/>
        </w:rPr>
        <w:t> </w:t>
      </w:r>
      <w:r w:rsidRPr="00C175E2">
        <w:rPr>
          <w:rFonts w:eastAsia="Calibri"/>
          <w:szCs w:val="24"/>
          <w:lang w:eastAsia="en-US" w:bidi="he-IL"/>
        </w:rPr>
        <w:t>3</w:t>
      </w:r>
      <w:r w:rsidR="00675635">
        <w:rPr>
          <w:rFonts w:eastAsia="Calibri"/>
          <w:szCs w:val="24"/>
          <w:lang w:eastAsia="en-US" w:bidi="he-IL"/>
        </w:rPr>
        <w:t>00</w:t>
      </w:r>
      <w:r w:rsidR="00661452">
        <w:rPr>
          <w:rFonts w:eastAsia="Calibri"/>
          <w:szCs w:val="24"/>
          <w:lang w:eastAsia="en-US" w:bidi="he-IL"/>
        </w:rPr>
        <w:t xml:space="preserve"> </w:t>
      </w:r>
      <w:r w:rsidR="00675635">
        <w:rPr>
          <w:rFonts w:eastAsia="Calibri"/>
          <w:szCs w:val="24"/>
          <w:lang w:eastAsia="en-US" w:bidi="he-IL"/>
        </w:rPr>
        <w:t>tūkst.</w:t>
      </w:r>
      <w:r w:rsidRPr="00C175E2">
        <w:rPr>
          <w:rFonts w:eastAsia="Calibri"/>
          <w:szCs w:val="24"/>
          <w:lang w:eastAsia="en-US" w:bidi="he-IL"/>
        </w:rPr>
        <w:t xml:space="preserve"> Eur įrengtos arba atnaujin</w:t>
      </w:r>
      <w:r w:rsidR="00675635">
        <w:rPr>
          <w:rFonts w:eastAsia="Calibri"/>
          <w:szCs w:val="24"/>
          <w:lang w:eastAsia="en-US" w:bidi="he-IL"/>
        </w:rPr>
        <w:t>tos</w:t>
      </w:r>
      <w:r w:rsidRPr="00C175E2">
        <w:rPr>
          <w:rFonts w:eastAsia="Calibri"/>
          <w:szCs w:val="24"/>
          <w:lang w:eastAsia="en-US" w:bidi="he-IL"/>
        </w:rPr>
        <w:t xml:space="preserve"> vaikų žaidimų, krepšinio, daugiafunkcės ir treniruoklių aikštelės, įskaitant neįgaliesiems pritaikytus įrenginius, keista susidėvėjusi įranga ir dangos, vykdyti priežiūros darbai. Per metus įrengta 11 naujų sporto aikštelių ir 14 naujų vaikų žaidimo aikštelių.</w:t>
      </w:r>
      <w:r w:rsidR="00011595">
        <w:rPr>
          <w:rFonts w:eastAsia="Calibri"/>
          <w:szCs w:val="24"/>
          <w:lang w:eastAsia="en-US" w:bidi="he-IL"/>
        </w:rPr>
        <w:t xml:space="preserve"> </w:t>
      </w:r>
    </w:p>
    <w:p w14:paraId="54BE5B34" w14:textId="3CCCD7A7"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 xml:space="preserve">Kaunas </w:t>
      </w:r>
      <w:r w:rsidR="00675635">
        <w:rPr>
          <w:rFonts w:eastAsia="Calibri"/>
          <w:szCs w:val="24"/>
          <w:lang w:eastAsia="en-US" w:bidi="he-IL"/>
        </w:rPr>
        <w:t xml:space="preserve">taip pat </w:t>
      </w:r>
      <w:r w:rsidRPr="00C175E2">
        <w:rPr>
          <w:rFonts w:eastAsia="Calibri"/>
          <w:szCs w:val="24"/>
          <w:lang w:eastAsia="en-US" w:bidi="he-IL"/>
        </w:rPr>
        <w:t>stiprino savo, kaip sportiško ir tarptautiniams renginiams pasirengusio miesto, įvaizdį. Mieste surengtas pasaulio šiuolaikinės penkiakovės čempionatas – istorinis įvykis Lietuvos sporto istorijoje, nes tai buvo pirmasis Lietuvoje vykęs olimpinės sporto šakos suaugusiųjų pasaulio čempionatas. Kaune taip pat vyko Europos jaunimo dziudo taurė, šiuolaikinės penkiakovės Europos U15 ir U19 čempionatas, Vandens formulės F2 Europos čempionatas bei pasaulio U18 IB ledo ritulio čempionatas.</w:t>
      </w:r>
      <w:r w:rsidR="00011595">
        <w:rPr>
          <w:rFonts w:eastAsia="Calibri"/>
          <w:szCs w:val="24"/>
          <w:lang w:eastAsia="en-US" w:bidi="he-IL"/>
        </w:rPr>
        <w:t xml:space="preserve"> </w:t>
      </w:r>
    </w:p>
    <w:p w14:paraId="7D423407" w14:textId="3BD67112" w:rsidR="00675635" w:rsidRDefault="00675635" w:rsidP="00C175E2">
      <w:pPr>
        <w:spacing w:line="360" w:lineRule="auto"/>
        <w:ind w:firstLine="1298"/>
        <w:jc w:val="both"/>
        <w:rPr>
          <w:rFonts w:eastAsia="Calibri"/>
          <w:szCs w:val="24"/>
          <w:lang w:eastAsia="en-US" w:bidi="he-IL"/>
        </w:rPr>
      </w:pPr>
      <w:r>
        <w:rPr>
          <w:rFonts w:eastAsia="Calibri"/>
          <w:szCs w:val="24"/>
          <w:lang w:eastAsia="en-US" w:bidi="he-IL"/>
        </w:rPr>
        <w:t>B</w:t>
      </w:r>
      <w:r w:rsidR="00C175E2" w:rsidRPr="00C175E2">
        <w:rPr>
          <w:rFonts w:eastAsia="Calibri"/>
          <w:szCs w:val="24"/>
          <w:lang w:eastAsia="en-US" w:bidi="he-IL"/>
        </w:rPr>
        <w:t>uvo surengti Kauno miesto geriausiųjų sportininkų apdovanojimai, kuriuose pagerbta apie 70 Kauno vardą garsinančių sportininkų. Geriausiems sportininkams, įskaitant metų jaunąją sportininkę, metų jaunąjį sportininką, metų sportininkę, metų sportininką ir metų sportininką su negalia, skirtos piniginės premijos.</w:t>
      </w:r>
      <w:r w:rsidR="00011595">
        <w:rPr>
          <w:rFonts w:eastAsia="Calibri"/>
          <w:szCs w:val="24"/>
          <w:lang w:eastAsia="en-US" w:bidi="he-IL"/>
        </w:rPr>
        <w:t xml:space="preserve"> </w:t>
      </w:r>
    </w:p>
    <w:p w14:paraId="25BDCCC2" w14:textId="74E1789E"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lastRenderedPageBreak/>
        <w:t>Kauno sportininkai reikšmingai garsino miestą ir tarptautinėse varžybose – pasaulio jaunimo plaukimo čempionate Tajus Juška iškovojo du aukso ir vieną sidabro medalį, Rūta Meilutytė tapo pasaulio čempione 50 m krūtine rungtyje, o Kauno plaukikės estafetėse pagerino tris Lietuvos rekordus ir pelnė sidabro bei bronzos medalius. Liutauras Valeika tapo šiuolaikinės penkiakovės U17</w:t>
      </w:r>
      <w:r w:rsidR="00011595">
        <w:rPr>
          <w:rFonts w:eastAsia="Calibri"/>
          <w:szCs w:val="24"/>
          <w:lang w:eastAsia="en-US" w:bidi="he-IL"/>
        </w:rPr>
        <w:t> </w:t>
      </w:r>
      <w:r w:rsidRPr="00C175E2">
        <w:rPr>
          <w:rFonts w:eastAsia="Calibri"/>
          <w:szCs w:val="24"/>
          <w:lang w:eastAsia="en-US" w:bidi="he-IL"/>
        </w:rPr>
        <w:t>Europos čempionu.</w:t>
      </w:r>
      <w:r w:rsidR="00011595">
        <w:rPr>
          <w:rFonts w:eastAsia="Calibri"/>
          <w:szCs w:val="24"/>
          <w:lang w:eastAsia="en-US" w:bidi="he-IL"/>
        </w:rPr>
        <w:t xml:space="preserve"> </w:t>
      </w:r>
    </w:p>
    <w:p w14:paraId="7D64F368" w14:textId="170A0EDC" w:rsidR="00C175E2" w:rsidRPr="00C175E2"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Kauno miesto savivaldybė ir toliau užtikrino jaunųjų sportininkų dalyvavimą Tarptautinėse vaikų žaidynėse. 2025 m</w:t>
      </w:r>
      <w:r w:rsidR="00675635">
        <w:rPr>
          <w:rFonts w:eastAsia="Calibri"/>
          <w:szCs w:val="24"/>
          <w:lang w:eastAsia="en-US" w:bidi="he-IL"/>
        </w:rPr>
        <w:t>etais</w:t>
      </w:r>
      <w:r w:rsidRPr="00C175E2">
        <w:rPr>
          <w:rFonts w:eastAsia="Calibri"/>
          <w:szCs w:val="24"/>
          <w:lang w:eastAsia="en-US" w:bidi="he-IL"/>
        </w:rPr>
        <w:t xml:space="preserve"> jos vyko Taline, kur Kaunui atstovavo plaukikai, lengvaatlečiai, fechtuotojai ir vaikinų krepšinio </w:t>
      </w:r>
      <w:r w:rsidR="00011595">
        <w:rPr>
          <w:rFonts w:eastAsia="Calibri"/>
          <w:szCs w:val="24"/>
          <w:lang w:eastAsia="en-US" w:bidi="he-IL"/>
        </w:rPr>
        <w:t>3 prieš 3 (</w:t>
      </w:r>
      <w:r w:rsidRPr="00C175E2">
        <w:rPr>
          <w:rFonts w:eastAsia="Calibri"/>
          <w:szCs w:val="24"/>
          <w:lang w:eastAsia="en-US" w:bidi="he-IL"/>
        </w:rPr>
        <w:t>3</w:t>
      </w:r>
      <w:r w:rsidR="00011595">
        <w:rPr>
          <w:rFonts w:eastAsia="Calibri"/>
          <w:szCs w:val="24"/>
          <w:lang w:eastAsia="en-US" w:bidi="he-IL"/>
        </w:rPr>
        <w:t xml:space="preserve"> </w:t>
      </w:r>
      <w:r w:rsidRPr="00C175E2">
        <w:rPr>
          <w:rFonts w:eastAsia="Calibri"/>
          <w:szCs w:val="24"/>
          <w:lang w:eastAsia="en-US" w:bidi="he-IL"/>
        </w:rPr>
        <w:t>x</w:t>
      </w:r>
      <w:r w:rsidR="00011595">
        <w:rPr>
          <w:rFonts w:eastAsia="Calibri"/>
          <w:szCs w:val="24"/>
          <w:lang w:eastAsia="en-US" w:bidi="he-IL"/>
        </w:rPr>
        <w:t xml:space="preserve"> </w:t>
      </w:r>
      <w:r w:rsidRPr="00C175E2">
        <w:rPr>
          <w:rFonts w:eastAsia="Calibri"/>
          <w:szCs w:val="24"/>
          <w:lang w:eastAsia="en-US" w:bidi="he-IL"/>
        </w:rPr>
        <w:t>3</w:t>
      </w:r>
      <w:r w:rsidR="00011595">
        <w:rPr>
          <w:rFonts w:eastAsia="Calibri"/>
          <w:szCs w:val="24"/>
          <w:lang w:eastAsia="en-US" w:bidi="he-IL"/>
        </w:rPr>
        <w:t>)</w:t>
      </w:r>
      <w:r w:rsidRPr="00C175E2">
        <w:rPr>
          <w:rFonts w:eastAsia="Calibri"/>
          <w:szCs w:val="24"/>
          <w:lang w:eastAsia="en-US" w:bidi="he-IL"/>
        </w:rPr>
        <w:t xml:space="preserve"> komanda. Kauno sportininkai iškovojo 4</w:t>
      </w:r>
      <w:r w:rsidR="00011595">
        <w:rPr>
          <w:rFonts w:eastAsia="Calibri"/>
          <w:szCs w:val="24"/>
          <w:lang w:eastAsia="en-US" w:bidi="he-IL"/>
        </w:rPr>
        <w:t> </w:t>
      </w:r>
      <w:r w:rsidRPr="00C175E2">
        <w:rPr>
          <w:rFonts w:eastAsia="Calibri"/>
          <w:szCs w:val="24"/>
          <w:lang w:eastAsia="en-US" w:bidi="he-IL"/>
        </w:rPr>
        <w:t>aukso, 1</w:t>
      </w:r>
      <w:r w:rsidR="00011595">
        <w:rPr>
          <w:rFonts w:eastAsia="Calibri"/>
          <w:szCs w:val="24"/>
          <w:lang w:eastAsia="en-US" w:bidi="he-IL"/>
        </w:rPr>
        <w:t xml:space="preserve"> </w:t>
      </w:r>
      <w:r w:rsidRPr="00C175E2">
        <w:rPr>
          <w:rFonts w:eastAsia="Calibri"/>
          <w:szCs w:val="24"/>
          <w:lang w:eastAsia="en-US" w:bidi="he-IL"/>
        </w:rPr>
        <w:t xml:space="preserve">sidabro ir 7 bronzos medalius, o miesto rinktinės dalyvavimui </w:t>
      </w:r>
      <w:r w:rsidR="00675635">
        <w:rPr>
          <w:rFonts w:eastAsia="Calibri"/>
          <w:szCs w:val="24"/>
          <w:lang w:eastAsia="en-US" w:bidi="he-IL"/>
        </w:rPr>
        <w:t xml:space="preserve">skirta lėšų </w:t>
      </w:r>
      <w:r w:rsidRPr="00C175E2">
        <w:rPr>
          <w:rFonts w:eastAsia="Calibri"/>
          <w:szCs w:val="24"/>
          <w:lang w:eastAsia="en-US" w:bidi="he-IL"/>
        </w:rPr>
        <w:t>iš savivaldybės biudžeto</w:t>
      </w:r>
      <w:r w:rsidR="00675635">
        <w:rPr>
          <w:rFonts w:eastAsia="Calibri"/>
          <w:szCs w:val="24"/>
          <w:lang w:eastAsia="en-US" w:bidi="he-IL"/>
        </w:rPr>
        <w:t>.</w:t>
      </w:r>
      <w:r w:rsidR="00011595">
        <w:rPr>
          <w:rFonts w:eastAsia="Calibri"/>
          <w:szCs w:val="24"/>
          <w:lang w:eastAsia="en-US" w:bidi="he-IL"/>
        </w:rPr>
        <w:t xml:space="preserve"> </w:t>
      </w:r>
    </w:p>
    <w:p w14:paraId="0A62CB14" w14:textId="4EA4FCE2" w:rsidR="00675635" w:rsidRDefault="00C175E2" w:rsidP="00C175E2">
      <w:pPr>
        <w:spacing w:line="360" w:lineRule="auto"/>
        <w:ind w:firstLine="1298"/>
        <w:jc w:val="both"/>
        <w:rPr>
          <w:rFonts w:eastAsia="Calibri"/>
          <w:szCs w:val="24"/>
          <w:lang w:eastAsia="en-US" w:bidi="he-IL"/>
        </w:rPr>
      </w:pPr>
      <w:r w:rsidRPr="00C175E2">
        <w:rPr>
          <w:rFonts w:eastAsia="Calibri"/>
          <w:szCs w:val="24"/>
          <w:lang w:eastAsia="en-US" w:bidi="he-IL"/>
        </w:rPr>
        <w:t>2025 m</w:t>
      </w:r>
      <w:r w:rsidR="00675635">
        <w:rPr>
          <w:rFonts w:eastAsia="Calibri"/>
          <w:szCs w:val="24"/>
          <w:lang w:eastAsia="en-US" w:bidi="he-IL"/>
        </w:rPr>
        <w:t>etais</w:t>
      </w:r>
      <w:r w:rsidRPr="00C175E2">
        <w:rPr>
          <w:rFonts w:eastAsia="Calibri"/>
          <w:szCs w:val="24"/>
          <w:lang w:eastAsia="en-US" w:bidi="he-IL"/>
        </w:rPr>
        <w:t xml:space="preserve"> sporto projektams iš viso skirta </w:t>
      </w:r>
      <w:r w:rsidR="00675635">
        <w:rPr>
          <w:rFonts w:eastAsia="Calibri"/>
          <w:szCs w:val="24"/>
          <w:lang w:eastAsia="en-US" w:bidi="he-IL"/>
        </w:rPr>
        <w:t xml:space="preserve">daugiau kaip </w:t>
      </w:r>
      <w:r w:rsidRPr="00C175E2">
        <w:rPr>
          <w:rFonts w:eastAsia="Calibri"/>
          <w:szCs w:val="24"/>
          <w:lang w:eastAsia="en-US" w:bidi="he-IL"/>
        </w:rPr>
        <w:t>4</w:t>
      </w:r>
      <w:r w:rsidR="00011595">
        <w:rPr>
          <w:rFonts w:eastAsia="Calibri"/>
          <w:szCs w:val="24"/>
          <w:lang w:eastAsia="en-US" w:bidi="he-IL"/>
        </w:rPr>
        <w:t> </w:t>
      </w:r>
      <w:r w:rsidRPr="00C175E2">
        <w:rPr>
          <w:rFonts w:eastAsia="Calibri"/>
          <w:szCs w:val="24"/>
          <w:lang w:eastAsia="en-US" w:bidi="he-IL"/>
        </w:rPr>
        <w:t>0</w:t>
      </w:r>
      <w:r w:rsidR="00675635">
        <w:rPr>
          <w:rFonts w:eastAsia="Calibri"/>
          <w:szCs w:val="24"/>
          <w:lang w:eastAsia="en-US" w:bidi="he-IL"/>
        </w:rPr>
        <w:t>00</w:t>
      </w:r>
      <w:r w:rsidR="00011595">
        <w:rPr>
          <w:rFonts w:eastAsia="Calibri"/>
          <w:szCs w:val="24"/>
          <w:lang w:eastAsia="en-US" w:bidi="he-IL"/>
        </w:rPr>
        <w:t xml:space="preserve"> </w:t>
      </w:r>
      <w:r w:rsidR="00675635">
        <w:rPr>
          <w:rFonts w:eastAsia="Calibri"/>
          <w:szCs w:val="24"/>
          <w:lang w:eastAsia="en-US" w:bidi="he-IL"/>
        </w:rPr>
        <w:t>tūkst.</w:t>
      </w:r>
      <w:r w:rsidRPr="00C175E2">
        <w:rPr>
          <w:rFonts w:eastAsia="Calibri"/>
          <w:szCs w:val="24"/>
          <w:lang w:eastAsia="en-US" w:bidi="he-IL"/>
        </w:rPr>
        <w:t xml:space="preserve"> Eur. Iš jų 11</w:t>
      </w:r>
      <w:r w:rsidR="00011595">
        <w:rPr>
          <w:rFonts w:eastAsia="Calibri"/>
          <w:szCs w:val="24"/>
          <w:lang w:eastAsia="en-US" w:bidi="he-IL"/>
        </w:rPr>
        <w:t> </w:t>
      </w:r>
      <w:r w:rsidRPr="00C175E2">
        <w:rPr>
          <w:rFonts w:eastAsia="Calibri"/>
          <w:szCs w:val="24"/>
          <w:lang w:eastAsia="en-US" w:bidi="he-IL"/>
        </w:rPr>
        <w:t>projektų finansuota pagal prioritetą „Kauno miesto išskirtinumas – per įvaizdį formuojančias sporto veiklas“, 15 projektų – pagal prioritetą „Vaikų ir jaunimo sportinio meistriškumo skatinimas“, 48</w:t>
      </w:r>
      <w:r w:rsidR="00011595">
        <w:rPr>
          <w:rFonts w:eastAsia="Calibri"/>
          <w:szCs w:val="24"/>
          <w:lang w:eastAsia="en-US" w:bidi="he-IL"/>
        </w:rPr>
        <w:t> </w:t>
      </w:r>
      <w:r w:rsidRPr="00C175E2">
        <w:rPr>
          <w:rFonts w:eastAsia="Calibri"/>
          <w:szCs w:val="24"/>
          <w:lang w:eastAsia="en-US" w:bidi="he-IL"/>
        </w:rPr>
        <w:t>projektai – pagal prioritetą „Sportuojantis Kaunas“, o 8 projektai – pagal prioritetą „Asmenų, turinčių negalią, sportinio aktyvumo skatinimas“. Siekiant motyvuoti jaunuosius sportininkus, 21</w:t>
      </w:r>
      <w:r w:rsidR="00011595">
        <w:rPr>
          <w:rFonts w:eastAsia="Calibri"/>
          <w:szCs w:val="24"/>
          <w:lang w:eastAsia="en-US" w:bidi="he-IL"/>
        </w:rPr>
        <w:t> </w:t>
      </w:r>
      <w:r w:rsidRPr="00C175E2">
        <w:rPr>
          <w:rFonts w:eastAsia="Calibri"/>
          <w:szCs w:val="24"/>
          <w:lang w:eastAsia="en-US" w:bidi="he-IL"/>
        </w:rPr>
        <w:t>sportininkui skirtos Kauno miesto savivaldybės sporto stipendijos</w:t>
      </w:r>
      <w:r w:rsidR="00011595">
        <w:rPr>
          <w:rFonts w:eastAsia="Calibri"/>
          <w:szCs w:val="24"/>
          <w:lang w:eastAsia="en-US" w:bidi="he-IL"/>
        </w:rPr>
        <w:t xml:space="preserve">. </w:t>
      </w:r>
    </w:p>
    <w:p w14:paraId="5DFE8476" w14:textId="41A043F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Platesnį sporto paslaugų prieinamumą </w:t>
      </w:r>
      <w:r w:rsidR="00675635">
        <w:rPr>
          <w:rFonts w:eastAsia="Calibri"/>
          <w:szCs w:val="24"/>
          <w:lang w:eastAsia="en-US" w:bidi="he-IL"/>
        </w:rPr>
        <w:t>patvirtina</w:t>
      </w:r>
      <w:r w:rsidRPr="00D26788">
        <w:rPr>
          <w:rFonts w:eastAsia="Calibri"/>
          <w:szCs w:val="24"/>
          <w:lang w:eastAsia="en-US" w:bidi="he-IL"/>
        </w:rPr>
        <w:t xml:space="preserve"> ir dalyvių skaičiai. 2025 metais Kauno mieste organizuota ir iš dalies finansuota 58 fizinio aktyvumo ir sporto renginiai, iš jų 11 buvo neįgaliųjų sporto renginiai, o bendras dalyvių skaičius siekė 19</w:t>
      </w:r>
      <w:r w:rsidR="002113BA">
        <w:rPr>
          <w:rFonts w:eastAsia="Calibri"/>
          <w:szCs w:val="24"/>
          <w:lang w:eastAsia="en-US" w:bidi="he-IL"/>
        </w:rPr>
        <w:t> </w:t>
      </w:r>
      <w:r w:rsidRPr="00D26788">
        <w:rPr>
          <w:rFonts w:eastAsia="Calibri"/>
          <w:szCs w:val="24"/>
          <w:lang w:eastAsia="en-US" w:bidi="he-IL"/>
        </w:rPr>
        <w:t xml:space="preserve">702. </w:t>
      </w:r>
      <w:r w:rsidR="002113BA">
        <w:rPr>
          <w:rFonts w:eastAsia="Calibri"/>
          <w:szCs w:val="24"/>
          <w:lang w:eastAsia="en-US" w:bidi="he-IL"/>
        </w:rPr>
        <w:t>N</w:t>
      </w:r>
      <w:r w:rsidRPr="00D26788">
        <w:rPr>
          <w:rFonts w:eastAsia="Calibri"/>
          <w:szCs w:val="24"/>
          <w:lang w:eastAsia="en-US" w:bidi="he-IL"/>
        </w:rPr>
        <w:t>emokamoje antrokų mokymosi plaukti programoje 2025–2026 mokslo metais dalyvavo 3</w:t>
      </w:r>
      <w:r w:rsidR="002113BA">
        <w:rPr>
          <w:rFonts w:eastAsia="Calibri"/>
          <w:szCs w:val="24"/>
          <w:lang w:eastAsia="en-US" w:bidi="he-IL"/>
        </w:rPr>
        <w:t> </w:t>
      </w:r>
      <w:r w:rsidRPr="00D26788">
        <w:rPr>
          <w:rFonts w:eastAsia="Calibri"/>
          <w:szCs w:val="24"/>
          <w:lang w:eastAsia="en-US" w:bidi="he-IL"/>
        </w:rPr>
        <w:t xml:space="preserve">361 vaikas. Šie duomenys leidžia konstatuoti, kad sporto ir fizinio aktyvumo paslaugos </w:t>
      </w:r>
      <w:r w:rsidR="00D56C60">
        <w:rPr>
          <w:rFonts w:eastAsia="Calibri"/>
          <w:szCs w:val="24"/>
          <w:lang w:eastAsia="en-US" w:bidi="he-IL"/>
        </w:rPr>
        <w:t>praėjusiais</w:t>
      </w:r>
      <w:r w:rsidRPr="00D26788">
        <w:rPr>
          <w:rFonts w:eastAsia="Calibri"/>
          <w:szCs w:val="24"/>
          <w:lang w:eastAsia="en-US" w:bidi="he-IL"/>
        </w:rPr>
        <w:t xml:space="preserve"> metais buvo orientuotos į labai plačią miestiečių auditoriją – nuo pradedančiųjų vaikų iki aukšto meistriškumo sportininkų.</w:t>
      </w:r>
      <w:r w:rsidR="00011595">
        <w:rPr>
          <w:rFonts w:eastAsia="Calibri"/>
          <w:szCs w:val="24"/>
          <w:lang w:eastAsia="en-US" w:bidi="he-IL"/>
        </w:rPr>
        <w:t xml:space="preserve"> </w:t>
      </w:r>
    </w:p>
    <w:p w14:paraId="082C827B" w14:textId="57576507" w:rsidR="00D26788" w:rsidRDefault="007E2565" w:rsidP="007E2565">
      <w:pPr>
        <w:spacing w:line="360" w:lineRule="auto"/>
        <w:ind w:firstLine="1298"/>
        <w:jc w:val="both"/>
        <w:rPr>
          <w:rFonts w:eastAsia="Calibri"/>
          <w:szCs w:val="24"/>
          <w:lang w:eastAsia="en-US" w:bidi="he-IL"/>
        </w:rPr>
      </w:pPr>
      <w:r>
        <w:rPr>
          <w:rFonts w:eastAsia="Calibri"/>
          <w:szCs w:val="24"/>
          <w:lang w:eastAsia="en-US" w:bidi="he-IL"/>
        </w:rPr>
        <w:t xml:space="preserve">Dėmesys skirtas ir </w:t>
      </w:r>
      <w:r w:rsidR="00D26788" w:rsidRPr="00D26788">
        <w:rPr>
          <w:rFonts w:eastAsia="Calibri"/>
          <w:szCs w:val="24"/>
          <w:lang w:eastAsia="en-US" w:bidi="he-IL"/>
        </w:rPr>
        <w:t>viešajai tvarkai</w:t>
      </w:r>
      <w:r w:rsidR="00C175E2">
        <w:rPr>
          <w:rFonts w:eastAsia="Calibri"/>
          <w:szCs w:val="24"/>
          <w:lang w:eastAsia="en-US" w:bidi="he-IL"/>
        </w:rPr>
        <w:t xml:space="preserve"> ir jos priežiūrai mieste.</w:t>
      </w:r>
      <w:r w:rsidR="00D26788" w:rsidRPr="00D26788">
        <w:rPr>
          <w:rFonts w:eastAsia="Calibri"/>
          <w:szCs w:val="24"/>
          <w:lang w:eastAsia="en-US" w:bidi="he-IL"/>
        </w:rPr>
        <w:t xml:space="preserve"> 2025 metais viešosios tvarkos ir miesto priežiūros srityje surašyti 3 124 teritorijų apžiūros aktai ir įspėjimai dėl Miesto tvarkymo taisyklių laikymosi, priimti 33 administracinių nusižengimų protokolai ar nutarimai, 333</w:t>
      </w:r>
      <w:r w:rsidR="00011595">
        <w:rPr>
          <w:rFonts w:eastAsia="Calibri"/>
          <w:szCs w:val="24"/>
          <w:lang w:eastAsia="en-US" w:bidi="he-IL"/>
        </w:rPr>
        <w:t> </w:t>
      </w:r>
      <w:r w:rsidR="00D26788" w:rsidRPr="00D26788">
        <w:rPr>
          <w:rFonts w:eastAsia="Calibri"/>
          <w:szCs w:val="24"/>
          <w:lang w:eastAsia="en-US" w:bidi="he-IL"/>
        </w:rPr>
        <w:t>objektai įtraukti į Nenaudojamos žemės sąrašus. Statinių priežiūros srityje atliktos 2 868 planinės ir 349</w:t>
      </w:r>
      <w:r w:rsidR="00011595">
        <w:rPr>
          <w:rFonts w:eastAsia="Calibri"/>
          <w:szCs w:val="24"/>
          <w:lang w:eastAsia="en-US" w:bidi="he-IL"/>
        </w:rPr>
        <w:t> </w:t>
      </w:r>
      <w:r w:rsidR="00D26788" w:rsidRPr="00D26788">
        <w:rPr>
          <w:rFonts w:eastAsia="Calibri"/>
          <w:szCs w:val="24"/>
          <w:lang w:eastAsia="en-US" w:bidi="he-IL"/>
        </w:rPr>
        <w:t xml:space="preserve">neplaninės patikros, surašyti 24 administracinių nusižengimų protokolai, o už apleistus statinius paskirta </w:t>
      </w:r>
      <w:r w:rsidR="00675635">
        <w:rPr>
          <w:rFonts w:eastAsia="Calibri"/>
          <w:szCs w:val="24"/>
          <w:lang w:eastAsia="en-US" w:bidi="he-IL"/>
        </w:rPr>
        <w:t xml:space="preserve">daugiau </w:t>
      </w:r>
      <w:r w:rsidR="00675635" w:rsidRPr="00675635">
        <w:rPr>
          <w:rFonts w:eastAsia="Calibri"/>
          <w:szCs w:val="24"/>
          <w:lang w:eastAsia="en-US" w:bidi="he-IL"/>
        </w:rPr>
        <w:t xml:space="preserve">kaip </w:t>
      </w:r>
      <w:r w:rsidR="00D26788" w:rsidRPr="00D26788">
        <w:rPr>
          <w:rFonts w:eastAsia="Calibri"/>
          <w:szCs w:val="24"/>
          <w:lang w:eastAsia="en-US" w:bidi="he-IL"/>
        </w:rPr>
        <w:t>4</w:t>
      </w:r>
      <w:r w:rsidR="00675635" w:rsidRPr="00675635">
        <w:rPr>
          <w:rFonts w:eastAsia="Calibri"/>
          <w:szCs w:val="24"/>
          <w:lang w:eastAsia="en-US" w:bidi="he-IL"/>
        </w:rPr>
        <w:t>,</w:t>
      </w:r>
      <w:r w:rsidR="00D26788" w:rsidRPr="00D26788">
        <w:rPr>
          <w:rFonts w:eastAsia="Calibri"/>
          <w:szCs w:val="24"/>
          <w:lang w:eastAsia="en-US" w:bidi="he-IL"/>
        </w:rPr>
        <w:t>7</w:t>
      </w:r>
      <w:r w:rsidR="00675635" w:rsidRPr="00675635">
        <w:rPr>
          <w:rFonts w:eastAsia="Calibri"/>
          <w:szCs w:val="24"/>
          <w:lang w:eastAsia="en-US" w:bidi="he-IL"/>
        </w:rPr>
        <w:t xml:space="preserve"> tūkst.</w:t>
      </w:r>
      <w:r w:rsidR="00D26788" w:rsidRPr="00D26788">
        <w:rPr>
          <w:rFonts w:eastAsia="Calibri"/>
          <w:szCs w:val="24"/>
          <w:lang w:eastAsia="en-US" w:bidi="he-IL"/>
        </w:rPr>
        <w:t xml:space="preserve"> Eur baudų. Per 2025 metus iš bendrojo naudojimo teritorijų pašalinta 450 neeksploatuojamų transporto priemonių, iš jų 11 bešeimininkių transporto priemonių buvo priverstinai nuvežtos, taip pat priimti 598 procesiniai sprendimai dėl neeksploatuojamų transporto priemonių laikymo bendrojo naudojimo vietose.</w:t>
      </w:r>
      <w:r w:rsidR="00011595">
        <w:rPr>
          <w:rFonts w:eastAsia="Calibri"/>
          <w:szCs w:val="24"/>
          <w:lang w:eastAsia="en-US" w:bidi="he-IL"/>
        </w:rPr>
        <w:t xml:space="preserve"> </w:t>
      </w:r>
    </w:p>
    <w:p w14:paraId="51B02353" w14:textId="120BA84E" w:rsidR="007E2565" w:rsidRDefault="007E2565" w:rsidP="00D26788">
      <w:pPr>
        <w:spacing w:line="360" w:lineRule="auto"/>
        <w:ind w:firstLine="1298"/>
        <w:jc w:val="both"/>
        <w:rPr>
          <w:szCs w:val="24"/>
          <w:lang w:eastAsia="en-US" w:bidi="he-IL"/>
        </w:rPr>
      </w:pPr>
      <w:r w:rsidRPr="007E2565">
        <w:rPr>
          <w:szCs w:val="24"/>
          <w:lang w:eastAsia="en-US" w:bidi="he-IL"/>
        </w:rPr>
        <w:t xml:space="preserve">Siekiant užtikrinti tvarkingą transporto priemonių parkavimą miesto viešosiose vietose, laikantis nustatytos parkavimo tvarkos, taip pat užtikrinant saugų eismą ir užkertant kelią </w:t>
      </w:r>
      <w:r w:rsidRPr="007E2565">
        <w:rPr>
          <w:szCs w:val="24"/>
          <w:lang w:eastAsia="en-US" w:bidi="he-IL"/>
        </w:rPr>
        <w:lastRenderedPageBreak/>
        <w:t>Kelių eismo taisyklių pažeidimams, buvo suorganizuoti ir atlikti tiksliniai patikrinimai. Jų metu ypatingas dėmesys skirtas transporto priemonių parkavimui prie pėsčiųjų perėjų, ant šaligatvių, vejų, dviračių takų, draudžiamųjų kelio ženklų galiojimo zonose, kelio ženklo „Rezervuota stovėjimo vieta“ galiojimo teritorijose, taip pat neįgaliesiems skirtose stovėjimo vietose ir elektromobilių stovėjimo (įkrovimo) vietose, neturint tam teisės ar nesilaikant nustatytų reikalavimų. Patikrinimų metu nustatyti šie administraciniai nusižengimai ir surašyti administracinio nusižengimo protokolai</w:t>
      </w:r>
      <w:r>
        <w:rPr>
          <w:szCs w:val="24"/>
          <w:lang w:eastAsia="en-US" w:bidi="he-IL"/>
        </w:rPr>
        <w:t>:</w:t>
      </w:r>
      <w:r w:rsidR="00011595">
        <w:rPr>
          <w:szCs w:val="24"/>
          <w:lang w:eastAsia="en-US" w:bidi="he-IL"/>
        </w:rPr>
        <w:t xml:space="preserve"> </w:t>
      </w:r>
    </w:p>
    <w:p w14:paraId="1B0350F2" w14:textId="4F8BB5FA" w:rsidR="007E2565" w:rsidRPr="007E2565" w:rsidRDefault="007E2565" w:rsidP="007E2565">
      <w:pPr>
        <w:spacing w:line="360" w:lineRule="auto"/>
        <w:ind w:firstLine="1298"/>
        <w:jc w:val="both"/>
        <w:rPr>
          <w:szCs w:val="24"/>
          <w:lang w:eastAsia="en-US" w:bidi="he-IL"/>
        </w:rPr>
      </w:pPr>
      <w:r w:rsidRPr="007E2565">
        <w:rPr>
          <w:szCs w:val="24"/>
          <w:lang w:eastAsia="en-US" w:bidi="he-IL"/>
        </w:rPr>
        <w:t>8</w:t>
      </w:r>
      <w:r>
        <w:rPr>
          <w:szCs w:val="24"/>
          <w:lang w:eastAsia="en-US" w:bidi="he-IL"/>
        </w:rPr>
        <w:t> </w:t>
      </w:r>
      <w:r w:rsidRPr="007E2565">
        <w:rPr>
          <w:szCs w:val="24"/>
          <w:lang w:eastAsia="en-US" w:bidi="he-IL"/>
        </w:rPr>
        <w:t>917 protokol</w:t>
      </w:r>
      <w:r>
        <w:rPr>
          <w:szCs w:val="24"/>
          <w:lang w:eastAsia="en-US" w:bidi="he-IL"/>
        </w:rPr>
        <w:t>ų</w:t>
      </w:r>
      <w:r w:rsidRPr="007E2565">
        <w:rPr>
          <w:szCs w:val="24"/>
          <w:lang w:eastAsia="en-US" w:bidi="he-IL"/>
        </w:rPr>
        <w:t xml:space="preserve"> dėl Kelių eismo taisyklių pažeidimų, susijusių su netinkamu transporto priemonių sustojimu ir stovėjimu;</w:t>
      </w:r>
      <w:r w:rsidR="00011595">
        <w:rPr>
          <w:szCs w:val="24"/>
          <w:lang w:eastAsia="en-US" w:bidi="he-IL"/>
        </w:rPr>
        <w:t xml:space="preserve"> </w:t>
      </w:r>
    </w:p>
    <w:p w14:paraId="6945274F" w14:textId="7997110E" w:rsidR="007E2565" w:rsidRPr="007E2565" w:rsidRDefault="007E2565" w:rsidP="007E2565">
      <w:pPr>
        <w:spacing w:line="360" w:lineRule="auto"/>
        <w:ind w:firstLine="1298"/>
        <w:jc w:val="both"/>
        <w:rPr>
          <w:szCs w:val="24"/>
          <w:lang w:eastAsia="en-US" w:bidi="he-IL"/>
        </w:rPr>
      </w:pPr>
      <w:r w:rsidRPr="007E2565">
        <w:rPr>
          <w:szCs w:val="24"/>
          <w:lang w:eastAsia="en-US" w:bidi="he-IL"/>
        </w:rPr>
        <w:t>12</w:t>
      </w:r>
      <w:r>
        <w:rPr>
          <w:szCs w:val="24"/>
          <w:lang w:eastAsia="en-US" w:bidi="he-IL"/>
        </w:rPr>
        <w:t> </w:t>
      </w:r>
      <w:r w:rsidRPr="007E2565">
        <w:rPr>
          <w:szCs w:val="24"/>
          <w:lang w:eastAsia="en-US" w:bidi="he-IL"/>
        </w:rPr>
        <w:t>710 protokolų dėl vietinės rinkliavos už transporto priemonių statymą mokėjimo tvarkos pažeidimų, parkuojant transporto priemones Kauno mieste;</w:t>
      </w:r>
      <w:r w:rsidR="00011595">
        <w:rPr>
          <w:szCs w:val="24"/>
          <w:lang w:eastAsia="en-US" w:bidi="he-IL"/>
        </w:rPr>
        <w:t xml:space="preserve"> </w:t>
      </w:r>
    </w:p>
    <w:p w14:paraId="56523405" w14:textId="39C9140F" w:rsidR="007E2565" w:rsidRDefault="007E2565" w:rsidP="007E2565">
      <w:pPr>
        <w:spacing w:line="360" w:lineRule="auto"/>
        <w:ind w:firstLine="1298"/>
        <w:jc w:val="both"/>
        <w:rPr>
          <w:szCs w:val="24"/>
          <w:lang w:eastAsia="en-US" w:bidi="he-IL"/>
        </w:rPr>
      </w:pPr>
      <w:r w:rsidRPr="007E2565">
        <w:rPr>
          <w:szCs w:val="24"/>
          <w:lang w:eastAsia="en-US" w:bidi="he-IL"/>
        </w:rPr>
        <w:t>46</w:t>
      </w:r>
      <w:r>
        <w:rPr>
          <w:szCs w:val="24"/>
          <w:lang w:eastAsia="en-US" w:bidi="he-IL"/>
        </w:rPr>
        <w:t> </w:t>
      </w:r>
      <w:r w:rsidRPr="007E2565">
        <w:rPr>
          <w:szCs w:val="24"/>
          <w:lang w:eastAsia="en-US" w:bidi="he-IL"/>
        </w:rPr>
        <w:t>207 administracinio nusižengimo protokolai pagal ANK 419 straipsnį – dėl transporto priemonių stovėjimo tvarkos pažeidimų nustatytose Kauno miesto teritorijose (sumažintos taršos zonos</w:t>
      </w:r>
      <w:r>
        <w:rPr>
          <w:szCs w:val="24"/>
          <w:lang w:eastAsia="en-US" w:bidi="he-IL"/>
        </w:rPr>
        <w:t>e</w:t>
      </w:r>
      <w:r w:rsidRPr="007E2565">
        <w:rPr>
          <w:szCs w:val="24"/>
          <w:lang w:eastAsia="en-US" w:bidi="he-IL"/>
        </w:rPr>
        <w:t>).</w:t>
      </w:r>
      <w:r w:rsidR="00011595">
        <w:rPr>
          <w:szCs w:val="24"/>
          <w:lang w:eastAsia="en-US" w:bidi="he-IL"/>
        </w:rPr>
        <w:t xml:space="preserve"> </w:t>
      </w:r>
    </w:p>
    <w:p w14:paraId="0682DE88" w14:textId="0F767616" w:rsidR="007E2565" w:rsidRPr="007E2565" w:rsidRDefault="007E2565" w:rsidP="007E2565">
      <w:pPr>
        <w:spacing w:line="360" w:lineRule="auto"/>
        <w:ind w:firstLine="1298"/>
        <w:jc w:val="both"/>
        <w:rPr>
          <w:szCs w:val="24"/>
          <w:lang w:eastAsia="en-US" w:bidi="he-IL"/>
        </w:rPr>
      </w:pPr>
      <w:r>
        <w:rPr>
          <w:szCs w:val="24"/>
          <w:lang w:eastAsia="en-US" w:bidi="he-IL"/>
        </w:rPr>
        <w:t>V</w:t>
      </w:r>
      <w:r w:rsidRPr="007E2565">
        <w:rPr>
          <w:szCs w:val="24"/>
          <w:lang w:eastAsia="en-US" w:bidi="he-IL"/>
        </w:rPr>
        <w:t xml:space="preserve">ykdyta </w:t>
      </w:r>
      <w:r>
        <w:rPr>
          <w:szCs w:val="24"/>
          <w:lang w:eastAsia="en-US" w:bidi="he-IL"/>
        </w:rPr>
        <w:t>p</w:t>
      </w:r>
      <w:r w:rsidRPr="007E2565">
        <w:rPr>
          <w:szCs w:val="24"/>
          <w:lang w:eastAsia="en-US" w:bidi="he-IL"/>
        </w:rPr>
        <w:t>rekybos viešosiose vietose taisyklių reikalavimų laikymosi kontrolė, kurios metu surašyti 97 administracinio nusižengimo protokolai</w:t>
      </w:r>
      <w:r>
        <w:rPr>
          <w:szCs w:val="24"/>
          <w:lang w:eastAsia="en-US" w:bidi="he-IL"/>
        </w:rPr>
        <w:t xml:space="preserve">. </w:t>
      </w:r>
      <w:r w:rsidRPr="007E2565">
        <w:rPr>
          <w:szCs w:val="24"/>
          <w:lang w:eastAsia="en-US" w:bidi="he-IL"/>
        </w:rPr>
        <w:t>Dėl išorinės reklamos įrengimo draudimų ir reikalavimų laikymosi patikrinta 3</w:t>
      </w:r>
      <w:r>
        <w:rPr>
          <w:szCs w:val="24"/>
          <w:lang w:eastAsia="en-US" w:bidi="he-IL"/>
        </w:rPr>
        <w:t> </w:t>
      </w:r>
      <w:r w:rsidRPr="007E2565">
        <w:rPr>
          <w:szCs w:val="24"/>
          <w:lang w:eastAsia="en-US" w:bidi="he-IL"/>
        </w:rPr>
        <w:t>918 ūkio subjektų</w:t>
      </w:r>
      <w:r>
        <w:rPr>
          <w:szCs w:val="24"/>
          <w:lang w:eastAsia="en-US" w:bidi="he-IL"/>
        </w:rPr>
        <w:t xml:space="preserve"> ir </w:t>
      </w:r>
      <w:r w:rsidRPr="007E2565">
        <w:rPr>
          <w:szCs w:val="24"/>
          <w:lang w:eastAsia="en-US" w:bidi="he-IL"/>
        </w:rPr>
        <w:t xml:space="preserve">pažeidimus surašyti 132 administracinio nusižengimo protokolai. </w:t>
      </w:r>
    </w:p>
    <w:p w14:paraId="659FAD2B" w14:textId="7D365A65" w:rsidR="007E2565" w:rsidRPr="007E2565" w:rsidRDefault="007E2565" w:rsidP="007E2565">
      <w:pPr>
        <w:spacing w:line="360" w:lineRule="auto"/>
        <w:ind w:firstLine="1298"/>
        <w:jc w:val="both"/>
        <w:rPr>
          <w:szCs w:val="24"/>
          <w:lang w:eastAsia="en-US" w:bidi="he-IL"/>
        </w:rPr>
      </w:pPr>
      <w:r w:rsidRPr="007E2565">
        <w:rPr>
          <w:szCs w:val="24"/>
          <w:lang w:eastAsia="en-US" w:bidi="he-IL"/>
        </w:rPr>
        <w:t>Viešosios tvarkos skyrius per ataskaitinį laikotarpį gavo 4</w:t>
      </w:r>
      <w:r>
        <w:rPr>
          <w:szCs w:val="24"/>
          <w:lang w:eastAsia="en-US" w:bidi="he-IL"/>
        </w:rPr>
        <w:t> </w:t>
      </w:r>
      <w:r w:rsidRPr="007E2565">
        <w:rPr>
          <w:szCs w:val="24"/>
          <w:lang w:eastAsia="en-US" w:bidi="he-IL"/>
        </w:rPr>
        <w:t xml:space="preserve">924 asmenų skundus, prašymus, pranešimus, taip pat ir kitų institucijų raštus. Iš BĮ „Parkavimas Kaune“ gauta </w:t>
      </w:r>
      <w:r w:rsidR="00BE116F">
        <w:rPr>
          <w:szCs w:val="24"/>
          <w:lang w:eastAsia="en-US" w:bidi="he-IL"/>
        </w:rPr>
        <w:t>65</w:t>
      </w:r>
      <w:r w:rsidR="00011595">
        <w:rPr>
          <w:szCs w:val="24"/>
          <w:lang w:eastAsia="en-US" w:bidi="he-IL"/>
        </w:rPr>
        <w:t> </w:t>
      </w:r>
      <w:r w:rsidR="00BE116F">
        <w:rPr>
          <w:szCs w:val="24"/>
          <w:lang w:eastAsia="en-US" w:bidi="he-IL"/>
        </w:rPr>
        <w:t>401</w:t>
      </w:r>
      <w:r w:rsidR="00011595">
        <w:rPr>
          <w:szCs w:val="24"/>
          <w:lang w:eastAsia="en-US" w:bidi="he-IL"/>
        </w:rPr>
        <w:t> </w:t>
      </w:r>
      <w:r w:rsidR="00BE116F">
        <w:rPr>
          <w:szCs w:val="24"/>
          <w:lang w:eastAsia="en-US" w:bidi="he-IL"/>
        </w:rPr>
        <w:t>pranešimas</w:t>
      </w:r>
      <w:r w:rsidR="00011595">
        <w:rPr>
          <w:szCs w:val="24"/>
          <w:lang w:eastAsia="en-US" w:bidi="he-IL"/>
        </w:rPr>
        <w:t xml:space="preserve"> dėl</w:t>
      </w:r>
      <w:r w:rsidRPr="007E2565">
        <w:rPr>
          <w:szCs w:val="24"/>
          <w:lang w:eastAsia="en-US" w:bidi="he-IL"/>
        </w:rPr>
        <w:t xml:space="preserve"> pažeidimų nagrinėjim</w:t>
      </w:r>
      <w:r w:rsidR="00011595">
        <w:rPr>
          <w:szCs w:val="24"/>
          <w:lang w:eastAsia="en-US" w:bidi="he-IL"/>
        </w:rPr>
        <w:t>o</w:t>
      </w:r>
      <w:r w:rsidRPr="007E2565">
        <w:rPr>
          <w:szCs w:val="24"/>
          <w:lang w:eastAsia="en-US" w:bidi="he-IL"/>
        </w:rPr>
        <w:t xml:space="preserve">, administracinių nusižengimų tyrimui atlikti ir procesiniams sprendimams priimti. </w:t>
      </w:r>
    </w:p>
    <w:p w14:paraId="39C33971" w14:textId="1AA103BF" w:rsidR="007E2565" w:rsidRPr="007E2565" w:rsidRDefault="007E2565" w:rsidP="007E2565">
      <w:pPr>
        <w:spacing w:line="360" w:lineRule="auto"/>
        <w:ind w:firstLine="1298"/>
        <w:jc w:val="both"/>
        <w:rPr>
          <w:szCs w:val="24"/>
          <w:lang w:eastAsia="en-US" w:bidi="he-IL"/>
        </w:rPr>
      </w:pPr>
      <w:r w:rsidRPr="007E2565">
        <w:rPr>
          <w:szCs w:val="24"/>
          <w:lang w:eastAsia="en-US" w:bidi="he-IL"/>
        </w:rPr>
        <w:t>Administracinės teisenos poskyrio darbuotojai išnagrinėjo 14</w:t>
      </w:r>
      <w:r w:rsidR="00BE116F">
        <w:rPr>
          <w:szCs w:val="24"/>
          <w:lang w:eastAsia="en-US" w:bidi="he-IL"/>
        </w:rPr>
        <w:t> </w:t>
      </w:r>
      <w:r w:rsidRPr="007E2565">
        <w:rPr>
          <w:szCs w:val="24"/>
          <w:lang w:eastAsia="en-US" w:bidi="he-IL"/>
        </w:rPr>
        <w:t>965 bylas, kuriose priėmė nutarimus skirti baudas</w:t>
      </w:r>
      <w:r w:rsidR="00C22C03">
        <w:rPr>
          <w:szCs w:val="24"/>
          <w:lang w:eastAsia="en-US" w:bidi="he-IL"/>
        </w:rPr>
        <w:t>, ženkliai papildžiusias Savivaldybės biudžetą.</w:t>
      </w:r>
    </w:p>
    <w:p w14:paraId="2E965378" w14:textId="1873BDA2"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2025 metais taip pat buvo stiprinama civilinės saugos ir mobilizacijos funkcija. Savivaldybėje įsteigtas Civilinės saugos ir mobilizacijos skyrius, darbuotojams organizuoti mobilizacijos, pilietinio pasipriešinimo ir kibernetinio saugumo mokymai, Mobilizacijos ir pilietinio pasipriešinimo departamentui prie </w:t>
      </w:r>
      <w:r w:rsidR="00675635" w:rsidRPr="00675635">
        <w:rPr>
          <w:rFonts w:eastAsia="Calibri"/>
          <w:szCs w:val="24"/>
          <w:lang w:eastAsia="en-US" w:bidi="he-IL"/>
        </w:rPr>
        <w:t>Krašto apsaugos ministerijos</w:t>
      </w:r>
      <w:r w:rsidRPr="00D26788">
        <w:rPr>
          <w:rFonts w:eastAsia="Calibri"/>
          <w:szCs w:val="24"/>
          <w:lang w:eastAsia="en-US" w:bidi="he-IL"/>
        </w:rPr>
        <w:t xml:space="preserve"> teikti duomenys priimančios šalies paramos ir mobilizacinių išteklių katalogams atnaujinti, Savivaldybė dalyvavo nacionalinėse mobilizacinės sistemos patikrinimo pratybose „Vyčio skliautas 2025“. </w:t>
      </w:r>
      <w:r w:rsidR="00675635">
        <w:rPr>
          <w:rFonts w:eastAsia="Calibri"/>
          <w:szCs w:val="24"/>
          <w:lang w:eastAsia="en-US" w:bidi="he-IL"/>
        </w:rPr>
        <w:t xml:space="preserve">Saugumo, atsparumo </w:t>
      </w:r>
      <w:r w:rsidR="00011595">
        <w:rPr>
          <w:rFonts w:eastAsia="Calibri"/>
          <w:szCs w:val="24"/>
          <w:lang w:eastAsia="en-US" w:bidi="he-IL"/>
        </w:rPr>
        <w:t xml:space="preserve">ir </w:t>
      </w:r>
      <w:r w:rsidR="00675635">
        <w:rPr>
          <w:rFonts w:eastAsia="Calibri"/>
          <w:szCs w:val="24"/>
          <w:lang w:eastAsia="en-US" w:bidi="he-IL"/>
        </w:rPr>
        <w:t xml:space="preserve">pasirengimo krizėms didinimas tampa </w:t>
      </w:r>
      <w:r w:rsidR="00BC33FC">
        <w:rPr>
          <w:rFonts w:eastAsia="Calibri"/>
          <w:szCs w:val="24"/>
          <w:lang w:eastAsia="en-US" w:bidi="he-IL"/>
        </w:rPr>
        <w:t>svarbus šiandieninės geopolitinės situacijos kontekste.</w:t>
      </w:r>
      <w:r w:rsidR="00011595">
        <w:rPr>
          <w:rFonts w:eastAsia="Calibri"/>
          <w:szCs w:val="24"/>
          <w:lang w:eastAsia="en-US" w:bidi="he-IL"/>
        </w:rPr>
        <w:t xml:space="preserve"> </w:t>
      </w:r>
    </w:p>
    <w:p w14:paraId="580CF191" w14:textId="4396CA18"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Paauglių užimtumo ir jaunimo politikos srityje 2025 metais išlaikytas nuoseklus darbo su jaunimu tęstinumas ir paslaugų plėtra. Darbo su jaunimu gatvėje paslaugas gavo 583 jaunuoliai šešiose seniūnijose, o 4 atviri jaunimo centrai ir 1 atvira jaunimo erdvė pasiekė 2</w:t>
      </w:r>
      <w:r w:rsidR="00BC33FC">
        <w:rPr>
          <w:rFonts w:eastAsia="Calibri"/>
          <w:szCs w:val="24"/>
          <w:lang w:eastAsia="en-US" w:bidi="he-IL"/>
        </w:rPr>
        <w:t> </w:t>
      </w:r>
      <w:r w:rsidRPr="00D26788">
        <w:rPr>
          <w:rFonts w:eastAsia="Calibri"/>
          <w:szCs w:val="24"/>
          <w:lang w:eastAsia="en-US" w:bidi="he-IL"/>
        </w:rPr>
        <w:t xml:space="preserve">954 jaunuolius. </w:t>
      </w:r>
      <w:r w:rsidRPr="00D26788">
        <w:rPr>
          <w:rFonts w:eastAsia="Calibri"/>
          <w:szCs w:val="24"/>
          <w:lang w:eastAsia="en-US" w:bidi="he-IL"/>
        </w:rPr>
        <w:lastRenderedPageBreak/>
        <w:t>Taip pat tęsta moksleivių praktinių įgūdžių, verslumo ir lyderystės programa, kurioje dalyvavo 54</w:t>
      </w:r>
      <w:r w:rsidR="00011595">
        <w:rPr>
          <w:rFonts w:eastAsia="Calibri"/>
          <w:szCs w:val="24"/>
          <w:lang w:eastAsia="en-US" w:bidi="he-IL"/>
        </w:rPr>
        <w:t> </w:t>
      </w:r>
      <w:r w:rsidRPr="00D26788">
        <w:rPr>
          <w:rFonts w:eastAsia="Calibri"/>
          <w:szCs w:val="24"/>
          <w:lang w:eastAsia="en-US" w:bidi="he-IL"/>
        </w:rPr>
        <w:t xml:space="preserve">moksleiviai. Per programą „Iniciatyvos Kaunui“ jaunimo srityje finansuota 10 projektų, </w:t>
      </w:r>
      <w:r w:rsidR="00BC33FC">
        <w:rPr>
          <w:rFonts w:eastAsia="Calibri"/>
          <w:szCs w:val="24"/>
          <w:lang w:eastAsia="en-US" w:bidi="he-IL"/>
        </w:rPr>
        <w:t>jų</w:t>
      </w:r>
      <w:r w:rsidRPr="00D26788">
        <w:rPr>
          <w:rFonts w:eastAsia="Calibri"/>
          <w:szCs w:val="24"/>
          <w:lang w:eastAsia="en-US" w:bidi="he-IL"/>
        </w:rPr>
        <w:t xml:space="preserve"> veiklose dalyvavo apie 6</w:t>
      </w:r>
      <w:r w:rsidR="00BC33FC">
        <w:rPr>
          <w:rFonts w:eastAsia="Calibri"/>
          <w:szCs w:val="24"/>
          <w:lang w:eastAsia="en-US" w:bidi="he-IL"/>
        </w:rPr>
        <w:t> </w:t>
      </w:r>
      <w:r w:rsidRPr="00D26788">
        <w:rPr>
          <w:rFonts w:eastAsia="Calibri"/>
          <w:szCs w:val="24"/>
          <w:lang w:eastAsia="en-US" w:bidi="he-IL"/>
        </w:rPr>
        <w:t xml:space="preserve">025 jaunuolius. Be to, </w:t>
      </w:r>
      <w:r w:rsidR="00BC33FC">
        <w:rPr>
          <w:rFonts w:eastAsia="Calibri"/>
          <w:szCs w:val="24"/>
          <w:lang w:eastAsia="en-US" w:bidi="he-IL"/>
        </w:rPr>
        <w:t xml:space="preserve">finansuotas savanoriškos veiklos stiprinimas, </w:t>
      </w:r>
      <w:r w:rsidRPr="00D26788">
        <w:rPr>
          <w:rFonts w:eastAsia="Calibri"/>
          <w:szCs w:val="24"/>
          <w:lang w:eastAsia="en-US" w:bidi="he-IL"/>
        </w:rPr>
        <w:t>įvairiose savanorystės veiklose dalyvavo 83 jaunuoliai. 2025 metais taip pat atliktas jaunimo politikos kokybės ir situacijos tyrimas bei parengtos 2026–2029 metų jaunimo politikos gairės.</w:t>
      </w:r>
      <w:r w:rsidR="00011595">
        <w:rPr>
          <w:rFonts w:eastAsia="Calibri"/>
          <w:szCs w:val="24"/>
          <w:lang w:eastAsia="en-US" w:bidi="he-IL"/>
        </w:rPr>
        <w:t xml:space="preserve"> </w:t>
      </w:r>
    </w:p>
    <w:p w14:paraId="1A53B8E2" w14:textId="5CC8DF8D" w:rsidR="00D26788" w:rsidRDefault="00D26788" w:rsidP="0091249D">
      <w:pPr>
        <w:spacing w:line="360" w:lineRule="auto"/>
        <w:ind w:firstLine="1298"/>
        <w:jc w:val="both"/>
        <w:rPr>
          <w:rFonts w:eastAsia="Calibri"/>
          <w:szCs w:val="24"/>
          <w:lang w:eastAsia="en-US" w:bidi="he-IL"/>
        </w:rPr>
      </w:pPr>
      <w:r w:rsidRPr="00D26788">
        <w:rPr>
          <w:rFonts w:eastAsia="Calibri"/>
          <w:szCs w:val="24"/>
          <w:lang w:eastAsia="en-US" w:bidi="he-IL"/>
        </w:rPr>
        <w:t>2025 metais paslaugos miestiečiams Kaune buvo plėtojamos kompleksiškai – per skaitmeninių sprendimų diegimą, administracinių ir teisinių paslaugų prieinamumo didinimą, sveikatos priežiūros ir visuomenės sveikatos stiprinimą, socialinės paramos ir socialinių paslaugų plėtrą, šeimų ir vaikų gerovės priemones, švietimo ir sporto paslaugų kokybės gerinimą, viešosios tvarkos užtikrinimą bei jaunimo politikos įgyvendinimą. 2025 metų veiklos rodo nuoseklų Savivaldybės siekį, kad miestiečiams teikiamos paslaugos būtų ne tik prieinamos ir efektyvios, bet ir vis labiau orientuotos į individualius poreikius, ankstyvą pagalbą, skaitmenizaciją, kokybės gerinimą, saugumą ir ilgalaikį poveikį bendruomenės gerovei.</w:t>
      </w:r>
      <w:r w:rsidR="00011595">
        <w:rPr>
          <w:rFonts w:eastAsia="Calibri"/>
          <w:szCs w:val="24"/>
          <w:lang w:eastAsia="en-US" w:bidi="he-IL"/>
        </w:rPr>
        <w:t xml:space="preserve"> </w:t>
      </w:r>
    </w:p>
    <w:p w14:paraId="79E34B10" w14:textId="77777777" w:rsidR="0091249D" w:rsidRPr="00011595" w:rsidRDefault="0091249D" w:rsidP="00011595">
      <w:pPr>
        <w:rPr>
          <w:rFonts w:eastAsia="Calibri"/>
          <w:szCs w:val="24"/>
          <w:lang w:eastAsia="en-US" w:bidi="he-IL"/>
        </w:rPr>
      </w:pPr>
    </w:p>
    <w:p w14:paraId="18E8745F" w14:textId="0CA19A5D" w:rsidR="00D26788" w:rsidRPr="00011595" w:rsidRDefault="00D26788" w:rsidP="00225FBD">
      <w:pPr>
        <w:jc w:val="center"/>
        <w:rPr>
          <w:b/>
          <w:szCs w:val="24"/>
          <w:lang w:eastAsia="en-US" w:bidi="he-IL"/>
        </w:rPr>
      </w:pPr>
      <w:r w:rsidRPr="00D26788">
        <w:rPr>
          <w:rFonts w:eastAsia="Calibri"/>
          <w:b/>
          <w:szCs w:val="24"/>
          <w:lang w:eastAsia="en-US" w:bidi="he-IL"/>
        </w:rPr>
        <w:t>IX SKYRIUS</w:t>
      </w:r>
      <w:r w:rsidR="00011595">
        <w:rPr>
          <w:rFonts w:eastAsia="Calibri"/>
          <w:b/>
          <w:szCs w:val="24"/>
          <w:lang w:eastAsia="en-US" w:bidi="he-IL"/>
        </w:rPr>
        <w:t xml:space="preserve"> </w:t>
      </w:r>
    </w:p>
    <w:p w14:paraId="28C511D1" w14:textId="1406E644" w:rsidR="00D26788" w:rsidRDefault="00D26788" w:rsidP="00225FBD">
      <w:pPr>
        <w:jc w:val="center"/>
        <w:rPr>
          <w:rFonts w:eastAsia="Calibri"/>
          <w:b/>
          <w:szCs w:val="24"/>
          <w:lang w:eastAsia="en-US" w:bidi="he-IL"/>
        </w:rPr>
      </w:pPr>
      <w:r w:rsidRPr="00D26788">
        <w:rPr>
          <w:rFonts w:eastAsia="Calibri"/>
          <w:b/>
          <w:szCs w:val="24"/>
          <w:lang w:eastAsia="en-US" w:bidi="he-IL"/>
        </w:rPr>
        <w:t>BENDRADARBIAVIMAS IR ATSTOVAVIMAS</w:t>
      </w:r>
      <w:r w:rsidR="00011595">
        <w:rPr>
          <w:rFonts w:eastAsia="Calibri"/>
          <w:b/>
          <w:szCs w:val="24"/>
          <w:lang w:eastAsia="en-US" w:bidi="he-IL"/>
        </w:rPr>
        <w:t xml:space="preserve"> </w:t>
      </w:r>
    </w:p>
    <w:p w14:paraId="79643549" w14:textId="77777777" w:rsidR="007D045D" w:rsidRPr="00D26788" w:rsidRDefault="007D045D" w:rsidP="00011595">
      <w:pPr>
        <w:spacing w:line="360" w:lineRule="auto"/>
        <w:rPr>
          <w:szCs w:val="24"/>
          <w:lang w:eastAsia="en-US" w:bidi="he-IL"/>
        </w:rPr>
      </w:pPr>
    </w:p>
    <w:p w14:paraId="2B494656" w14:textId="64A28712"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miesto savivaldybė 2025 metais nuosekliai stiprino tarptautinį bendradarbiavimą, plėtojo ryšius su užsienio partneriais, aktyviai dalyvavo tarptautiniuose tinkluose ir organizacijose, priėmė užsienio delegacijas ir įvairiais formatais atstovavo miestui Lietuvoje bei užsienyje.</w:t>
      </w:r>
      <w:r w:rsidR="00011595">
        <w:rPr>
          <w:rFonts w:eastAsia="Calibri"/>
          <w:szCs w:val="24"/>
          <w:lang w:eastAsia="en-US" w:bidi="he-IL"/>
        </w:rPr>
        <w:t xml:space="preserve"> </w:t>
      </w:r>
    </w:p>
    <w:p w14:paraId="351C08B1" w14:textId="4A894D5F" w:rsidR="00D26788" w:rsidRPr="00D26788" w:rsidRDefault="00D04458" w:rsidP="00D04458">
      <w:pPr>
        <w:spacing w:line="360" w:lineRule="auto"/>
        <w:ind w:firstLine="1298"/>
        <w:jc w:val="both"/>
        <w:rPr>
          <w:szCs w:val="24"/>
          <w:lang w:eastAsia="en-US" w:bidi="he-IL"/>
        </w:rPr>
      </w:pPr>
      <w:r>
        <w:rPr>
          <w:rFonts w:eastAsia="Calibri"/>
          <w:szCs w:val="24"/>
          <w:lang w:eastAsia="en-US" w:bidi="he-IL"/>
        </w:rPr>
        <w:t>Kaunas</w:t>
      </w:r>
      <w:r w:rsidR="00D26788" w:rsidRPr="00D26788">
        <w:rPr>
          <w:rFonts w:eastAsia="Calibri"/>
          <w:szCs w:val="24"/>
          <w:lang w:eastAsia="en-US" w:bidi="he-IL"/>
        </w:rPr>
        <w:t xml:space="preserve"> aktyviai plėtojo tarptautinį bendradarbiavimą per diplomatinius, kultūrinius, švietimo, investicinius ir turizmo ryšius, taip pat per bendradarbiavimą su tarptautiniais miestų tinklais ir projektų partneriais. Miestas stiprino ryšius su partneriais iš Suomijos, Švedijos, Izraelio, Japonijos, Čekijos, Italijos, Lenkijos, Prancūzijos, Ukrainos, Vokietijos, Latvijos, Estijos, Danijos, Kroatijos, Slovėnijos, Jungtinės Karalystės ir kitų šalių.</w:t>
      </w:r>
      <w:r w:rsidR="00011595">
        <w:rPr>
          <w:rFonts w:eastAsia="Calibri"/>
          <w:szCs w:val="24"/>
          <w:lang w:eastAsia="en-US" w:bidi="he-IL"/>
        </w:rPr>
        <w:t xml:space="preserve"> </w:t>
      </w:r>
    </w:p>
    <w:p w14:paraId="0F8631AA" w14:textId="3940B6BC" w:rsidR="00D26788" w:rsidRPr="00D26788" w:rsidRDefault="00D26788" w:rsidP="00D04458">
      <w:pPr>
        <w:spacing w:line="360" w:lineRule="auto"/>
        <w:ind w:firstLine="1298"/>
        <w:jc w:val="both"/>
        <w:rPr>
          <w:szCs w:val="24"/>
          <w:lang w:eastAsia="en-US" w:bidi="he-IL"/>
        </w:rPr>
      </w:pPr>
      <w:r w:rsidRPr="00D26788">
        <w:rPr>
          <w:rFonts w:eastAsia="Calibri"/>
          <w:szCs w:val="24"/>
          <w:lang w:eastAsia="en-US" w:bidi="he-IL"/>
        </w:rPr>
        <w:t>2025 metais miestas priėmė ir organizavo daug tarptautinių susitikimų, tarp kurių išsiskyrė Monako Kunigaikštystės Princo Alberto II vizitas Kaune, ženkliai prisidėjęs prie miesto tarptautinio žinomumo ir reprezentacinio svorio stiprinimo. Taip pat Kaune lankėsi ar su Savivaldybe bendradarbiavo įvairių valstybių diplomatinių atstovybių atstovai ir ambasadoriai iš Japonijos, Kanados, Pietų Korėjos, Turkijos, Slovakijos, Kenijos, Indijos, Izraelio, Ukrainos, Prancūzijos ir Estijos.</w:t>
      </w:r>
      <w:r w:rsidR="00011595">
        <w:rPr>
          <w:rFonts w:eastAsia="Calibri"/>
          <w:szCs w:val="24"/>
          <w:lang w:eastAsia="en-US" w:bidi="he-IL"/>
        </w:rPr>
        <w:t xml:space="preserve"> </w:t>
      </w:r>
    </w:p>
    <w:p w14:paraId="2A2C058D" w14:textId="487D043D" w:rsidR="00D26788" w:rsidRPr="00D26788" w:rsidRDefault="00D04458" w:rsidP="00D04458">
      <w:pPr>
        <w:spacing w:line="360" w:lineRule="auto"/>
        <w:ind w:firstLine="1298"/>
        <w:jc w:val="both"/>
        <w:rPr>
          <w:szCs w:val="24"/>
          <w:lang w:eastAsia="en-US" w:bidi="he-IL"/>
        </w:rPr>
      </w:pPr>
      <w:r>
        <w:rPr>
          <w:rFonts w:eastAsia="Calibri"/>
          <w:szCs w:val="24"/>
          <w:lang w:eastAsia="en-US" w:bidi="he-IL"/>
        </w:rPr>
        <w:t>Praėjusiais metais</w:t>
      </w:r>
      <w:r w:rsidR="00D26788" w:rsidRPr="00D26788">
        <w:rPr>
          <w:rFonts w:eastAsia="Calibri"/>
          <w:szCs w:val="24"/>
          <w:lang w:eastAsia="en-US" w:bidi="he-IL"/>
        </w:rPr>
        <w:t xml:space="preserve"> toliau stiprint</w:t>
      </w:r>
      <w:r w:rsidR="00E9250B">
        <w:rPr>
          <w:rFonts w:eastAsia="Calibri"/>
          <w:szCs w:val="24"/>
          <w:lang w:eastAsia="en-US" w:bidi="he-IL"/>
        </w:rPr>
        <w:t>a</w:t>
      </w:r>
      <w:r w:rsidR="00D26788" w:rsidRPr="00D26788">
        <w:rPr>
          <w:rFonts w:eastAsia="Calibri"/>
          <w:szCs w:val="24"/>
          <w:lang w:eastAsia="en-US" w:bidi="he-IL"/>
        </w:rPr>
        <w:t xml:space="preserve"> Kauno miestų partnerystė. Aktyvūs ryšiai plėtoti su Tamper</w:t>
      </w:r>
      <w:r w:rsidR="00E9250B">
        <w:rPr>
          <w:rFonts w:eastAsia="Calibri"/>
          <w:szCs w:val="24"/>
          <w:lang w:eastAsia="en-US" w:bidi="he-IL"/>
        </w:rPr>
        <w:t>e</w:t>
      </w:r>
      <w:r w:rsidR="00D26788" w:rsidRPr="00D26788">
        <w:rPr>
          <w:rFonts w:eastAsia="Calibri"/>
          <w:szCs w:val="24"/>
          <w:lang w:eastAsia="en-US" w:bidi="he-IL"/>
        </w:rPr>
        <w:t xml:space="preserve"> Suomijoje, </w:t>
      </w:r>
      <w:r w:rsidR="00D26788" w:rsidRPr="00011595">
        <w:rPr>
          <w:rFonts w:eastAsia="Calibri"/>
          <w:szCs w:val="24"/>
          <w:lang w:eastAsia="en-US" w:bidi="he-IL"/>
        </w:rPr>
        <w:t>Jonšiopingu</w:t>
      </w:r>
      <w:r w:rsidR="00D26788" w:rsidRPr="00D26788">
        <w:rPr>
          <w:rFonts w:eastAsia="Calibri"/>
          <w:szCs w:val="24"/>
          <w:lang w:eastAsia="en-US" w:bidi="he-IL"/>
        </w:rPr>
        <w:t xml:space="preserve"> Švedijoje, </w:t>
      </w:r>
      <w:r w:rsidR="00D26788" w:rsidRPr="00011595">
        <w:rPr>
          <w:rFonts w:eastAsia="Calibri"/>
          <w:szCs w:val="24"/>
          <w:lang w:eastAsia="en-US" w:bidi="he-IL"/>
        </w:rPr>
        <w:t>Rišon Lezionu</w:t>
      </w:r>
      <w:r w:rsidR="00D26788" w:rsidRPr="00D26788">
        <w:rPr>
          <w:rFonts w:eastAsia="Calibri"/>
          <w:szCs w:val="24"/>
          <w:lang w:eastAsia="en-US" w:bidi="he-IL"/>
        </w:rPr>
        <w:t xml:space="preserve"> Izraelyje, </w:t>
      </w:r>
      <w:r w:rsidR="00D26788" w:rsidRPr="00011595">
        <w:rPr>
          <w:rFonts w:eastAsia="Calibri"/>
          <w:szCs w:val="24"/>
          <w:lang w:eastAsia="en-US" w:bidi="he-IL"/>
        </w:rPr>
        <w:t>Jaotsu ir Hiracuka</w:t>
      </w:r>
      <w:r w:rsidR="00D26788" w:rsidRPr="00D26788">
        <w:rPr>
          <w:rFonts w:eastAsia="Calibri"/>
          <w:szCs w:val="24"/>
          <w:lang w:eastAsia="en-US" w:bidi="he-IL"/>
        </w:rPr>
        <w:t xml:space="preserve"> Japonijoje, </w:t>
      </w:r>
      <w:r w:rsidR="00D26788" w:rsidRPr="00D26788">
        <w:rPr>
          <w:rFonts w:eastAsia="Calibri"/>
          <w:szCs w:val="24"/>
          <w:lang w:eastAsia="en-US" w:bidi="he-IL"/>
        </w:rPr>
        <w:lastRenderedPageBreak/>
        <w:t xml:space="preserve">Brno Čekijoje, Breša Italijoje, Torune Lenkijoje </w:t>
      </w:r>
      <w:r w:rsidR="00E9250B">
        <w:rPr>
          <w:rFonts w:eastAsia="Calibri"/>
          <w:szCs w:val="24"/>
          <w:lang w:eastAsia="en-US" w:bidi="he-IL"/>
        </w:rPr>
        <w:t xml:space="preserve">ir </w:t>
      </w:r>
      <w:r w:rsidR="00D26788" w:rsidRPr="00D26788">
        <w:rPr>
          <w:rFonts w:eastAsia="Calibri"/>
          <w:szCs w:val="24"/>
          <w:lang w:eastAsia="en-US" w:bidi="he-IL"/>
        </w:rPr>
        <w:t>Grenobliu Prancūzijoje. 2025 metais taip pat stiprintas bendradarbiavimas su Ukrainos miestais ir institucijomis.</w:t>
      </w:r>
      <w:r w:rsidR="00E9250B">
        <w:rPr>
          <w:rFonts w:eastAsia="Calibri"/>
          <w:szCs w:val="24"/>
          <w:lang w:eastAsia="en-US" w:bidi="he-IL"/>
        </w:rPr>
        <w:t xml:space="preserve"> </w:t>
      </w:r>
    </w:p>
    <w:p w14:paraId="75DDADF0" w14:textId="3F61E907"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Svarbi partnerystės dalis buvo ir miestų bei organizacijų atstovų vizitai Kaune. 2025</w:t>
      </w:r>
      <w:r w:rsidR="00E9250B">
        <w:rPr>
          <w:rFonts w:eastAsia="Calibri"/>
          <w:szCs w:val="24"/>
          <w:lang w:eastAsia="en-US" w:bidi="he-IL"/>
        </w:rPr>
        <w:t> </w:t>
      </w:r>
      <w:r w:rsidRPr="00D26788">
        <w:rPr>
          <w:rFonts w:eastAsia="Calibri"/>
          <w:szCs w:val="24"/>
          <w:lang w:eastAsia="en-US" w:bidi="he-IL"/>
        </w:rPr>
        <w:t>metais mieste lankėsi įvairios švietimo, kultūros, verslo ir savivaldos delegacijos, tarp jų – delegacijos iš Grenoblio, Nagojos, Veimaro, Latvijos organizacijų ir kitų partnerių tinklų. Atstovavimo veiklos apėmė ne tik oficialius susitikimus, bet ir bendras konferencijas, kultūros bei švietimo programas, mainus ir partnerinių projektų aptarimą.</w:t>
      </w:r>
      <w:r w:rsidR="00011595">
        <w:rPr>
          <w:rFonts w:eastAsia="Calibri"/>
          <w:szCs w:val="24"/>
          <w:lang w:eastAsia="en-US" w:bidi="he-IL"/>
        </w:rPr>
        <w:t xml:space="preserve"> </w:t>
      </w:r>
    </w:p>
    <w:p w14:paraId="5466C779" w14:textId="31D2996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Kaune 2025 metais organizuotas platus tarptautinių renginių spektras. Mieste vyko Frankofonijos mėnuo, Skandinavijos dienos, Japonijos dienos, Čekijos dienos, Italų dienos, taip pat įvairūs koncertai, parodos, edukacijos, forumai ir teminiai susitikimai. 2025 metais prie tarptautiškumo stiprinimo prisidėjo ir profesiniai bei sektoriniai renginiai: Kaune vyko 10</w:t>
      </w:r>
      <w:r w:rsidR="00011595">
        <w:rPr>
          <w:rFonts w:eastAsia="Calibri"/>
          <w:szCs w:val="24"/>
          <w:lang w:eastAsia="en-US" w:bidi="he-IL"/>
        </w:rPr>
        <w:t> </w:t>
      </w:r>
      <w:r w:rsidRPr="00D26788">
        <w:rPr>
          <w:rFonts w:eastAsia="Calibri"/>
          <w:szCs w:val="24"/>
          <w:lang w:eastAsia="en-US" w:bidi="he-IL"/>
        </w:rPr>
        <w:t>tarptautinių konferencijų, mieste filmuoti 6 tarptautiniai audiovizualiniai projektai, tarptautinių renginių organizatoriams suteikta apie 20 konsultacijų, o dėl konferencijų erdvių sulaukta apie 50</w:t>
      </w:r>
      <w:r w:rsidR="00011595">
        <w:rPr>
          <w:rFonts w:eastAsia="Calibri"/>
          <w:szCs w:val="24"/>
          <w:lang w:eastAsia="en-US" w:bidi="he-IL"/>
        </w:rPr>
        <w:t> </w:t>
      </w:r>
      <w:r w:rsidRPr="00D26788">
        <w:rPr>
          <w:rFonts w:eastAsia="Calibri"/>
          <w:szCs w:val="24"/>
          <w:lang w:eastAsia="en-US" w:bidi="he-IL"/>
        </w:rPr>
        <w:t>užklausų. Tokie rodikliai rodo vis stipresnį Kauno, kaip konferencijų, renginių ir kūrybinių industrijų miesto, vaidmenį.</w:t>
      </w:r>
      <w:r w:rsidR="00011595">
        <w:rPr>
          <w:rFonts w:eastAsia="Calibri"/>
          <w:szCs w:val="24"/>
          <w:lang w:eastAsia="en-US" w:bidi="he-IL"/>
        </w:rPr>
        <w:t xml:space="preserve"> </w:t>
      </w:r>
    </w:p>
    <w:p w14:paraId="05FF4D65" w14:textId="3520C452" w:rsidR="00D26788" w:rsidRPr="00D26788" w:rsidRDefault="00D26788" w:rsidP="00D04458">
      <w:pPr>
        <w:spacing w:line="360" w:lineRule="auto"/>
        <w:ind w:firstLine="1298"/>
        <w:jc w:val="both"/>
        <w:rPr>
          <w:szCs w:val="24"/>
          <w:lang w:eastAsia="en-US" w:bidi="he-IL"/>
        </w:rPr>
      </w:pPr>
      <w:r w:rsidRPr="00D26788">
        <w:rPr>
          <w:rFonts w:eastAsia="Calibri"/>
          <w:szCs w:val="24"/>
          <w:lang w:eastAsia="en-US" w:bidi="he-IL"/>
        </w:rPr>
        <w:t>2025 metais išskirtinai svarbią vietą užėmė bendradarbiavimas su Ukraina. Kaunas tęsė praktinę ir simbolinę paramą Ukrainos partneriams: Charkivui neatlygintinai perduoti 5</w:t>
      </w:r>
      <w:r w:rsidR="00011595">
        <w:rPr>
          <w:rFonts w:eastAsia="Calibri"/>
          <w:szCs w:val="24"/>
          <w:lang w:eastAsia="en-US" w:bidi="he-IL"/>
        </w:rPr>
        <w:t> </w:t>
      </w:r>
      <w:r w:rsidRPr="00D26788">
        <w:rPr>
          <w:rFonts w:eastAsia="Calibri"/>
          <w:szCs w:val="24"/>
          <w:lang w:eastAsia="en-US" w:bidi="he-IL"/>
        </w:rPr>
        <w:t xml:space="preserve">miesto autobusai, organizuota Charkivo mokinių stovykla, vyko Kyjivo teatro universiteto studentų vizitas, muzikos ir kultūros mainų veiklos, taip pat Taikos muzikos festivalio iniciatyvos. </w:t>
      </w:r>
      <w:r w:rsidR="00D04458">
        <w:rPr>
          <w:rFonts w:eastAsia="Calibri"/>
          <w:szCs w:val="24"/>
          <w:lang w:eastAsia="en-US" w:bidi="he-IL"/>
        </w:rPr>
        <w:t>T</w:t>
      </w:r>
      <w:r w:rsidRPr="00D26788">
        <w:rPr>
          <w:rFonts w:eastAsia="Calibri"/>
          <w:szCs w:val="24"/>
          <w:lang w:eastAsia="en-US" w:bidi="he-IL"/>
        </w:rPr>
        <w:t xml:space="preserve">arptautinis bendradarbiavimas </w:t>
      </w:r>
      <w:r w:rsidR="00D04458">
        <w:rPr>
          <w:rFonts w:eastAsia="Calibri"/>
          <w:szCs w:val="24"/>
          <w:lang w:eastAsia="en-US" w:bidi="he-IL"/>
        </w:rPr>
        <w:t>praėjusiais</w:t>
      </w:r>
      <w:r w:rsidRPr="00D26788">
        <w:rPr>
          <w:rFonts w:eastAsia="Calibri"/>
          <w:szCs w:val="24"/>
          <w:lang w:eastAsia="en-US" w:bidi="he-IL"/>
        </w:rPr>
        <w:t xml:space="preserve"> metais buvo orientuotas ne tik į reprezentaciją, bet ir į solidarumą, praktinę pagalbą </w:t>
      </w:r>
      <w:r w:rsidR="00661452">
        <w:rPr>
          <w:rFonts w:eastAsia="Calibri"/>
          <w:szCs w:val="24"/>
          <w:lang w:eastAsia="en-US" w:bidi="he-IL"/>
        </w:rPr>
        <w:t xml:space="preserve">ir </w:t>
      </w:r>
      <w:r w:rsidRPr="00D26788">
        <w:rPr>
          <w:rFonts w:eastAsia="Calibri"/>
          <w:szCs w:val="24"/>
          <w:lang w:eastAsia="en-US" w:bidi="he-IL"/>
        </w:rPr>
        <w:t>ilgalaikių ryšių stiprinimą.</w:t>
      </w:r>
      <w:r w:rsidR="00011595">
        <w:rPr>
          <w:rFonts w:eastAsia="Calibri"/>
          <w:szCs w:val="24"/>
          <w:lang w:eastAsia="en-US" w:bidi="he-IL"/>
        </w:rPr>
        <w:t xml:space="preserve"> </w:t>
      </w:r>
    </w:p>
    <w:p w14:paraId="2E48C667" w14:textId="788315FD"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Ukrainos tema buvo matoma ir kituose miesto veiklos segmentuose. Kaune organizuotos ekskursijos ukrainiečių kalba, priimtos delegacijos iš Ukrainos, o miesto socialinės paramos sistemoje reikšmingą dalį sudarė ir iš Ukrainos atvykusių asmenų aptarnavimas. Be to, 2025</w:t>
      </w:r>
      <w:r w:rsidR="00011595">
        <w:rPr>
          <w:rFonts w:eastAsia="Calibri"/>
          <w:szCs w:val="24"/>
          <w:lang w:eastAsia="en-US" w:bidi="he-IL"/>
        </w:rPr>
        <w:t> </w:t>
      </w:r>
      <w:r w:rsidRPr="00D26788">
        <w:rPr>
          <w:rFonts w:eastAsia="Calibri"/>
          <w:szCs w:val="24"/>
          <w:lang w:eastAsia="en-US" w:bidi="he-IL"/>
        </w:rPr>
        <w:t>m</w:t>
      </w:r>
      <w:r w:rsidR="00D04458">
        <w:rPr>
          <w:rFonts w:eastAsia="Calibri"/>
          <w:szCs w:val="24"/>
          <w:lang w:eastAsia="en-US" w:bidi="he-IL"/>
        </w:rPr>
        <w:t>etais</w:t>
      </w:r>
      <w:r w:rsidRPr="00D26788">
        <w:rPr>
          <w:rFonts w:eastAsia="Calibri"/>
          <w:szCs w:val="24"/>
          <w:lang w:eastAsia="en-US" w:bidi="he-IL"/>
        </w:rPr>
        <w:t xml:space="preserve"> turizmo statistikoje fiksuota 3</w:t>
      </w:r>
      <w:r w:rsidR="00D04458">
        <w:rPr>
          <w:rFonts w:eastAsia="Calibri"/>
          <w:szCs w:val="24"/>
          <w:lang w:eastAsia="en-US" w:bidi="he-IL"/>
        </w:rPr>
        <w:t> </w:t>
      </w:r>
      <w:r w:rsidRPr="00D26788">
        <w:rPr>
          <w:rFonts w:eastAsia="Calibri"/>
          <w:szCs w:val="24"/>
          <w:lang w:eastAsia="en-US" w:bidi="he-IL"/>
        </w:rPr>
        <w:t>709 turistų ir 6</w:t>
      </w:r>
      <w:r w:rsidR="00D04458">
        <w:rPr>
          <w:rFonts w:eastAsia="Calibri"/>
          <w:szCs w:val="24"/>
          <w:lang w:eastAsia="en-US" w:bidi="he-IL"/>
        </w:rPr>
        <w:t> </w:t>
      </w:r>
      <w:r w:rsidRPr="00D26788">
        <w:rPr>
          <w:rFonts w:eastAsia="Calibri"/>
          <w:szCs w:val="24"/>
          <w:lang w:eastAsia="en-US" w:bidi="he-IL"/>
        </w:rPr>
        <w:t>613 nakvynių</w:t>
      </w:r>
      <w:r w:rsidR="00D04458">
        <w:rPr>
          <w:rFonts w:eastAsia="Calibri"/>
          <w:szCs w:val="24"/>
          <w:lang w:eastAsia="en-US" w:bidi="he-IL"/>
        </w:rPr>
        <w:t xml:space="preserve"> iš Ukrainos – </w:t>
      </w:r>
      <w:r w:rsidR="0010325B">
        <w:rPr>
          <w:rFonts w:eastAsia="Calibri"/>
          <w:szCs w:val="24"/>
          <w:lang w:eastAsia="en-US" w:bidi="he-IL"/>
        </w:rPr>
        <w:t>miestas augino</w:t>
      </w:r>
      <w:r w:rsidR="00D04458">
        <w:rPr>
          <w:rFonts w:eastAsia="Calibri"/>
          <w:szCs w:val="24"/>
          <w:lang w:eastAsia="en-US" w:bidi="he-IL"/>
        </w:rPr>
        <w:t xml:space="preserve"> </w:t>
      </w:r>
      <w:r w:rsidRPr="00D26788">
        <w:rPr>
          <w:rFonts w:eastAsia="Calibri"/>
          <w:szCs w:val="24"/>
          <w:lang w:eastAsia="en-US" w:bidi="he-IL"/>
        </w:rPr>
        <w:t>judėjimo bei ryšių intensyvum</w:t>
      </w:r>
      <w:r w:rsidR="0010325B">
        <w:rPr>
          <w:rFonts w:eastAsia="Calibri"/>
          <w:szCs w:val="24"/>
          <w:lang w:eastAsia="en-US" w:bidi="he-IL"/>
        </w:rPr>
        <w:t>ą</w:t>
      </w:r>
      <w:r w:rsidR="00D04458">
        <w:rPr>
          <w:rFonts w:eastAsia="Calibri"/>
          <w:szCs w:val="24"/>
          <w:lang w:eastAsia="en-US" w:bidi="he-IL"/>
        </w:rPr>
        <w:t xml:space="preserve"> su Ukraina</w:t>
      </w:r>
      <w:r w:rsidR="0010325B">
        <w:rPr>
          <w:rFonts w:eastAsia="Calibri"/>
          <w:szCs w:val="24"/>
          <w:lang w:eastAsia="en-US" w:bidi="he-IL"/>
        </w:rPr>
        <w:t>.</w:t>
      </w:r>
      <w:r w:rsidR="00011595">
        <w:rPr>
          <w:rFonts w:eastAsia="Calibri"/>
          <w:szCs w:val="24"/>
          <w:lang w:eastAsia="en-US" w:bidi="he-IL"/>
        </w:rPr>
        <w:t xml:space="preserve"> </w:t>
      </w:r>
    </w:p>
    <w:p w14:paraId="38F0256D" w14:textId="75E1B2AD" w:rsidR="00D26788" w:rsidRPr="00D26788" w:rsidRDefault="00D26788" w:rsidP="0010325B">
      <w:pPr>
        <w:spacing w:line="360" w:lineRule="auto"/>
        <w:ind w:firstLine="1298"/>
        <w:jc w:val="both"/>
        <w:rPr>
          <w:szCs w:val="24"/>
          <w:lang w:eastAsia="en-US" w:bidi="he-IL"/>
        </w:rPr>
      </w:pPr>
      <w:r w:rsidRPr="00D26788">
        <w:rPr>
          <w:rFonts w:eastAsia="Calibri"/>
          <w:szCs w:val="24"/>
          <w:lang w:eastAsia="en-US" w:bidi="he-IL"/>
        </w:rPr>
        <w:t xml:space="preserve">2025 metais Kaunas aktyviai veikė įvairiuose tarptautiniuose miestų ir sektorių tinkluose. Miestas dalyvavo Baltijos miestų sąjungoje (BMS), Hanzos veiklose, taip pat </w:t>
      </w:r>
      <w:r w:rsidR="0010325B">
        <w:rPr>
          <w:rFonts w:eastAsia="Calibri"/>
          <w:szCs w:val="24"/>
          <w:lang w:eastAsia="en-US" w:bidi="he-IL"/>
        </w:rPr>
        <w:t>Europos miestai prieš narkotikus (</w:t>
      </w:r>
      <w:r w:rsidRPr="00D26788">
        <w:rPr>
          <w:rFonts w:eastAsia="Calibri"/>
          <w:szCs w:val="24"/>
          <w:lang w:eastAsia="en-US" w:bidi="he-IL"/>
        </w:rPr>
        <w:t>ECAD</w:t>
      </w:r>
      <w:r w:rsidR="0010325B">
        <w:rPr>
          <w:rFonts w:eastAsia="Calibri"/>
          <w:szCs w:val="24"/>
          <w:lang w:eastAsia="en-US" w:bidi="he-IL"/>
        </w:rPr>
        <w:t>)</w:t>
      </w:r>
      <w:r w:rsidRPr="00D26788">
        <w:rPr>
          <w:rFonts w:eastAsia="Calibri"/>
          <w:szCs w:val="24"/>
          <w:lang w:eastAsia="en-US" w:bidi="he-IL"/>
        </w:rPr>
        <w:t xml:space="preserve"> veiklose. Be to, </w:t>
      </w:r>
      <w:r w:rsidR="0010325B">
        <w:rPr>
          <w:rFonts w:eastAsia="Calibri"/>
          <w:szCs w:val="24"/>
          <w:lang w:eastAsia="en-US" w:bidi="he-IL"/>
        </w:rPr>
        <w:t>miestas</w:t>
      </w:r>
      <w:r w:rsidRPr="00D26788">
        <w:rPr>
          <w:rFonts w:eastAsia="Calibri"/>
          <w:szCs w:val="24"/>
          <w:lang w:eastAsia="en-US" w:bidi="he-IL"/>
        </w:rPr>
        <w:t xml:space="preserve"> aktyviai stiprino tarptautinį matomumą per </w:t>
      </w:r>
      <w:r w:rsidRPr="00E9250B">
        <w:rPr>
          <w:rFonts w:eastAsia="Calibri"/>
          <w:i/>
          <w:szCs w:val="24"/>
          <w:lang w:eastAsia="en-US" w:bidi="he-IL"/>
        </w:rPr>
        <w:t>CityDNA Alliance</w:t>
      </w:r>
      <w:r w:rsidRPr="00D26788">
        <w:rPr>
          <w:rFonts w:eastAsia="Calibri"/>
          <w:szCs w:val="24"/>
          <w:lang w:eastAsia="en-US" w:bidi="he-IL"/>
        </w:rPr>
        <w:t xml:space="preserve">, LKRA, EUFCN, Lithuania BIO, </w:t>
      </w:r>
      <w:r w:rsidRPr="00E9250B">
        <w:rPr>
          <w:rFonts w:eastAsia="Calibri"/>
          <w:i/>
          <w:szCs w:val="24"/>
          <w:lang w:eastAsia="en-US" w:bidi="he-IL"/>
        </w:rPr>
        <w:t>CliNeDest</w:t>
      </w:r>
      <w:r w:rsidRPr="00D26788">
        <w:rPr>
          <w:rFonts w:eastAsia="Calibri"/>
          <w:szCs w:val="24"/>
          <w:lang w:eastAsia="en-US" w:bidi="he-IL"/>
        </w:rPr>
        <w:t xml:space="preserve"> ir kitus bendradarbiavimo tinklus, ypač turizmo, filmų, investicijų ir inovacijų srityse.</w:t>
      </w:r>
      <w:r w:rsidR="00011595">
        <w:rPr>
          <w:rFonts w:eastAsia="Calibri"/>
          <w:szCs w:val="24"/>
          <w:lang w:eastAsia="en-US" w:bidi="he-IL"/>
        </w:rPr>
        <w:t xml:space="preserve"> </w:t>
      </w:r>
    </w:p>
    <w:p w14:paraId="6FD88F6D" w14:textId="770FB496"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Tarptautinių organizacijų kontekste 2025 metais svarbios buvo ir sektorių lyderystės veiklos. Kaunas atstovavo miestui </w:t>
      </w:r>
      <w:r w:rsidR="0010325B">
        <w:rPr>
          <w:rFonts w:eastAsia="Calibri"/>
          <w:szCs w:val="24"/>
          <w:lang w:eastAsia="en-US" w:bidi="he-IL"/>
        </w:rPr>
        <w:t>Pasaulio sveikatos organizacijos (</w:t>
      </w:r>
      <w:r w:rsidRPr="00D26788">
        <w:rPr>
          <w:rFonts w:eastAsia="Calibri"/>
          <w:szCs w:val="24"/>
          <w:lang w:eastAsia="en-US" w:bidi="he-IL"/>
        </w:rPr>
        <w:t>PSO</w:t>
      </w:r>
      <w:r w:rsidR="0010325B">
        <w:rPr>
          <w:rFonts w:eastAsia="Calibri"/>
          <w:szCs w:val="24"/>
          <w:lang w:eastAsia="en-US" w:bidi="he-IL"/>
        </w:rPr>
        <w:t>)</w:t>
      </w:r>
      <w:r w:rsidRPr="00D26788">
        <w:rPr>
          <w:rFonts w:eastAsia="Calibri"/>
          <w:szCs w:val="24"/>
          <w:lang w:eastAsia="en-US" w:bidi="he-IL"/>
        </w:rPr>
        <w:t xml:space="preserve"> Europos sveikų miestų </w:t>
      </w:r>
      <w:r w:rsidRPr="00D26788">
        <w:rPr>
          <w:rFonts w:eastAsia="Calibri"/>
          <w:szCs w:val="24"/>
          <w:lang w:eastAsia="en-US" w:bidi="he-IL"/>
        </w:rPr>
        <w:lastRenderedPageBreak/>
        <w:t xml:space="preserve">tinkle, dalyvavo </w:t>
      </w:r>
      <w:r w:rsidR="0010325B" w:rsidRPr="0010325B">
        <w:rPr>
          <w:rFonts w:eastAsia="Calibri"/>
          <w:szCs w:val="24"/>
          <w:lang w:eastAsia="en-US" w:bidi="he-IL"/>
        </w:rPr>
        <w:t> Europos visuomenės sveikatos asociacij</w:t>
      </w:r>
      <w:r w:rsidR="0010325B">
        <w:rPr>
          <w:rFonts w:eastAsia="Calibri"/>
          <w:szCs w:val="24"/>
          <w:lang w:eastAsia="en-US" w:bidi="he-IL"/>
        </w:rPr>
        <w:t>os (</w:t>
      </w:r>
      <w:r w:rsidRPr="00D26788">
        <w:rPr>
          <w:rFonts w:eastAsia="Calibri"/>
          <w:szCs w:val="24"/>
          <w:lang w:eastAsia="en-US" w:bidi="he-IL"/>
        </w:rPr>
        <w:t>EUPHA</w:t>
      </w:r>
      <w:r w:rsidR="0010325B">
        <w:rPr>
          <w:rFonts w:eastAsia="Calibri"/>
          <w:szCs w:val="24"/>
          <w:lang w:eastAsia="en-US" w:bidi="he-IL"/>
        </w:rPr>
        <w:t>)</w:t>
      </w:r>
      <w:r w:rsidRPr="00D26788">
        <w:rPr>
          <w:rFonts w:eastAsia="Calibri"/>
          <w:szCs w:val="24"/>
          <w:lang w:eastAsia="en-US" w:bidi="he-IL"/>
        </w:rPr>
        <w:t xml:space="preserve"> konferencijoje Helsinkyje, taip pat veikė kitose sveikatos, kultūros, filmų ir turizmo profesionalų bendruomenėse. </w:t>
      </w:r>
      <w:r w:rsidR="0010325B">
        <w:rPr>
          <w:rFonts w:eastAsia="Calibri"/>
          <w:szCs w:val="24"/>
          <w:lang w:eastAsia="en-US" w:bidi="he-IL"/>
        </w:rPr>
        <w:t>M</w:t>
      </w:r>
      <w:r w:rsidRPr="00D26788">
        <w:rPr>
          <w:rFonts w:eastAsia="Calibri"/>
          <w:szCs w:val="24"/>
          <w:lang w:eastAsia="en-US" w:bidi="he-IL"/>
        </w:rPr>
        <w:t>iesto atstovavimas 2025 metais buvo daugiasluoksnis: nuo politinio ir diplomatinio iki profesinio, teminio ir sektorinio.</w:t>
      </w:r>
      <w:r w:rsidR="00011595">
        <w:rPr>
          <w:rFonts w:eastAsia="Calibri"/>
          <w:szCs w:val="24"/>
          <w:lang w:eastAsia="en-US" w:bidi="he-IL"/>
        </w:rPr>
        <w:t xml:space="preserve"> </w:t>
      </w:r>
    </w:p>
    <w:p w14:paraId="620337B7" w14:textId="407E545E"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Kauno atstovavimas 2025 metais vyko ne tik priimant delegacijas Lietuvoje, bet ir dalyvaujant renginiuose bei susitikimuose užsienyje. Savivaldybės darbuotojai ir atstovai dalyvavo komandiruotėse į Nyderlandus, Ispaniją, Italiją, Turkiją, Suomiją, Lenkiją, Prancūziją, Vokietiją, Daniją, Slovėniją, Jungtinę Karalystę, Latviją, Švediją, Estiją, Japoniją ir Kroatiją, o bendrai komandiruotėse dalyvavo apie 29</w:t>
      </w:r>
      <w:r w:rsidR="0010325B">
        <w:rPr>
          <w:rFonts w:eastAsia="Calibri"/>
          <w:szCs w:val="24"/>
          <w:lang w:eastAsia="en-US" w:bidi="he-IL"/>
        </w:rPr>
        <w:t>,0</w:t>
      </w:r>
      <w:r w:rsidRPr="00D26788">
        <w:rPr>
          <w:rFonts w:eastAsia="Calibri"/>
          <w:szCs w:val="24"/>
          <w:lang w:eastAsia="en-US" w:bidi="he-IL"/>
        </w:rPr>
        <w:t xml:space="preserve"> proc. darbuotojų. Šios komandiruotės buvo susijusios su švietimo, sveikatos, investicijų, turizmo, viešojo administravimo, kultūros ir kitų sričių partnerystėmis bei projektiniais susitikimais.</w:t>
      </w:r>
      <w:r w:rsidR="00011595">
        <w:rPr>
          <w:rFonts w:eastAsia="Calibri"/>
          <w:szCs w:val="24"/>
          <w:lang w:eastAsia="en-US" w:bidi="he-IL"/>
        </w:rPr>
        <w:t xml:space="preserve"> </w:t>
      </w:r>
    </w:p>
    <w:p w14:paraId="307D4FB5" w14:textId="19CBBD9B"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Kaunas taip pat atstovautas reikšminguose tarptautiniuose turizmo, verslo ir investicijų renginiuose: </w:t>
      </w:r>
      <w:r w:rsidR="0010325B">
        <w:rPr>
          <w:rFonts w:eastAsia="Calibri"/>
          <w:szCs w:val="24"/>
          <w:lang w:eastAsia="en-US" w:bidi="he-IL"/>
        </w:rPr>
        <w:t>„</w:t>
      </w:r>
      <w:r w:rsidRPr="00D26788">
        <w:rPr>
          <w:rFonts w:eastAsia="Calibri"/>
          <w:szCs w:val="24"/>
          <w:lang w:eastAsia="en-US" w:bidi="he-IL"/>
        </w:rPr>
        <w:t>ITB Berlin</w:t>
      </w:r>
      <w:r w:rsidR="0010325B">
        <w:rPr>
          <w:rFonts w:eastAsia="Calibri"/>
          <w:szCs w:val="24"/>
          <w:lang w:eastAsia="en-US" w:bidi="he-IL"/>
        </w:rPr>
        <w:t>“</w:t>
      </w:r>
      <w:r w:rsidRPr="00D26788">
        <w:rPr>
          <w:rFonts w:eastAsia="Calibri"/>
          <w:szCs w:val="24"/>
          <w:lang w:eastAsia="en-US" w:bidi="he-IL"/>
        </w:rPr>
        <w:t xml:space="preserve">, </w:t>
      </w:r>
      <w:r w:rsidR="0010325B">
        <w:rPr>
          <w:rFonts w:eastAsia="Calibri"/>
          <w:szCs w:val="24"/>
          <w:lang w:eastAsia="en-US" w:bidi="he-IL"/>
        </w:rPr>
        <w:t>„</w:t>
      </w:r>
      <w:r w:rsidRPr="00D26788">
        <w:rPr>
          <w:rFonts w:eastAsia="Calibri"/>
          <w:szCs w:val="24"/>
          <w:lang w:eastAsia="en-US" w:bidi="he-IL"/>
        </w:rPr>
        <w:t>WTM London</w:t>
      </w:r>
      <w:r w:rsidR="0010325B">
        <w:rPr>
          <w:rFonts w:eastAsia="Calibri"/>
          <w:szCs w:val="24"/>
          <w:lang w:eastAsia="en-US" w:bidi="he-IL"/>
        </w:rPr>
        <w:t>“</w:t>
      </w:r>
      <w:r w:rsidRPr="00D26788">
        <w:rPr>
          <w:rFonts w:eastAsia="Calibri"/>
          <w:szCs w:val="24"/>
          <w:lang w:eastAsia="en-US" w:bidi="he-IL"/>
        </w:rPr>
        <w:t xml:space="preserve">, </w:t>
      </w:r>
      <w:r w:rsidR="0010325B">
        <w:rPr>
          <w:rFonts w:eastAsia="Calibri"/>
          <w:szCs w:val="24"/>
          <w:lang w:eastAsia="en-US" w:bidi="he-IL"/>
        </w:rPr>
        <w:t>„</w:t>
      </w:r>
      <w:r w:rsidRPr="00D26788">
        <w:rPr>
          <w:rFonts w:eastAsia="Calibri"/>
          <w:szCs w:val="24"/>
          <w:lang w:eastAsia="en-US" w:bidi="he-IL"/>
        </w:rPr>
        <w:t>IBTM World Barcelona</w:t>
      </w:r>
      <w:r w:rsidR="0010325B">
        <w:rPr>
          <w:rFonts w:eastAsia="Calibri"/>
          <w:szCs w:val="24"/>
          <w:lang w:eastAsia="en-US" w:bidi="he-IL"/>
        </w:rPr>
        <w:t>“</w:t>
      </w:r>
      <w:r w:rsidRPr="00D26788">
        <w:rPr>
          <w:rFonts w:eastAsia="Calibri"/>
          <w:szCs w:val="24"/>
          <w:lang w:eastAsia="en-US" w:bidi="he-IL"/>
        </w:rPr>
        <w:t xml:space="preserve">, </w:t>
      </w:r>
      <w:r w:rsidR="0010325B">
        <w:rPr>
          <w:rFonts w:eastAsia="Calibri"/>
          <w:szCs w:val="24"/>
          <w:lang w:eastAsia="en-US" w:bidi="he-IL"/>
        </w:rPr>
        <w:t>„</w:t>
      </w:r>
      <w:r w:rsidRPr="00D26788">
        <w:rPr>
          <w:rFonts w:eastAsia="Calibri"/>
          <w:szCs w:val="24"/>
          <w:lang w:eastAsia="en-US" w:bidi="he-IL"/>
        </w:rPr>
        <w:t>CityDNA CVB Café</w:t>
      </w:r>
      <w:r w:rsidR="0010325B">
        <w:rPr>
          <w:rFonts w:eastAsia="Calibri"/>
          <w:szCs w:val="24"/>
          <w:lang w:eastAsia="en-US" w:bidi="he-IL"/>
        </w:rPr>
        <w:t>“</w:t>
      </w:r>
      <w:r w:rsidRPr="00D26788">
        <w:rPr>
          <w:rFonts w:eastAsia="Calibri"/>
          <w:szCs w:val="24"/>
          <w:lang w:eastAsia="en-US" w:bidi="he-IL"/>
        </w:rPr>
        <w:t>, įvairiuose B2B ir B2C formatuose, taip pat regioniniuose renginiuose Lenkijoje, Airijoje, Latvijoje ir kitose rinkose. Tokiu būdu 2025 metais Kaunas ne tik palaikė esamus ryšius, bet ir sistemingai stiprino savo pozicijas tarptautinėse rinkose bei profesiniuose tinkluose.</w:t>
      </w:r>
      <w:r w:rsidR="00011595">
        <w:rPr>
          <w:rFonts w:eastAsia="Calibri"/>
          <w:szCs w:val="24"/>
          <w:lang w:eastAsia="en-US" w:bidi="he-IL"/>
        </w:rPr>
        <w:t xml:space="preserve"> </w:t>
      </w:r>
    </w:p>
    <w:p w14:paraId="52679FA1" w14:textId="141BC3C6" w:rsidR="00D26788" w:rsidRPr="00D26788" w:rsidRDefault="00D26788" w:rsidP="0010325B">
      <w:pPr>
        <w:spacing w:line="360" w:lineRule="auto"/>
        <w:ind w:firstLine="1298"/>
        <w:jc w:val="both"/>
        <w:rPr>
          <w:szCs w:val="24"/>
          <w:lang w:eastAsia="en-US" w:bidi="he-IL"/>
        </w:rPr>
      </w:pPr>
      <w:r w:rsidRPr="00D26788">
        <w:rPr>
          <w:rFonts w:eastAsia="Calibri"/>
          <w:szCs w:val="24"/>
          <w:lang w:eastAsia="en-US" w:bidi="he-IL"/>
        </w:rPr>
        <w:t xml:space="preserve">2025 metais plėtotos ir tarptautinio švietimo bendradarbiavimo veiklos. Per </w:t>
      </w:r>
      <w:r w:rsidR="0010325B">
        <w:rPr>
          <w:rFonts w:eastAsia="Calibri"/>
          <w:szCs w:val="24"/>
          <w:lang w:eastAsia="en-US" w:bidi="he-IL"/>
        </w:rPr>
        <w:t>„</w:t>
      </w:r>
      <w:r w:rsidRPr="00D26788">
        <w:rPr>
          <w:rFonts w:eastAsia="Calibri"/>
          <w:szCs w:val="24"/>
          <w:lang w:eastAsia="en-US" w:bidi="he-IL"/>
        </w:rPr>
        <w:t>Tūkstantmečio mokyklų</w:t>
      </w:r>
      <w:r w:rsidR="0010325B">
        <w:rPr>
          <w:rFonts w:eastAsia="Calibri"/>
          <w:szCs w:val="24"/>
          <w:lang w:eastAsia="en-US" w:bidi="he-IL"/>
        </w:rPr>
        <w:t xml:space="preserve">“ programą </w:t>
      </w:r>
      <w:r w:rsidRPr="00D26788">
        <w:rPr>
          <w:rFonts w:eastAsia="Calibri"/>
          <w:szCs w:val="24"/>
          <w:lang w:eastAsia="en-US" w:bidi="he-IL"/>
        </w:rPr>
        <w:t xml:space="preserve">organizuotos tarptautinės stažuotės ir pažintiniai vizitai į Lenkiją, Vokietiją, Švediją, Ispaniją, Šveicariją ir Jungtines Amerikos Valstijas, dalis veiklų  orientuota į ugdymo kokybės gerinimą, lyderystę, STEAM, įtrauktį ir pažangių modelių perėmimą. Tarp pavyzdžių išskirtini Maironio gimnazijos mokinių mainai su Šveicarijos </w:t>
      </w:r>
      <w:r w:rsidRPr="00011595">
        <w:rPr>
          <w:rFonts w:eastAsia="Calibri"/>
          <w:szCs w:val="24"/>
          <w:lang w:eastAsia="en-US" w:bidi="he-IL"/>
        </w:rPr>
        <w:t>Wohlen</w:t>
      </w:r>
      <w:r w:rsidR="00661452">
        <w:rPr>
          <w:rFonts w:eastAsia="Calibri"/>
          <w:szCs w:val="24"/>
          <w:lang w:eastAsia="en-US" w:bidi="he-IL"/>
        </w:rPr>
        <w:t>o</w:t>
      </w:r>
      <w:r w:rsidRPr="00D26788">
        <w:rPr>
          <w:rFonts w:eastAsia="Calibri"/>
          <w:szCs w:val="24"/>
          <w:lang w:eastAsia="en-US" w:bidi="he-IL"/>
        </w:rPr>
        <w:t xml:space="preserve"> gimnazija, taip pat pedagogų ir mokinių vizitai, susiję su </w:t>
      </w:r>
      <w:r w:rsidRPr="00011595">
        <w:rPr>
          <w:rFonts w:eastAsia="Calibri"/>
          <w:szCs w:val="24"/>
          <w:lang w:eastAsia="en-US" w:bidi="he-IL"/>
        </w:rPr>
        <w:t>partnerinėmis</w:t>
      </w:r>
      <w:r w:rsidRPr="00D26788">
        <w:rPr>
          <w:rFonts w:eastAsia="Calibri"/>
          <w:szCs w:val="24"/>
          <w:lang w:eastAsia="en-US" w:bidi="he-IL"/>
        </w:rPr>
        <w:t xml:space="preserve"> mokyklomis </w:t>
      </w:r>
      <w:r w:rsidR="00E9250B">
        <w:rPr>
          <w:rFonts w:eastAsia="Calibri"/>
          <w:szCs w:val="24"/>
          <w:lang w:eastAsia="en-US" w:bidi="he-IL"/>
        </w:rPr>
        <w:t xml:space="preserve">ir </w:t>
      </w:r>
      <w:r w:rsidRPr="00D26788">
        <w:rPr>
          <w:rFonts w:eastAsia="Calibri"/>
          <w:szCs w:val="24"/>
          <w:lang w:eastAsia="en-US" w:bidi="he-IL"/>
        </w:rPr>
        <w:t>mokyklų tinklų plėtra.</w:t>
      </w:r>
      <w:r w:rsidR="00E9250B">
        <w:rPr>
          <w:rFonts w:eastAsia="Calibri"/>
          <w:szCs w:val="24"/>
          <w:lang w:eastAsia="en-US" w:bidi="he-IL"/>
        </w:rPr>
        <w:t xml:space="preserve"> </w:t>
      </w:r>
    </w:p>
    <w:p w14:paraId="6C63CB43" w14:textId="68CEFD90" w:rsidR="00D26788" w:rsidRPr="00D26788" w:rsidRDefault="0010325B" w:rsidP="0010325B">
      <w:pPr>
        <w:spacing w:line="360" w:lineRule="auto"/>
        <w:ind w:firstLine="1298"/>
        <w:jc w:val="both"/>
        <w:rPr>
          <w:szCs w:val="24"/>
          <w:lang w:eastAsia="en-US" w:bidi="he-IL"/>
        </w:rPr>
      </w:pPr>
      <w:r>
        <w:rPr>
          <w:rFonts w:eastAsia="Calibri"/>
          <w:szCs w:val="24"/>
          <w:lang w:eastAsia="en-US" w:bidi="he-IL"/>
        </w:rPr>
        <w:t>Praėjusiais</w:t>
      </w:r>
      <w:r w:rsidR="00D26788" w:rsidRPr="00D26788">
        <w:rPr>
          <w:rFonts w:eastAsia="Calibri"/>
          <w:szCs w:val="24"/>
          <w:lang w:eastAsia="en-US" w:bidi="he-IL"/>
        </w:rPr>
        <w:t xml:space="preserve"> metais taip pat stiprintos tarptautinės studijų ir talentų pritraukimo kryptys: vykdyta </w:t>
      </w:r>
      <w:r>
        <w:rPr>
          <w:rFonts w:eastAsia="Calibri"/>
          <w:szCs w:val="24"/>
          <w:lang w:eastAsia="en-US" w:bidi="he-IL"/>
        </w:rPr>
        <w:t xml:space="preserve">jau minėta </w:t>
      </w:r>
      <w:r w:rsidR="00D26788" w:rsidRPr="00D26788">
        <w:rPr>
          <w:rFonts w:eastAsia="Calibri"/>
          <w:szCs w:val="24"/>
          <w:lang w:eastAsia="en-US" w:bidi="he-IL"/>
        </w:rPr>
        <w:t>kampanija „</w:t>
      </w:r>
      <w:r w:rsidR="00D26788" w:rsidRPr="00E9250B">
        <w:rPr>
          <w:rFonts w:eastAsia="Calibri"/>
          <w:i/>
          <w:szCs w:val="24"/>
          <w:lang w:eastAsia="en-US" w:bidi="he-IL"/>
        </w:rPr>
        <w:t>Study in Kaunas</w:t>
      </w:r>
      <w:r w:rsidR="00D26788" w:rsidRPr="00D26788">
        <w:rPr>
          <w:rFonts w:eastAsia="Calibri"/>
          <w:szCs w:val="24"/>
          <w:lang w:eastAsia="en-US" w:bidi="he-IL"/>
        </w:rPr>
        <w:t>“, rengtas užsienio studentų integracijos į Kauno darbo rinką pilotinis modelis, o miesto reprezentacija užsienyje apėmė ir studijų miesto identiteto stiprinimą. Tai svarbu todėl, kad 2025 m</w:t>
      </w:r>
      <w:r>
        <w:rPr>
          <w:rFonts w:eastAsia="Calibri"/>
          <w:szCs w:val="24"/>
          <w:lang w:eastAsia="en-US" w:bidi="he-IL"/>
        </w:rPr>
        <w:t xml:space="preserve">etais </w:t>
      </w:r>
      <w:r w:rsidR="00D26788" w:rsidRPr="00D26788">
        <w:rPr>
          <w:rFonts w:eastAsia="Calibri"/>
          <w:szCs w:val="24"/>
          <w:lang w:eastAsia="en-US" w:bidi="he-IL"/>
        </w:rPr>
        <w:t>tarptautinis bendradarbiavimas buvo glaudžiai susietas ne tik su diplomatiniais ryšiais, bet ir su ilgalaikiu švietimo bei talentų pritraukimo potencialu.</w:t>
      </w:r>
      <w:r w:rsidR="00011595">
        <w:rPr>
          <w:rFonts w:eastAsia="Calibri"/>
          <w:szCs w:val="24"/>
          <w:lang w:eastAsia="en-US" w:bidi="he-IL"/>
        </w:rPr>
        <w:t xml:space="preserve"> </w:t>
      </w:r>
    </w:p>
    <w:p w14:paraId="4B79B922" w14:textId="0C93CEEB"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Tarptautinis bendradarbiavimas 2025 metais ryškiai pasireiškė ir kultūros bei kūrybinių industrijų srityse. Kauno kultūros centro choras „Kamertonas“ pelnė Grand Prix Albanijoje ir aukso diplomą Lenkijoje, projektas „Skambantys raštai“ buvo įvertintas 1 vieta Londone ir pristatytas Romoje, Kauno miesto muziejus vykdė </w:t>
      </w:r>
      <w:r w:rsidR="00FA71D2" w:rsidRPr="00FA71D2">
        <w:rPr>
          <w:rFonts w:eastAsia="Calibri"/>
          <w:szCs w:val="24"/>
          <w:lang w:eastAsia="en-US" w:bidi="he-IL"/>
        </w:rPr>
        <w:t>„</w:t>
      </w:r>
      <w:r w:rsidRPr="00D26788">
        <w:rPr>
          <w:rFonts w:eastAsia="Calibri"/>
          <w:szCs w:val="24"/>
          <w:lang w:eastAsia="en-US" w:bidi="he-IL"/>
        </w:rPr>
        <w:t>Interreg VI-A Lietuva–Lenkija</w:t>
      </w:r>
      <w:r w:rsidR="00FA71D2" w:rsidRPr="00FA71D2">
        <w:rPr>
          <w:rFonts w:eastAsia="Calibri"/>
          <w:szCs w:val="24"/>
          <w:lang w:eastAsia="en-US" w:bidi="he-IL"/>
        </w:rPr>
        <w:t>“</w:t>
      </w:r>
      <w:r w:rsidRPr="00D26788">
        <w:rPr>
          <w:rFonts w:eastAsia="Calibri"/>
          <w:szCs w:val="24"/>
          <w:lang w:eastAsia="en-US" w:bidi="he-IL"/>
        </w:rPr>
        <w:t xml:space="preserve"> projektą „SEEHEARACT“, o „Romuva“ veikė </w:t>
      </w:r>
      <w:r w:rsidR="00FA71D2" w:rsidRPr="00FA71D2">
        <w:rPr>
          <w:rFonts w:eastAsia="Calibri"/>
          <w:szCs w:val="24"/>
          <w:lang w:eastAsia="en-US" w:bidi="he-IL"/>
        </w:rPr>
        <w:t>Europos vaikų filmų asociacijos (</w:t>
      </w:r>
      <w:r w:rsidRPr="00D26788">
        <w:rPr>
          <w:rFonts w:eastAsia="Calibri"/>
          <w:szCs w:val="24"/>
          <w:lang w:eastAsia="en-US" w:bidi="he-IL"/>
        </w:rPr>
        <w:t>ECFA</w:t>
      </w:r>
      <w:r w:rsidR="00FA71D2" w:rsidRPr="00FA71D2">
        <w:rPr>
          <w:rFonts w:eastAsia="Calibri"/>
          <w:szCs w:val="24"/>
          <w:lang w:eastAsia="en-US" w:bidi="he-IL"/>
        </w:rPr>
        <w:t xml:space="preserve">) </w:t>
      </w:r>
      <w:r w:rsidRPr="00D26788">
        <w:rPr>
          <w:rFonts w:eastAsia="Calibri"/>
          <w:szCs w:val="24"/>
          <w:lang w:eastAsia="en-US" w:bidi="he-IL"/>
        </w:rPr>
        <w:t xml:space="preserve">tinkle. Tarptautinės veiklos plėtros ženklai </w:t>
      </w:r>
      <w:r w:rsidRPr="00D26788">
        <w:rPr>
          <w:rFonts w:eastAsia="Calibri"/>
          <w:szCs w:val="24"/>
          <w:lang w:eastAsia="en-US" w:bidi="he-IL"/>
        </w:rPr>
        <w:lastRenderedPageBreak/>
        <w:t xml:space="preserve">matomi ir </w:t>
      </w:r>
      <w:r w:rsidR="00FA71D2" w:rsidRPr="00FA71D2">
        <w:rPr>
          <w:rFonts w:eastAsia="Calibri"/>
          <w:szCs w:val="24"/>
          <w:lang w:eastAsia="en-US" w:bidi="he-IL"/>
        </w:rPr>
        <w:t xml:space="preserve">Kauno </w:t>
      </w:r>
      <w:r w:rsidRPr="00D26788">
        <w:rPr>
          <w:rFonts w:eastAsia="Calibri"/>
          <w:szCs w:val="24"/>
          <w:lang w:eastAsia="en-US" w:bidi="he-IL"/>
        </w:rPr>
        <w:t xml:space="preserve">simfoninio orkestro, </w:t>
      </w:r>
      <w:r w:rsidR="00FA71D2" w:rsidRPr="00FA71D2">
        <w:rPr>
          <w:rFonts w:eastAsia="Calibri"/>
          <w:szCs w:val="24"/>
          <w:lang w:eastAsia="en-US" w:bidi="he-IL"/>
        </w:rPr>
        <w:t xml:space="preserve">Kauno šokio teatro </w:t>
      </w:r>
      <w:r w:rsidRPr="00D26788">
        <w:rPr>
          <w:rFonts w:eastAsia="Calibri"/>
          <w:szCs w:val="24"/>
          <w:lang w:eastAsia="en-US" w:bidi="he-IL"/>
        </w:rPr>
        <w:t>„A</w:t>
      </w:r>
      <w:r w:rsidR="00FA71D2" w:rsidRPr="00FA71D2">
        <w:rPr>
          <w:rFonts w:eastAsia="Calibri"/>
          <w:szCs w:val="24"/>
          <w:lang w:eastAsia="en-US" w:bidi="he-IL"/>
        </w:rPr>
        <w:t>ura</w:t>
      </w:r>
      <w:r w:rsidRPr="00D26788">
        <w:rPr>
          <w:rFonts w:eastAsia="Calibri"/>
          <w:szCs w:val="24"/>
          <w:lang w:eastAsia="en-US" w:bidi="he-IL"/>
        </w:rPr>
        <w:t xml:space="preserve">“, </w:t>
      </w:r>
      <w:r w:rsidR="00FA71D2" w:rsidRPr="00FA71D2">
        <w:rPr>
          <w:rFonts w:eastAsia="Calibri"/>
          <w:szCs w:val="24"/>
          <w:lang w:eastAsia="en-US" w:bidi="he-IL"/>
        </w:rPr>
        <w:t xml:space="preserve">koncertinės įstaigos </w:t>
      </w:r>
      <w:r w:rsidRPr="00D26788">
        <w:rPr>
          <w:rFonts w:eastAsia="Calibri"/>
          <w:szCs w:val="24"/>
          <w:lang w:eastAsia="en-US" w:bidi="he-IL"/>
        </w:rPr>
        <w:t>„</w:t>
      </w:r>
      <w:r w:rsidR="00FA71D2" w:rsidRPr="00FA71D2">
        <w:rPr>
          <w:rFonts w:eastAsia="Calibri"/>
          <w:szCs w:val="24"/>
          <w:lang w:eastAsia="en-US" w:bidi="he-IL"/>
        </w:rPr>
        <w:t>Kauno s</w:t>
      </w:r>
      <w:r w:rsidRPr="00D26788">
        <w:rPr>
          <w:rFonts w:eastAsia="Calibri"/>
          <w:szCs w:val="24"/>
          <w:lang w:eastAsia="en-US" w:bidi="he-IL"/>
        </w:rPr>
        <w:t>antak</w:t>
      </w:r>
      <w:r w:rsidR="00FA71D2" w:rsidRPr="00FA71D2">
        <w:rPr>
          <w:rFonts w:eastAsia="Calibri"/>
          <w:szCs w:val="24"/>
          <w:lang w:eastAsia="en-US" w:bidi="he-IL"/>
        </w:rPr>
        <w:t>a</w:t>
      </w:r>
      <w:r w:rsidRPr="00D26788">
        <w:rPr>
          <w:rFonts w:eastAsia="Calibri"/>
          <w:szCs w:val="24"/>
          <w:lang w:eastAsia="en-US" w:bidi="he-IL"/>
        </w:rPr>
        <w:t>“, Menininkų namų bei kitų įstaigų veiklose.</w:t>
      </w:r>
      <w:r w:rsidR="00011595">
        <w:rPr>
          <w:rFonts w:eastAsia="Calibri"/>
          <w:szCs w:val="24"/>
          <w:lang w:eastAsia="en-US" w:bidi="he-IL"/>
        </w:rPr>
        <w:t xml:space="preserve"> </w:t>
      </w:r>
    </w:p>
    <w:p w14:paraId="17C0277E" w14:textId="1DC072E3"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Tarptautinis atstovavimas ir bendradarbiavimas 2025 metais buvo svarbus ir turizmo srityje. Užsienio rinkose Kaunas pasiekė apie 27</w:t>
      </w:r>
      <w:r w:rsidR="00FA71D2" w:rsidRPr="00FA71D2">
        <w:rPr>
          <w:rFonts w:eastAsia="Calibri"/>
          <w:szCs w:val="24"/>
          <w:lang w:eastAsia="en-US" w:bidi="he-IL"/>
        </w:rPr>
        <w:t> </w:t>
      </w:r>
      <w:r w:rsidRPr="00D26788">
        <w:rPr>
          <w:rFonts w:eastAsia="Calibri"/>
          <w:szCs w:val="24"/>
          <w:lang w:eastAsia="en-US" w:bidi="he-IL"/>
        </w:rPr>
        <w:t>55</w:t>
      </w:r>
      <w:r w:rsidR="00FA71D2" w:rsidRPr="00FA71D2">
        <w:rPr>
          <w:rFonts w:eastAsia="Calibri"/>
          <w:szCs w:val="24"/>
          <w:lang w:eastAsia="en-US" w:bidi="he-IL"/>
        </w:rPr>
        <w:t>0,0 tūkst.</w:t>
      </w:r>
      <w:r w:rsidRPr="00D26788">
        <w:rPr>
          <w:rFonts w:eastAsia="Calibri"/>
          <w:szCs w:val="24"/>
          <w:lang w:eastAsia="en-US" w:bidi="he-IL"/>
        </w:rPr>
        <w:t xml:space="preserve"> vartotojų, buvo organizuojami žurnalistų, kelionių organizatorių ir partnerių vizitai, miesto pristatymas vykdytas įvairiose rinkose, ypač Lenkijoje, Latvijoje, Vokietijoje, Jungtinėje Karalystėje, Skandinavijoje ir Airijoje. Papildomai pažymėtina, kad reprezentaciniai miesto pristatymo veiksmai apėmė kampanijas „WIZZ magazine“, „National Geographic“, „The Guardian“, „Svenska Dagbladet Sommarguide“, „The Scan Magazine“, „Tripadvisor“ ir „Amadeus“, lauko reklamą Belfasto oro uoste </w:t>
      </w:r>
      <w:r w:rsidR="00E9250B">
        <w:rPr>
          <w:rFonts w:eastAsia="Calibri"/>
          <w:szCs w:val="24"/>
          <w:lang w:eastAsia="en-US" w:bidi="he-IL"/>
        </w:rPr>
        <w:t xml:space="preserve">ir </w:t>
      </w:r>
      <w:r w:rsidRPr="00D26788">
        <w:rPr>
          <w:rFonts w:eastAsia="Calibri"/>
          <w:szCs w:val="24"/>
          <w:lang w:eastAsia="en-US" w:bidi="he-IL"/>
        </w:rPr>
        <w:t xml:space="preserve">Rygoje, dalyvavimą parodoje „Life Sciences Baltics“, Vytauto Didžiojo universiteto renginyje su </w:t>
      </w:r>
      <w:r w:rsidR="00FA71D2" w:rsidRPr="00FA71D2">
        <w:rPr>
          <w:rFonts w:eastAsia="Calibri"/>
          <w:szCs w:val="24"/>
          <w:lang w:eastAsia="en-US" w:bidi="he-IL"/>
        </w:rPr>
        <w:t>inovacijų centro „</w:t>
      </w:r>
      <w:r w:rsidRPr="00D26788">
        <w:rPr>
          <w:rFonts w:eastAsia="Calibri"/>
          <w:szCs w:val="24"/>
          <w:lang w:eastAsia="en-US" w:bidi="he-IL"/>
        </w:rPr>
        <w:t>ALEX</w:t>
      </w:r>
      <w:r w:rsidR="00FA71D2" w:rsidRPr="00FA71D2">
        <w:rPr>
          <w:rFonts w:eastAsia="Calibri"/>
          <w:szCs w:val="24"/>
          <w:lang w:eastAsia="en-US" w:bidi="he-IL"/>
        </w:rPr>
        <w:t>“</w:t>
      </w:r>
      <w:r w:rsidRPr="00D26788">
        <w:rPr>
          <w:rFonts w:eastAsia="Calibri"/>
          <w:szCs w:val="24"/>
          <w:lang w:eastAsia="en-US" w:bidi="he-IL"/>
        </w:rPr>
        <w:t xml:space="preserve"> stendu, TV</w:t>
      </w:r>
      <w:r w:rsidR="00011595">
        <w:rPr>
          <w:rFonts w:eastAsia="Calibri"/>
          <w:szCs w:val="24"/>
          <w:lang w:eastAsia="en-US" w:bidi="he-IL"/>
        </w:rPr>
        <w:t> </w:t>
      </w:r>
      <w:r w:rsidRPr="00D26788">
        <w:rPr>
          <w:rFonts w:eastAsia="Calibri"/>
          <w:szCs w:val="24"/>
          <w:lang w:eastAsia="en-US" w:bidi="he-IL"/>
        </w:rPr>
        <w:t xml:space="preserve">laidoje „Maisto kelias: miestų receptai“, </w:t>
      </w:r>
      <w:r w:rsidR="00FA71D2" w:rsidRPr="00FA71D2">
        <w:rPr>
          <w:rFonts w:eastAsia="Calibri"/>
          <w:szCs w:val="24"/>
          <w:lang w:eastAsia="en-US" w:bidi="he-IL"/>
        </w:rPr>
        <w:t>Lietuvos konferencijų ir renginių asociacijos (</w:t>
      </w:r>
      <w:r w:rsidRPr="00D26788">
        <w:rPr>
          <w:rFonts w:eastAsia="Calibri"/>
          <w:szCs w:val="24"/>
          <w:lang w:eastAsia="en-US" w:bidi="he-IL"/>
        </w:rPr>
        <w:t>LKRA</w:t>
      </w:r>
      <w:r w:rsidR="00FA71D2" w:rsidRPr="00FA71D2">
        <w:rPr>
          <w:rFonts w:eastAsia="Calibri"/>
          <w:szCs w:val="24"/>
          <w:lang w:eastAsia="en-US" w:bidi="he-IL"/>
        </w:rPr>
        <w:t>)</w:t>
      </w:r>
      <w:r w:rsidRPr="00D26788">
        <w:rPr>
          <w:rFonts w:eastAsia="Calibri"/>
          <w:szCs w:val="24"/>
          <w:lang w:eastAsia="en-US" w:bidi="he-IL"/>
        </w:rPr>
        <w:t xml:space="preserve"> narių pažintinį vizitą, taip pat dalyvavimą </w:t>
      </w:r>
      <w:r w:rsidR="00FA71D2" w:rsidRPr="00FA71D2">
        <w:rPr>
          <w:rFonts w:eastAsia="Calibri"/>
          <w:szCs w:val="24"/>
          <w:lang w:eastAsia="en-US" w:bidi="he-IL"/>
        </w:rPr>
        <w:t>„</w:t>
      </w:r>
      <w:r w:rsidRPr="00D26788">
        <w:rPr>
          <w:rFonts w:eastAsia="Calibri"/>
          <w:szCs w:val="24"/>
          <w:lang w:eastAsia="en-US" w:bidi="he-IL"/>
        </w:rPr>
        <w:t>WTM</w:t>
      </w:r>
      <w:r w:rsidR="00FA71D2" w:rsidRPr="00FA71D2">
        <w:rPr>
          <w:rFonts w:eastAsia="Calibri"/>
          <w:szCs w:val="24"/>
          <w:lang w:eastAsia="en-US" w:bidi="he-IL"/>
        </w:rPr>
        <w:t>“</w:t>
      </w:r>
      <w:r w:rsidRPr="00D26788">
        <w:rPr>
          <w:rFonts w:eastAsia="Calibri"/>
          <w:szCs w:val="24"/>
          <w:lang w:eastAsia="en-US" w:bidi="he-IL"/>
        </w:rPr>
        <w:t xml:space="preserve">, </w:t>
      </w:r>
      <w:r w:rsidR="00FA71D2" w:rsidRPr="00FA71D2">
        <w:rPr>
          <w:rFonts w:eastAsia="Calibri"/>
          <w:szCs w:val="24"/>
          <w:lang w:eastAsia="en-US" w:bidi="he-IL"/>
        </w:rPr>
        <w:t>„</w:t>
      </w:r>
      <w:r w:rsidRPr="00D26788">
        <w:rPr>
          <w:rFonts w:eastAsia="Calibri"/>
          <w:szCs w:val="24"/>
          <w:lang w:eastAsia="en-US" w:bidi="he-IL"/>
        </w:rPr>
        <w:t>IBTM World Barcelona</w:t>
      </w:r>
      <w:r w:rsidR="00FA71D2" w:rsidRPr="00FA71D2">
        <w:rPr>
          <w:rFonts w:eastAsia="Calibri"/>
          <w:szCs w:val="24"/>
          <w:lang w:eastAsia="en-US" w:bidi="he-IL"/>
        </w:rPr>
        <w:t>“</w:t>
      </w:r>
      <w:r w:rsidRPr="00D26788">
        <w:rPr>
          <w:rFonts w:eastAsia="Calibri"/>
          <w:szCs w:val="24"/>
          <w:lang w:eastAsia="en-US" w:bidi="he-IL"/>
        </w:rPr>
        <w:t xml:space="preserve"> ir </w:t>
      </w:r>
      <w:r w:rsidR="00FA71D2" w:rsidRPr="00FA71D2">
        <w:rPr>
          <w:rFonts w:eastAsia="Calibri"/>
          <w:szCs w:val="24"/>
          <w:lang w:eastAsia="en-US" w:bidi="he-IL"/>
        </w:rPr>
        <w:t>„</w:t>
      </w:r>
      <w:r w:rsidRPr="00D26788">
        <w:rPr>
          <w:rFonts w:eastAsia="Calibri"/>
          <w:szCs w:val="24"/>
          <w:lang w:eastAsia="en-US" w:bidi="he-IL"/>
        </w:rPr>
        <w:t>CityDNA CVB Café</w:t>
      </w:r>
      <w:r w:rsidR="00FA71D2" w:rsidRPr="00FA71D2">
        <w:rPr>
          <w:rFonts w:eastAsia="Calibri"/>
          <w:szCs w:val="24"/>
          <w:lang w:eastAsia="en-US" w:bidi="he-IL"/>
        </w:rPr>
        <w:t>“</w:t>
      </w:r>
      <w:r w:rsidRPr="00D26788">
        <w:rPr>
          <w:rFonts w:eastAsia="Calibri"/>
          <w:szCs w:val="24"/>
          <w:lang w:eastAsia="en-US" w:bidi="he-IL"/>
        </w:rPr>
        <w:t xml:space="preserve"> renginiuose. Šios veiklos sustiprino Kauno, kaip atviro, matomo ir aktyviai bendradarbiaujančio miesto, įvaizdį, o turizmo, investicijų ir startuolių kryptimis papildomai prisidėjo 19</w:t>
      </w:r>
      <w:r w:rsidR="00661452">
        <w:rPr>
          <w:rFonts w:eastAsia="Calibri"/>
          <w:szCs w:val="24"/>
          <w:lang w:eastAsia="en-US" w:bidi="he-IL"/>
        </w:rPr>
        <w:t> </w:t>
      </w:r>
      <w:r w:rsidRPr="00D26788">
        <w:rPr>
          <w:rFonts w:eastAsia="Calibri"/>
          <w:szCs w:val="24"/>
          <w:lang w:eastAsia="en-US" w:bidi="he-IL"/>
        </w:rPr>
        <w:t>pažintinių ekskursijų delegacijoms ir žurnalistams, 12 užsienio investuotojų vizitų, 10 oficialių ir 2</w:t>
      </w:r>
      <w:r w:rsidR="00661452">
        <w:rPr>
          <w:rFonts w:eastAsia="Calibri"/>
          <w:szCs w:val="24"/>
          <w:lang w:eastAsia="en-US" w:bidi="he-IL"/>
        </w:rPr>
        <w:t> </w:t>
      </w:r>
      <w:r w:rsidRPr="00D26788">
        <w:rPr>
          <w:rFonts w:eastAsia="Calibri"/>
          <w:szCs w:val="24"/>
          <w:lang w:eastAsia="en-US" w:bidi="he-IL"/>
        </w:rPr>
        <w:t>neoficialūs „</w:t>
      </w:r>
      <w:r w:rsidRPr="00661452">
        <w:rPr>
          <w:rFonts w:eastAsia="Calibri"/>
          <w:i/>
          <w:szCs w:val="24"/>
          <w:lang w:eastAsia="en-US" w:bidi="he-IL"/>
        </w:rPr>
        <w:t>Startup Social Kaunas</w:t>
      </w:r>
      <w:r w:rsidRPr="00D26788">
        <w:rPr>
          <w:rFonts w:eastAsia="Calibri"/>
          <w:szCs w:val="24"/>
          <w:lang w:eastAsia="en-US" w:bidi="he-IL"/>
        </w:rPr>
        <w:t xml:space="preserve">“ renginiai </w:t>
      </w:r>
      <w:r w:rsidR="00011595">
        <w:rPr>
          <w:rFonts w:eastAsia="Calibri"/>
          <w:szCs w:val="24"/>
          <w:lang w:eastAsia="en-US" w:bidi="he-IL"/>
        </w:rPr>
        <w:t xml:space="preserve">ir </w:t>
      </w:r>
      <w:r w:rsidRPr="00D26788">
        <w:rPr>
          <w:rFonts w:eastAsia="Calibri"/>
          <w:szCs w:val="24"/>
          <w:lang w:eastAsia="en-US" w:bidi="he-IL"/>
        </w:rPr>
        <w:t>11 renginių su organizaciniais partneriais startuolių ekosistemoje.</w:t>
      </w:r>
      <w:r w:rsidR="00011595">
        <w:rPr>
          <w:rFonts w:eastAsia="Calibri"/>
          <w:szCs w:val="24"/>
          <w:lang w:eastAsia="en-US" w:bidi="he-IL"/>
        </w:rPr>
        <w:t xml:space="preserve"> </w:t>
      </w:r>
    </w:p>
    <w:p w14:paraId="41B7D3F5" w14:textId="331E471F" w:rsidR="00D26788" w:rsidRPr="00D26788" w:rsidRDefault="00FA71D2" w:rsidP="00D26788">
      <w:pPr>
        <w:spacing w:line="360" w:lineRule="auto"/>
        <w:ind w:firstLine="1298"/>
        <w:jc w:val="both"/>
        <w:rPr>
          <w:szCs w:val="24"/>
          <w:lang w:eastAsia="en-US" w:bidi="he-IL"/>
        </w:rPr>
      </w:pPr>
      <w:r>
        <w:rPr>
          <w:rFonts w:eastAsia="Calibri"/>
          <w:szCs w:val="24"/>
          <w:lang w:eastAsia="en-US" w:bidi="he-IL"/>
        </w:rPr>
        <w:t>T</w:t>
      </w:r>
      <w:r w:rsidR="00D26788" w:rsidRPr="00D26788">
        <w:rPr>
          <w:rFonts w:eastAsia="Calibri"/>
          <w:szCs w:val="24"/>
          <w:lang w:eastAsia="en-US" w:bidi="he-IL"/>
        </w:rPr>
        <w:t>oliau pateikiami svarbiausi 2025 metų tarptautiniai ir miestą reprezentuojantys renginiai, susitikimai bei papildomos rinkodaros, turizmo ir investicijų reprezentavimo veiklos</w:t>
      </w:r>
      <w:r>
        <w:rPr>
          <w:rFonts w:eastAsia="Calibri"/>
          <w:szCs w:val="24"/>
          <w:lang w:eastAsia="en-US" w:bidi="he-IL"/>
        </w:rPr>
        <w:t>:</w:t>
      </w:r>
      <w:r w:rsidR="00011595">
        <w:rPr>
          <w:rFonts w:eastAsia="Calibri"/>
          <w:szCs w:val="24"/>
          <w:lang w:eastAsia="en-US" w:bidi="he-IL"/>
        </w:rPr>
        <w:t xml:space="preserve"> </w:t>
      </w:r>
    </w:p>
    <w:p w14:paraId="1220885F" w14:textId="4F9BAF5C" w:rsidR="00D26788" w:rsidRDefault="00D26788" w:rsidP="00FA71D2">
      <w:pPr>
        <w:spacing w:line="360" w:lineRule="auto"/>
        <w:ind w:firstLine="1298"/>
        <w:jc w:val="both"/>
        <w:rPr>
          <w:rFonts w:eastAsia="Calibri"/>
          <w:szCs w:val="24"/>
          <w:lang w:eastAsia="en-US" w:bidi="he-IL"/>
        </w:rPr>
      </w:pPr>
      <w:r w:rsidRPr="00D26788">
        <w:rPr>
          <w:rFonts w:eastAsia="Calibri"/>
          <w:szCs w:val="24"/>
          <w:lang w:eastAsia="en-US" w:bidi="he-IL"/>
        </w:rPr>
        <w:t>2025</w:t>
      </w:r>
      <w:r w:rsidR="00FA71D2">
        <w:rPr>
          <w:rFonts w:eastAsia="Calibri"/>
          <w:szCs w:val="24"/>
          <w:lang w:eastAsia="en-US" w:bidi="he-IL"/>
        </w:rPr>
        <w:t xml:space="preserve"> m. sausio 15 d.</w:t>
      </w:r>
      <w:r w:rsidRPr="00D26788">
        <w:rPr>
          <w:rFonts w:eastAsia="Calibri"/>
          <w:szCs w:val="24"/>
          <w:lang w:eastAsia="en-US" w:bidi="he-IL"/>
        </w:rPr>
        <w:t xml:space="preserve"> </w:t>
      </w:r>
      <w:r w:rsidR="00661452">
        <w:rPr>
          <w:rFonts w:eastAsia="Calibri"/>
          <w:szCs w:val="24"/>
          <w:lang w:eastAsia="en-US" w:bidi="he-IL"/>
        </w:rPr>
        <w:t xml:space="preserve">Savivaldybės </w:t>
      </w:r>
      <w:r w:rsidRPr="00D26788">
        <w:rPr>
          <w:rFonts w:eastAsia="Calibri"/>
          <w:szCs w:val="24"/>
          <w:lang w:eastAsia="en-US" w:bidi="he-IL"/>
        </w:rPr>
        <w:t>mero susitikimas su Japonijos ambasadoriumi Tetsu Ozaki</w:t>
      </w:r>
      <w:r w:rsidR="009C6543">
        <w:rPr>
          <w:rFonts w:eastAsia="Calibri"/>
          <w:szCs w:val="24"/>
          <w:lang w:eastAsia="en-US" w:bidi="he-IL"/>
        </w:rPr>
        <w:t>’u</w:t>
      </w:r>
      <w:r w:rsidR="00FA71D2">
        <w:rPr>
          <w:rFonts w:eastAsia="Calibri"/>
          <w:szCs w:val="24"/>
          <w:lang w:eastAsia="en-US" w:bidi="he-IL"/>
        </w:rPr>
        <w:t>;</w:t>
      </w:r>
      <w:r w:rsidR="00E9250B">
        <w:rPr>
          <w:rFonts w:eastAsia="Calibri"/>
          <w:szCs w:val="24"/>
          <w:lang w:eastAsia="en-US" w:bidi="he-IL"/>
        </w:rPr>
        <w:t xml:space="preserve"> </w:t>
      </w:r>
    </w:p>
    <w:p w14:paraId="051C622E" w14:textId="059BA71C" w:rsidR="00D26788" w:rsidRDefault="00D26788" w:rsidP="00FA71D2">
      <w:pPr>
        <w:spacing w:line="360" w:lineRule="auto"/>
        <w:ind w:firstLine="1298"/>
        <w:jc w:val="both"/>
        <w:rPr>
          <w:rFonts w:eastAsia="Calibri"/>
          <w:szCs w:val="24"/>
          <w:lang w:eastAsia="en-US" w:bidi="he-IL"/>
        </w:rPr>
      </w:pPr>
      <w:r w:rsidRPr="00D26788">
        <w:rPr>
          <w:rFonts w:eastAsia="Calibri"/>
          <w:szCs w:val="24"/>
          <w:lang w:eastAsia="en-US" w:bidi="he-IL"/>
        </w:rPr>
        <w:t>2025</w:t>
      </w:r>
      <w:r w:rsidR="00FA71D2">
        <w:rPr>
          <w:rFonts w:eastAsia="Calibri"/>
          <w:szCs w:val="24"/>
          <w:lang w:eastAsia="en-US" w:bidi="he-IL"/>
        </w:rPr>
        <w:t>m. sausio 24 d.</w:t>
      </w:r>
      <w:r w:rsidRPr="00D26788">
        <w:rPr>
          <w:rFonts w:eastAsia="Calibri"/>
          <w:szCs w:val="24"/>
          <w:lang w:eastAsia="en-US" w:bidi="he-IL"/>
        </w:rPr>
        <w:t xml:space="preserve"> Nagojos (Japonija) delegacijos priėmimas Savivaldybėje</w:t>
      </w:r>
      <w:r w:rsidR="00FA71D2">
        <w:rPr>
          <w:rFonts w:eastAsia="Calibri"/>
          <w:szCs w:val="24"/>
          <w:lang w:eastAsia="en-US" w:bidi="he-IL"/>
        </w:rPr>
        <w:t>;</w:t>
      </w:r>
      <w:r w:rsidR="00E9250B">
        <w:rPr>
          <w:rFonts w:eastAsia="Calibri"/>
          <w:szCs w:val="24"/>
          <w:lang w:eastAsia="en-US" w:bidi="he-IL"/>
        </w:rPr>
        <w:t xml:space="preserve"> </w:t>
      </w:r>
    </w:p>
    <w:p w14:paraId="2CEF44FF" w14:textId="40BC8712" w:rsidR="00D26788" w:rsidRPr="00D26788" w:rsidRDefault="00D26788" w:rsidP="00FA71D2">
      <w:pPr>
        <w:spacing w:line="360" w:lineRule="auto"/>
        <w:ind w:firstLine="1298"/>
        <w:jc w:val="both"/>
        <w:rPr>
          <w:szCs w:val="24"/>
          <w:lang w:eastAsia="en-US" w:bidi="he-IL"/>
        </w:rPr>
      </w:pPr>
      <w:r w:rsidRPr="00D26788">
        <w:rPr>
          <w:rFonts w:eastAsia="Calibri"/>
          <w:szCs w:val="24"/>
          <w:lang w:eastAsia="en-US" w:bidi="he-IL"/>
        </w:rPr>
        <w:t>2025</w:t>
      </w:r>
      <w:r w:rsidR="00FA71D2">
        <w:rPr>
          <w:rFonts w:eastAsia="Calibri"/>
          <w:szCs w:val="24"/>
          <w:lang w:eastAsia="en-US" w:bidi="he-IL"/>
        </w:rPr>
        <w:t xml:space="preserve"> m. sausio </w:t>
      </w:r>
      <w:r w:rsidRPr="00D26788">
        <w:rPr>
          <w:rFonts w:eastAsia="Calibri"/>
          <w:szCs w:val="24"/>
          <w:lang w:eastAsia="en-US" w:bidi="he-IL"/>
        </w:rPr>
        <w:t>25</w:t>
      </w:r>
      <w:r w:rsidR="00FA71D2">
        <w:rPr>
          <w:rFonts w:eastAsia="Calibri"/>
          <w:szCs w:val="24"/>
          <w:lang w:eastAsia="en-US" w:bidi="he-IL"/>
        </w:rPr>
        <w:t xml:space="preserve"> d. – vasa</w:t>
      </w:r>
      <w:r w:rsidR="00E9250B">
        <w:rPr>
          <w:rFonts w:eastAsia="Calibri"/>
          <w:szCs w:val="24"/>
          <w:lang w:eastAsia="en-US" w:bidi="he-IL"/>
        </w:rPr>
        <w:t>r</w:t>
      </w:r>
      <w:r w:rsidR="00FA71D2">
        <w:rPr>
          <w:rFonts w:eastAsia="Calibri"/>
          <w:szCs w:val="24"/>
          <w:lang w:eastAsia="en-US" w:bidi="he-IL"/>
        </w:rPr>
        <w:t>io 2 d.</w:t>
      </w:r>
      <w:r w:rsidR="00FD2359">
        <w:rPr>
          <w:rFonts w:eastAsia="Calibri"/>
          <w:szCs w:val="24"/>
          <w:lang w:eastAsia="en-US" w:bidi="he-IL"/>
        </w:rPr>
        <w:t xml:space="preserve"> </w:t>
      </w:r>
      <w:r w:rsidRPr="00D26788">
        <w:rPr>
          <w:rFonts w:eastAsia="Calibri"/>
          <w:szCs w:val="24"/>
          <w:lang w:eastAsia="en-US" w:bidi="he-IL"/>
        </w:rPr>
        <w:t>Kauno švietimo atstovų vizitas Japonijoje</w:t>
      </w:r>
      <w:r w:rsidR="00FA71D2">
        <w:rPr>
          <w:rFonts w:eastAsia="Calibri"/>
          <w:szCs w:val="24"/>
          <w:lang w:eastAsia="en-US" w:bidi="he-IL"/>
        </w:rPr>
        <w:t>;</w:t>
      </w:r>
      <w:r w:rsidR="00E9250B">
        <w:rPr>
          <w:rFonts w:eastAsia="Calibri"/>
          <w:szCs w:val="24"/>
          <w:lang w:eastAsia="en-US" w:bidi="he-IL"/>
        </w:rPr>
        <w:t xml:space="preserve"> </w:t>
      </w:r>
    </w:p>
    <w:p w14:paraId="7236ACA5" w14:textId="3471B36E" w:rsidR="00D26788" w:rsidRPr="00D26788" w:rsidRDefault="00D26788" w:rsidP="00FA71D2">
      <w:pPr>
        <w:spacing w:line="360" w:lineRule="auto"/>
        <w:ind w:firstLine="1298"/>
        <w:jc w:val="both"/>
        <w:rPr>
          <w:szCs w:val="24"/>
          <w:lang w:eastAsia="en-US" w:bidi="he-IL"/>
        </w:rPr>
      </w:pPr>
      <w:r w:rsidRPr="00D26788">
        <w:rPr>
          <w:rFonts w:eastAsia="Calibri"/>
          <w:szCs w:val="24"/>
          <w:lang w:eastAsia="en-US" w:bidi="he-IL"/>
        </w:rPr>
        <w:t>2025</w:t>
      </w:r>
      <w:r w:rsidR="00FA71D2">
        <w:rPr>
          <w:rFonts w:eastAsia="Calibri"/>
          <w:szCs w:val="24"/>
          <w:lang w:eastAsia="en-US" w:bidi="he-IL"/>
        </w:rPr>
        <w:t xml:space="preserve"> m. sausio</w:t>
      </w:r>
      <w:r w:rsidR="00FD2359">
        <w:rPr>
          <w:rFonts w:eastAsia="Calibri"/>
          <w:szCs w:val="24"/>
          <w:lang w:eastAsia="en-US" w:bidi="he-IL"/>
        </w:rPr>
        <w:t xml:space="preserve"> </w:t>
      </w:r>
      <w:r w:rsidR="00FA71D2">
        <w:rPr>
          <w:rFonts w:eastAsia="Calibri"/>
          <w:szCs w:val="24"/>
          <w:lang w:eastAsia="en-US" w:bidi="he-IL"/>
        </w:rPr>
        <w:t>31 d. – vasario 13 d.</w:t>
      </w:r>
      <w:r w:rsidRPr="00D26788">
        <w:rPr>
          <w:rFonts w:eastAsia="Calibri"/>
          <w:szCs w:val="24"/>
          <w:lang w:eastAsia="en-US" w:bidi="he-IL"/>
        </w:rPr>
        <w:t xml:space="preserve"> Kauno skulptorių dalyvavimas Saporo sniego festivalyje Japonijoje</w:t>
      </w:r>
      <w:r w:rsidR="00FD2359">
        <w:rPr>
          <w:rFonts w:eastAsia="Calibri"/>
          <w:szCs w:val="24"/>
          <w:lang w:eastAsia="en-US" w:bidi="he-IL"/>
        </w:rPr>
        <w:t>;</w:t>
      </w:r>
      <w:r w:rsidR="00E9250B">
        <w:rPr>
          <w:rFonts w:eastAsia="Calibri"/>
          <w:szCs w:val="24"/>
          <w:lang w:eastAsia="en-US" w:bidi="he-IL"/>
        </w:rPr>
        <w:t xml:space="preserve"> </w:t>
      </w:r>
    </w:p>
    <w:p w14:paraId="368A371E" w14:textId="08C53864" w:rsidR="00D26788" w:rsidRPr="00D26788" w:rsidRDefault="00D26788" w:rsidP="00FD2359">
      <w:pPr>
        <w:spacing w:line="360" w:lineRule="auto"/>
        <w:ind w:firstLine="1298"/>
        <w:jc w:val="both"/>
        <w:rPr>
          <w:szCs w:val="24"/>
          <w:lang w:eastAsia="en-US" w:bidi="he-IL"/>
        </w:rPr>
      </w:pPr>
      <w:r w:rsidRPr="00D26788">
        <w:rPr>
          <w:rFonts w:eastAsia="Calibri"/>
          <w:szCs w:val="24"/>
          <w:lang w:eastAsia="en-US" w:bidi="he-IL"/>
        </w:rPr>
        <w:t>2025</w:t>
      </w:r>
      <w:r w:rsidR="00FD2359">
        <w:rPr>
          <w:rFonts w:eastAsia="Calibri"/>
          <w:szCs w:val="24"/>
          <w:lang w:eastAsia="en-US" w:bidi="he-IL"/>
        </w:rPr>
        <w:t xml:space="preserve"> m. vasario 16 d. k</w:t>
      </w:r>
      <w:r w:rsidRPr="00D26788">
        <w:rPr>
          <w:rFonts w:eastAsia="Calibri"/>
          <w:szCs w:val="24"/>
          <w:lang w:eastAsia="en-US" w:bidi="he-IL"/>
        </w:rPr>
        <w:t>oncertas ir apdovanojimų ceremonija „Aš – dalis tavęs“</w:t>
      </w:r>
      <w:r w:rsidR="00FD2359">
        <w:rPr>
          <w:rFonts w:eastAsia="Calibri"/>
          <w:szCs w:val="24"/>
          <w:lang w:eastAsia="en-US" w:bidi="he-IL"/>
        </w:rPr>
        <w:t>;</w:t>
      </w:r>
      <w:r w:rsidR="00E173C6">
        <w:rPr>
          <w:rFonts w:eastAsia="Calibri"/>
          <w:szCs w:val="24"/>
          <w:lang w:eastAsia="en-US" w:bidi="he-IL"/>
        </w:rPr>
        <w:t xml:space="preserve"> </w:t>
      </w:r>
    </w:p>
    <w:p w14:paraId="6F71596E" w14:textId="24F67398" w:rsidR="00D26788" w:rsidRPr="00D26788" w:rsidRDefault="00D26788" w:rsidP="00FD2359">
      <w:pPr>
        <w:spacing w:line="360" w:lineRule="auto"/>
        <w:ind w:firstLine="1298"/>
        <w:jc w:val="both"/>
        <w:rPr>
          <w:szCs w:val="24"/>
          <w:lang w:eastAsia="en-US" w:bidi="he-IL"/>
        </w:rPr>
      </w:pPr>
      <w:r w:rsidRPr="00D26788">
        <w:rPr>
          <w:rFonts w:eastAsia="Calibri"/>
          <w:szCs w:val="24"/>
          <w:lang w:eastAsia="en-US" w:bidi="he-IL"/>
        </w:rPr>
        <w:t>2025</w:t>
      </w:r>
      <w:r w:rsidR="00FD2359">
        <w:rPr>
          <w:rFonts w:eastAsia="Calibri"/>
          <w:szCs w:val="24"/>
          <w:lang w:eastAsia="en-US" w:bidi="he-IL"/>
        </w:rPr>
        <w:t xml:space="preserve"> m. kovo 14-16 d.</w:t>
      </w:r>
      <w:r w:rsidR="00E173C6">
        <w:rPr>
          <w:rFonts w:eastAsia="Calibri"/>
          <w:szCs w:val="24"/>
          <w:lang w:eastAsia="en-US" w:bidi="he-IL"/>
        </w:rPr>
        <w:t xml:space="preserve"> </w:t>
      </w:r>
      <w:r w:rsidRPr="00D26788">
        <w:rPr>
          <w:rFonts w:eastAsia="Calibri"/>
          <w:szCs w:val="24"/>
          <w:lang w:eastAsia="en-US" w:bidi="he-IL"/>
        </w:rPr>
        <w:t>Lietuvos Nepriklausomybės atkūrimo dienos 35-ųjų metinių minėjimas Torunėje (Lenkija)</w:t>
      </w:r>
      <w:r w:rsidR="00FD2359">
        <w:rPr>
          <w:rFonts w:eastAsia="Calibri"/>
          <w:szCs w:val="24"/>
          <w:lang w:eastAsia="en-US" w:bidi="he-IL"/>
        </w:rPr>
        <w:t>;</w:t>
      </w:r>
      <w:r w:rsidR="00E173C6">
        <w:rPr>
          <w:rFonts w:eastAsia="Calibri"/>
          <w:szCs w:val="24"/>
          <w:lang w:eastAsia="en-US" w:bidi="he-IL"/>
        </w:rPr>
        <w:t xml:space="preserve"> </w:t>
      </w:r>
    </w:p>
    <w:p w14:paraId="6A80C180" w14:textId="72383B10" w:rsidR="00D26788" w:rsidRPr="00D26788" w:rsidRDefault="00FD2359" w:rsidP="00FD2359">
      <w:pPr>
        <w:spacing w:line="360" w:lineRule="auto"/>
        <w:ind w:firstLine="1298"/>
        <w:jc w:val="both"/>
        <w:rPr>
          <w:szCs w:val="24"/>
          <w:lang w:eastAsia="en-US" w:bidi="he-IL"/>
        </w:rPr>
      </w:pPr>
      <w:r w:rsidRPr="00D26788">
        <w:rPr>
          <w:rFonts w:eastAsia="Calibri"/>
          <w:szCs w:val="24"/>
          <w:lang w:eastAsia="en-US" w:bidi="he-IL"/>
        </w:rPr>
        <w:t>2025</w:t>
      </w:r>
      <w:r>
        <w:rPr>
          <w:rFonts w:eastAsia="Calibri"/>
          <w:szCs w:val="24"/>
          <w:lang w:eastAsia="en-US" w:bidi="he-IL"/>
        </w:rPr>
        <w:t xml:space="preserve"> m. kovo 19</w:t>
      </w:r>
      <w:r w:rsidR="00E173C6">
        <w:rPr>
          <w:rFonts w:eastAsia="Calibri"/>
          <w:szCs w:val="24"/>
          <w:lang w:eastAsia="en-US" w:bidi="he-IL"/>
        </w:rPr>
        <w:t>–</w:t>
      </w:r>
      <w:r>
        <w:rPr>
          <w:rFonts w:eastAsia="Calibri"/>
          <w:szCs w:val="24"/>
          <w:lang w:eastAsia="en-US" w:bidi="he-IL"/>
        </w:rPr>
        <w:t>21 d.</w:t>
      </w:r>
      <w:r w:rsidR="00E173C6">
        <w:rPr>
          <w:rFonts w:eastAsia="Calibri"/>
          <w:szCs w:val="24"/>
          <w:lang w:eastAsia="en-US" w:bidi="he-IL"/>
        </w:rPr>
        <w:t xml:space="preserve"> </w:t>
      </w:r>
      <w:r w:rsidR="00D26788" w:rsidRPr="00D26788">
        <w:rPr>
          <w:rFonts w:eastAsia="Calibri"/>
          <w:szCs w:val="24"/>
          <w:lang w:eastAsia="en-US" w:bidi="he-IL"/>
        </w:rPr>
        <w:t>Hiracukos miesto (Japonija) Dailės muziejaus delegacijos vizitas Kaune</w:t>
      </w:r>
      <w:r>
        <w:rPr>
          <w:rFonts w:eastAsia="Calibri"/>
          <w:szCs w:val="24"/>
          <w:lang w:eastAsia="en-US" w:bidi="he-IL"/>
        </w:rPr>
        <w:t>;</w:t>
      </w:r>
      <w:r w:rsidR="00E173C6">
        <w:rPr>
          <w:rFonts w:eastAsia="Calibri"/>
          <w:szCs w:val="24"/>
          <w:lang w:eastAsia="en-US" w:bidi="he-IL"/>
        </w:rPr>
        <w:t xml:space="preserve"> </w:t>
      </w:r>
    </w:p>
    <w:p w14:paraId="688C451B" w14:textId="44C26486" w:rsidR="00D26788" w:rsidRPr="00D26788" w:rsidRDefault="00FD2359" w:rsidP="00FD2359">
      <w:pPr>
        <w:spacing w:line="360" w:lineRule="auto"/>
        <w:ind w:firstLine="1298"/>
        <w:jc w:val="both"/>
        <w:rPr>
          <w:szCs w:val="24"/>
          <w:lang w:eastAsia="en-US" w:bidi="he-IL"/>
        </w:rPr>
      </w:pPr>
      <w:r w:rsidRPr="00D26788">
        <w:rPr>
          <w:rFonts w:eastAsia="Calibri"/>
          <w:szCs w:val="24"/>
          <w:lang w:eastAsia="en-US" w:bidi="he-IL"/>
        </w:rPr>
        <w:t>2025</w:t>
      </w:r>
      <w:r>
        <w:rPr>
          <w:rFonts w:eastAsia="Calibri"/>
          <w:szCs w:val="24"/>
          <w:lang w:eastAsia="en-US" w:bidi="he-IL"/>
        </w:rPr>
        <w:t xml:space="preserve"> m. kovo 19 d.</w:t>
      </w:r>
      <w:r w:rsidR="00E173C6">
        <w:rPr>
          <w:rFonts w:eastAsia="Calibri"/>
          <w:szCs w:val="24"/>
          <w:lang w:eastAsia="en-US" w:bidi="he-IL"/>
        </w:rPr>
        <w:t xml:space="preserve"> </w:t>
      </w:r>
      <w:r w:rsidR="00D26788" w:rsidRPr="00D26788">
        <w:rPr>
          <w:rFonts w:eastAsia="Calibri"/>
          <w:szCs w:val="24"/>
          <w:lang w:eastAsia="en-US" w:bidi="he-IL"/>
        </w:rPr>
        <w:t>VI Tarptautinės Karolio Lipinskio smuikininkų konkurso laureato koncertas Kaune</w:t>
      </w:r>
      <w:r>
        <w:rPr>
          <w:rFonts w:eastAsia="Calibri"/>
          <w:szCs w:val="24"/>
          <w:lang w:eastAsia="en-US" w:bidi="he-IL"/>
        </w:rPr>
        <w:t>;</w:t>
      </w:r>
      <w:r w:rsidR="00E173C6">
        <w:rPr>
          <w:rFonts w:eastAsia="Calibri"/>
          <w:szCs w:val="24"/>
          <w:lang w:eastAsia="en-US" w:bidi="he-IL"/>
        </w:rPr>
        <w:t xml:space="preserve"> </w:t>
      </w:r>
    </w:p>
    <w:p w14:paraId="68441571" w14:textId="5B0A6FA9" w:rsidR="00D26788" w:rsidRPr="00D26788" w:rsidRDefault="00FD2359" w:rsidP="00FD2359">
      <w:pPr>
        <w:spacing w:line="360" w:lineRule="auto"/>
        <w:ind w:firstLine="1298"/>
        <w:jc w:val="both"/>
        <w:rPr>
          <w:szCs w:val="24"/>
          <w:lang w:eastAsia="en-US" w:bidi="he-IL"/>
        </w:rPr>
      </w:pPr>
      <w:r w:rsidRPr="00D26788">
        <w:rPr>
          <w:rFonts w:eastAsia="Calibri"/>
          <w:szCs w:val="24"/>
          <w:lang w:eastAsia="en-US" w:bidi="he-IL"/>
        </w:rPr>
        <w:t>2025</w:t>
      </w:r>
      <w:r>
        <w:rPr>
          <w:rFonts w:eastAsia="Calibri"/>
          <w:szCs w:val="24"/>
          <w:lang w:eastAsia="en-US" w:bidi="he-IL"/>
        </w:rPr>
        <w:t xml:space="preserve"> m. kovo 22</w:t>
      </w:r>
      <w:r w:rsidR="00E173C6">
        <w:rPr>
          <w:rFonts w:eastAsia="Calibri"/>
          <w:szCs w:val="24"/>
          <w:lang w:eastAsia="en-US" w:bidi="he-IL"/>
        </w:rPr>
        <w:t>–</w:t>
      </w:r>
      <w:r>
        <w:rPr>
          <w:rFonts w:eastAsia="Calibri"/>
          <w:szCs w:val="24"/>
          <w:lang w:eastAsia="en-US" w:bidi="he-IL"/>
        </w:rPr>
        <w:t>29 d.</w:t>
      </w:r>
      <w:r w:rsidR="00E173C6">
        <w:rPr>
          <w:rFonts w:eastAsia="Calibri"/>
          <w:szCs w:val="24"/>
          <w:lang w:eastAsia="en-US" w:bidi="he-IL"/>
        </w:rPr>
        <w:t xml:space="preserve"> </w:t>
      </w:r>
      <w:r w:rsidR="00D26788" w:rsidRPr="00D26788">
        <w:rPr>
          <w:rFonts w:eastAsia="Calibri"/>
          <w:szCs w:val="24"/>
          <w:lang w:eastAsia="en-US" w:bidi="he-IL"/>
        </w:rPr>
        <w:t xml:space="preserve"> –</w:t>
      </w:r>
      <w:r>
        <w:rPr>
          <w:rFonts w:eastAsia="Calibri"/>
          <w:szCs w:val="24"/>
          <w:lang w:eastAsia="en-US" w:bidi="he-IL"/>
        </w:rPr>
        <w:t xml:space="preserve"> </w:t>
      </w:r>
      <w:r w:rsidR="00D26788" w:rsidRPr="00D26788">
        <w:rPr>
          <w:rFonts w:eastAsia="Calibri"/>
          <w:szCs w:val="24"/>
          <w:lang w:eastAsia="en-US" w:bidi="he-IL"/>
        </w:rPr>
        <w:t>Kauno švietimo atstovų vizitas Grenoblyje (Prancūzija)</w:t>
      </w:r>
      <w:r>
        <w:rPr>
          <w:rFonts w:eastAsia="Calibri"/>
          <w:szCs w:val="24"/>
          <w:lang w:eastAsia="en-US" w:bidi="he-IL"/>
        </w:rPr>
        <w:t>;</w:t>
      </w:r>
      <w:r w:rsidR="00E173C6">
        <w:rPr>
          <w:rFonts w:eastAsia="Calibri"/>
          <w:szCs w:val="24"/>
          <w:lang w:eastAsia="en-US" w:bidi="he-IL"/>
        </w:rPr>
        <w:t xml:space="preserve"> </w:t>
      </w:r>
    </w:p>
    <w:p w14:paraId="16F77AD4" w14:textId="45B9E0BA" w:rsidR="00D26788" w:rsidRPr="00D26788" w:rsidRDefault="00FD2359" w:rsidP="00FD2359">
      <w:pPr>
        <w:spacing w:line="360" w:lineRule="auto"/>
        <w:ind w:firstLine="1298"/>
        <w:jc w:val="both"/>
        <w:rPr>
          <w:szCs w:val="24"/>
          <w:lang w:eastAsia="en-US" w:bidi="he-IL"/>
        </w:rPr>
      </w:pPr>
      <w:bookmarkStart w:id="6" w:name="_Hlk227100098"/>
      <w:r w:rsidRPr="00D26788">
        <w:rPr>
          <w:rFonts w:eastAsia="Calibri"/>
          <w:szCs w:val="24"/>
          <w:lang w:eastAsia="en-US" w:bidi="he-IL"/>
        </w:rPr>
        <w:lastRenderedPageBreak/>
        <w:t>2025</w:t>
      </w:r>
      <w:r>
        <w:rPr>
          <w:rFonts w:eastAsia="Calibri"/>
          <w:szCs w:val="24"/>
          <w:lang w:eastAsia="en-US" w:bidi="he-IL"/>
        </w:rPr>
        <w:t xml:space="preserve"> m. kovo 25 d.</w:t>
      </w:r>
      <w:r w:rsidR="00E173C6">
        <w:rPr>
          <w:rFonts w:eastAsia="Calibri"/>
          <w:szCs w:val="24"/>
          <w:lang w:eastAsia="en-US" w:bidi="he-IL"/>
        </w:rPr>
        <w:t xml:space="preserve"> </w:t>
      </w:r>
      <w:bookmarkEnd w:id="6"/>
      <w:r w:rsidR="005975AF">
        <w:rPr>
          <w:rFonts w:eastAsia="Calibri"/>
          <w:szCs w:val="24"/>
          <w:lang w:eastAsia="en-US" w:bidi="he-IL"/>
        </w:rPr>
        <w:t xml:space="preserve">Savivaldybės </w:t>
      </w:r>
      <w:r w:rsidR="00D26788" w:rsidRPr="00D26788">
        <w:rPr>
          <w:rFonts w:eastAsia="Calibri"/>
          <w:szCs w:val="24"/>
          <w:lang w:eastAsia="en-US" w:bidi="he-IL"/>
        </w:rPr>
        <w:t>mero susitikimas su Lietuvos garbės konsulu Japonijoje</w:t>
      </w:r>
      <w:r>
        <w:rPr>
          <w:rFonts w:eastAsia="Calibri"/>
          <w:szCs w:val="24"/>
          <w:lang w:eastAsia="en-US" w:bidi="he-IL"/>
        </w:rPr>
        <w:t xml:space="preserve"> </w:t>
      </w:r>
      <w:r w:rsidR="00D26788" w:rsidRPr="00D26788">
        <w:rPr>
          <w:rFonts w:eastAsia="Calibri"/>
          <w:szCs w:val="24"/>
          <w:lang w:eastAsia="en-US" w:bidi="he-IL"/>
        </w:rPr>
        <w:t>Shigehiro Komaru ir delegacija</w:t>
      </w:r>
      <w:r>
        <w:rPr>
          <w:rFonts w:eastAsia="Calibri"/>
          <w:szCs w:val="24"/>
          <w:lang w:eastAsia="en-US" w:bidi="he-IL"/>
        </w:rPr>
        <w:t>;</w:t>
      </w:r>
      <w:r w:rsidR="00E173C6">
        <w:rPr>
          <w:rFonts w:eastAsia="Calibri"/>
          <w:szCs w:val="24"/>
          <w:lang w:eastAsia="en-US" w:bidi="he-IL"/>
        </w:rPr>
        <w:t xml:space="preserve"> </w:t>
      </w:r>
    </w:p>
    <w:p w14:paraId="2F2FC446" w14:textId="0E166953" w:rsidR="00D26788" w:rsidRPr="00D26788" w:rsidRDefault="00FD2359" w:rsidP="00FD2359">
      <w:pPr>
        <w:spacing w:line="360" w:lineRule="auto"/>
        <w:ind w:firstLine="1298"/>
        <w:jc w:val="both"/>
        <w:rPr>
          <w:szCs w:val="24"/>
          <w:lang w:eastAsia="en-US" w:bidi="he-IL"/>
        </w:rPr>
      </w:pPr>
      <w:r w:rsidRPr="00D26788">
        <w:rPr>
          <w:rFonts w:eastAsia="Calibri"/>
          <w:szCs w:val="24"/>
          <w:lang w:eastAsia="en-US" w:bidi="he-IL"/>
        </w:rPr>
        <w:t>2025</w:t>
      </w:r>
      <w:r>
        <w:rPr>
          <w:rFonts w:eastAsia="Calibri"/>
          <w:szCs w:val="24"/>
          <w:lang w:eastAsia="en-US" w:bidi="he-IL"/>
        </w:rPr>
        <w:t xml:space="preserve"> m. kovo 25 d.</w:t>
      </w:r>
      <w:r w:rsidR="00E173C6">
        <w:rPr>
          <w:rFonts w:eastAsia="Calibri"/>
          <w:szCs w:val="24"/>
          <w:lang w:eastAsia="en-US" w:bidi="he-IL"/>
        </w:rPr>
        <w:t xml:space="preserve"> </w:t>
      </w:r>
      <w:r w:rsidR="00D26788" w:rsidRPr="00D26788">
        <w:rPr>
          <w:rFonts w:eastAsia="Calibri"/>
          <w:szCs w:val="24"/>
          <w:lang w:eastAsia="en-US" w:bidi="he-IL"/>
        </w:rPr>
        <w:t>Kauno teatralų apdovanojimų ceremonija „Fortūna“</w:t>
      </w:r>
      <w:r>
        <w:rPr>
          <w:rFonts w:eastAsia="Calibri"/>
          <w:szCs w:val="24"/>
          <w:lang w:eastAsia="en-US" w:bidi="he-IL"/>
        </w:rPr>
        <w:t>;</w:t>
      </w:r>
      <w:r w:rsidR="00E173C6">
        <w:rPr>
          <w:rFonts w:eastAsia="Calibri"/>
          <w:szCs w:val="24"/>
          <w:lang w:eastAsia="en-US" w:bidi="he-IL"/>
        </w:rPr>
        <w:t xml:space="preserve"> </w:t>
      </w:r>
    </w:p>
    <w:p w14:paraId="5689802E" w14:textId="0EA4F7F5" w:rsidR="00D26788" w:rsidRPr="00D26788" w:rsidRDefault="00FD2359" w:rsidP="00FD2359">
      <w:pPr>
        <w:spacing w:line="360" w:lineRule="auto"/>
        <w:ind w:firstLine="1298"/>
        <w:jc w:val="both"/>
        <w:rPr>
          <w:szCs w:val="24"/>
          <w:lang w:eastAsia="en-US" w:bidi="he-IL"/>
        </w:rPr>
      </w:pPr>
      <w:r w:rsidRPr="00D26788">
        <w:rPr>
          <w:rFonts w:eastAsia="Calibri"/>
          <w:szCs w:val="24"/>
          <w:lang w:eastAsia="en-US" w:bidi="he-IL"/>
        </w:rPr>
        <w:t>2025</w:t>
      </w:r>
      <w:r>
        <w:rPr>
          <w:rFonts w:eastAsia="Calibri"/>
          <w:szCs w:val="24"/>
          <w:lang w:eastAsia="en-US" w:bidi="he-IL"/>
        </w:rPr>
        <w:t xml:space="preserve"> m. kovo 27 d.</w:t>
      </w:r>
      <w:r w:rsidR="00E173C6">
        <w:rPr>
          <w:rFonts w:eastAsia="Calibri"/>
          <w:szCs w:val="24"/>
          <w:lang w:eastAsia="en-US" w:bidi="he-IL"/>
        </w:rPr>
        <w:t xml:space="preserve"> </w:t>
      </w:r>
      <w:r w:rsidR="005975AF">
        <w:rPr>
          <w:rFonts w:eastAsia="Calibri"/>
          <w:szCs w:val="24"/>
          <w:lang w:eastAsia="en-US" w:bidi="he-IL"/>
        </w:rPr>
        <w:t xml:space="preserve">Savivaldybės </w:t>
      </w:r>
      <w:r w:rsidR="00D26788" w:rsidRPr="00D26788">
        <w:rPr>
          <w:rFonts w:eastAsia="Calibri"/>
          <w:szCs w:val="24"/>
          <w:lang w:eastAsia="en-US" w:bidi="he-IL"/>
        </w:rPr>
        <w:t>mero susitikimas su Kanados ambasadore</w:t>
      </w:r>
      <w:r w:rsidR="00BC2C18" w:rsidRPr="00D26788">
        <w:rPr>
          <w:rFonts w:eastAsia="Calibri"/>
          <w:szCs w:val="24"/>
          <w:lang w:eastAsia="en-US" w:bidi="he-IL"/>
        </w:rPr>
        <w:t xml:space="preserve"> </w:t>
      </w:r>
      <w:r w:rsidR="00D26788" w:rsidRPr="00D26788">
        <w:rPr>
          <w:rFonts w:eastAsia="Calibri"/>
          <w:szCs w:val="24"/>
          <w:lang w:eastAsia="en-US" w:bidi="he-IL"/>
        </w:rPr>
        <w:t>Jeanette Sautner</w:t>
      </w:r>
      <w:r>
        <w:rPr>
          <w:rFonts w:eastAsia="Calibri"/>
          <w:szCs w:val="24"/>
          <w:lang w:eastAsia="en-US" w:bidi="he-IL"/>
        </w:rPr>
        <w:t>;</w:t>
      </w:r>
      <w:r w:rsidR="00E173C6">
        <w:rPr>
          <w:rFonts w:eastAsia="Calibri"/>
          <w:szCs w:val="24"/>
          <w:lang w:eastAsia="en-US" w:bidi="he-IL"/>
        </w:rPr>
        <w:t xml:space="preserve"> </w:t>
      </w:r>
    </w:p>
    <w:p w14:paraId="74073AE0" w14:textId="48531908"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2025 m. kovo 2</w:t>
      </w:r>
      <w:r>
        <w:rPr>
          <w:rFonts w:eastAsia="Calibri"/>
          <w:szCs w:val="24"/>
          <w:lang w:eastAsia="en-US" w:bidi="he-IL"/>
        </w:rPr>
        <w:t>9</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NATO vėliavos pakėlimo ceremonija</w:t>
      </w:r>
      <w:r>
        <w:rPr>
          <w:rFonts w:eastAsia="Calibri"/>
          <w:szCs w:val="24"/>
          <w:lang w:eastAsia="en-US" w:bidi="he-IL"/>
        </w:rPr>
        <w:t>;</w:t>
      </w:r>
      <w:r w:rsidR="00E173C6">
        <w:rPr>
          <w:rFonts w:eastAsia="Calibri"/>
          <w:szCs w:val="24"/>
          <w:lang w:eastAsia="en-US" w:bidi="he-IL"/>
        </w:rPr>
        <w:t xml:space="preserve"> </w:t>
      </w:r>
    </w:p>
    <w:p w14:paraId="546A9F3B" w14:textId="340BAF92"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balandžio 10</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Kauno mero susitikimas su Pietų Korėjos ambasadoriumi Joyoung</w:t>
      </w:r>
      <w:r w:rsidR="005975AF">
        <w:rPr>
          <w:rFonts w:eastAsia="Calibri"/>
          <w:szCs w:val="24"/>
          <w:lang w:eastAsia="en-US" w:bidi="he-IL"/>
        </w:rPr>
        <w:t>’u</w:t>
      </w:r>
      <w:r w:rsidR="00D26788" w:rsidRPr="00D26788">
        <w:rPr>
          <w:rFonts w:eastAsia="Calibri"/>
          <w:szCs w:val="24"/>
          <w:lang w:eastAsia="en-US" w:bidi="he-IL"/>
        </w:rPr>
        <w:t xml:space="preserve"> Jeon</w:t>
      </w:r>
      <w:r w:rsidR="005975AF">
        <w:rPr>
          <w:rFonts w:eastAsia="Calibri"/>
          <w:szCs w:val="24"/>
          <w:lang w:eastAsia="en-US" w:bidi="he-IL"/>
        </w:rPr>
        <w:t>’u</w:t>
      </w:r>
      <w:r w:rsidR="00D26788" w:rsidRPr="00D26788">
        <w:rPr>
          <w:rFonts w:eastAsia="Calibri"/>
          <w:szCs w:val="24"/>
          <w:lang w:eastAsia="en-US" w:bidi="he-IL"/>
        </w:rPr>
        <w:t xml:space="preserve"> ir </w:t>
      </w:r>
      <w:r>
        <w:rPr>
          <w:rFonts w:eastAsia="Calibri"/>
          <w:szCs w:val="24"/>
          <w:lang w:eastAsia="en-US" w:bidi="he-IL"/>
        </w:rPr>
        <w:t>t</w:t>
      </w:r>
      <w:r w:rsidR="00D26788" w:rsidRPr="00D26788">
        <w:rPr>
          <w:rFonts w:eastAsia="Calibri"/>
          <w:szCs w:val="24"/>
          <w:lang w:eastAsia="en-US" w:bidi="he-IL"/>
        </w:rPr>
        <w:t>rečiąja sekretore</w:t>
      </w:r>
      <w:r w:rsidR="00BC2C18">
        <w:rPr>
          <w:rFonts w:eastAsia="Calibri"/>
          <w:szCs w:val="24"/>
          <w:lang w:eastAsia="en-US" w:bidi="he-IL"/>
        </w:rPr>
        <w:t xml:space="preserve"> </w:t>
      </w:r>
      <w:r w:rsidR="00D26788" w:rsidRPr="00D26788">
        <w:rPr>
          <w:rFonts w:eastAsia="Calibri"/>
          <w:szCs w:val="24"/>
          <w:lang w:eastAsia="en-US" w:bidi="he-IL"/>
        </w:rPr>
        <w:t>Hyeri Lee</w:t>
      </w:r>
      <w:r>
        <w:rPr>
          <w:rFonts w:eastAsia="Calibri"/>
          <w:szCs w:val="24"/>
          <w:lang w:eastAsia="en-US" w:bidi="he-IL"/>
        </w:rPr>
        <w:t>;</w:t>
      </w:r>
      <w:r w:rsidR="00E173C6">
        <w:rPr>
          <w:rFonts w:eastAsia="Calibri"/>
          <w:szCs w:val="24"/>
          <w:lang w:eastAsia="en-US" w:bidi="he-IL"/>
        </w:rPr>
        <w:t xml:space="preserve"> </w:t>
      </w:r>
    </w:p>
    <w:p w14:paraId="196B7E04" w14:textId="4483E67C"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2025 m. balandžio 17 d.</w:t>
      </w:r>
      <w:r w:rsidR="00E173C6">
        <w:rPr>
          <w:rFonts w:eastAsia="Calibri"/>
          <w:szCs w:val="24"/>
          <w:lang w:eastAsia="en-US" w:bidi="he-IL"/>
        </w:rPr>
        <w:t xml:space="preserve"> </w:t>
      </w:r>
      <w:r w:rsidRPr="00FD2359">
        <w:rPr>
          <w:rFonts w:eastAsia="Calibri"/>
          <w:szCs w:val="24"/>
          <w:lang w:eastAsia="en-US" w:bidi="he-IL"/>
        </w:rPr>
        <w:t>k</w:t>
      </w:r>
      <w:r w:rsidR="00D26788" w:rsidRPr="00D26788">
        <w:rPr>
          <w:rFonts w:eastAsia="Calibri"/>
          <w:szCs w:val="24"/>
          <w:lang w:eastAsia="en-US" w:bidi="he-IL"/>
        </w:rPr>
        <w:t>onkurso „Aplink frankofonišką pasaulį akies mirksniu“ apdovanojimai</w:t>
      </w:r>
      <w:r>
        <w:rPr>
          <w:rFonts w:eastAsia="Calibri"/>
          <w:szCs w:val="24"/>
          <w:lang w:eastAsia="en-US" w:bidi="he-IL"/>
        </w:rPr>
        <w:t>;</w:t>
      </w:r>
      <w:r w:rsidR="00E173C6">
        <w:rPr>
          <w:rFonts w:eastAsia="Calibri"/>
          <w:szCs w:val="24"/>
          <w:lang w:eastAsia="en-US" w:bidi="he-IL"/>
        </w:rPr>
        <w:t xml:space="preserve"> </w:t>
      </w:r>
    </w:p>
    <w:p w14:paraId="4BCE224A" w14:textId="40989B89"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balandžio 29</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Medicinos darbuotojų dienai skirtas renginys Kaune</w:t>
      </w:r>
      <w:r>
        <w:rPr>
          <w:rFonts w:eastAsia="Calibri"/>
          <w:szCs w:val="24"/>
          <w:lang w:eastAsia="en-US" w:bidi="he-IL"/>
        </w:rPr>
        <w:t>;</w:t>
      </w:r>
      <w:r w:rsidR="00E173C6">
        <w:rPr>
          <w:rFonts w:eastAsia="Calibri"/>
          <w:szCs w:val="24"/>
          <w:lang w:eastAsia="en-US" w:bidi="he-IL"/>
        </w:rPr>
        <w:t xml:space="preserve"> </w:t>
      </w:r>
    </w:p>
    <w:p w14:paraId="3E064B9F" w14:textId="7F9F9CAC"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gegužės 6</w:t>
      </w:r>
      <w:r w:rsidRPr="00FD2359">
        <w:rPr>
          <w:rFonts w:eastAsia="Calibri"/>
          <w:szCs w:val="24"/>
          <w:lang w:eastAsia="en-US" w:bidi="he-IL"/>
        </w:rPr>
        <w:t xml:space="preserve"> d.</w:t>
      </w:r>
      <w:r w:rsidR="00E173C6">
        <w:rPr>
          <w:rFonts w:eastAsia="Calibri"/>
          <w:szCs w:val="24"/>
          <w:lang w:eastAsia="en-US" w:bidi="he-IL"/>
        </w:rPr>
        <w:t xml:space="preserve"> </w:t>
      </w:r>
      <w:r w:rsidR="005975AF">
        <w:rPr>
          <w:rFonts w:eastAsia="Calibri"/>
          <w:szCs w:val="24"/>
          <w:lang w:eastAsia="en-US" w:bidi="he-IL"/>
        </w:rPr>
        <w:t>P</w:t>
      </w:r>
      <w:r w:rsidR="00D26788" w:rsidRPr="00D26788">
        <w:rPr>
          <w:rFonts w:eastAsia="Calibri"/>
          <w:szCs w:val="24"/>
          <w:lang w:eastAsia="en-US" w:bidi="he-IL"/>
        </w:rPr>
        <w:t>rezidento Valdo Adamkaus lengvosios atletikos maniežo atidarymo renginys</w:t>
      </w:r>
      <w:r>
        <w:rPr>
          <w:rFonts w:eastAsia="Calibri"/>
          <w:szCs w:val="24"/>
          <w:lang w:eastAsia="en-US" w:bidi="he-IL"/>
        </w:rPr>
        <w:t>;</w:t>
      </w:r>
      <w:r w:rsidR="00E173C6">
        <w:rPr>
          <w:rFonts w:eastAsia="Calibri"/>
          <w:szCs w:val="24"/>
          <w:lang w:eastAsia="en-US" w:bidi="he-IL"/>
        </w:rPr>
        <w:t xml:space="preserve"> </w:t>
      </w:r>
    </w:p>
    <w:p w14:paraId="128FEB54" w14:textId="7624CE9E"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gegužės 12</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Kauno mero susitikimas su Lenkijos laikinuoju reikalų patikėtiniu Grzegorz</w:t>
      </w:r>
      <w:r w:rsidR="005975AF">
        <w:rPr>
          <w:rFonts w:eastAsia="Calibri"/>
          <w:szCs w:val="24"/>
          <w:lang w:eastAsia="en-US" w:bidi="he-IL"/>
        </w:rPr>
        <w:t>’u</w:t>
      </w:r>
      <w:r w:rsidR="00D26788" w:rsidRPr="00D26788">
        <w:rPr>
          <w:rFonts w:eastAsia="Calibri"/>
          <w:szCs w:val="24"/>
          <w:lang w:eastAsia="en-US" w:bidi="he-IL"/>
        </w:rPr>
        <w:t xml:space="preserve"> Marek</w:t>
      </w:r>
      <w:r w:rsidR="005975AF">
        <w:rPr>
          <w:rFonts w:eastAsia="Calibri"/>
          <w:szCs w:val="24"/>
          <w:lang w:eastAsia="en-US" w:bidi="he-IL"/>
        </w:rPr>
        <w:t>’u</w:t>
      </w:r>
      <w:r w:rsidR="00D26788" w:rsidRPr="00D26788">
        <w:rPr>
          <w:rFonts w:eastAsia="Calibri"/>
          <w:szCs w:val="24"/>
          <w:lang w:eastAsia="en-US" w:bidi="he-IL"/>
        </w:rPr>
        <w:t xml:space="preserve"> Poznański</w:t>
      </w:r>
      <w:r w:rsidR="005975AF">
        <w:rPr>
          <w:rFonts w:eastAsia="Calibri"/>
          <w:szCs w:val="24"/>
          <w:lang w:eastAsia="en-US" w:bidi="he-IL"/>
        </w:rPr>
        <w:t>’u</w:t>
      </w:r>
      <w:r>
        <w:rPr>
          <w:rFonts w:eastAsia="Calibri"/>
          <w:szCs w:val="24"/>
          <w:lang w:eastAsia="en-US" w:bidi="he-IL"/>
        </w:rPr>
        <w:t>;</w:t>
      </w:r>
      <w:r w:rsidR="00E173C6">
        <w:rPr>
          <w:rFonts w:eastAsia="Calibri"/>
          <w:szCs w:val="24"/>
          <w:lang w:eastAsia="en-US" w:bidi="he-IL"/>
        </w:rPr>
        <w:t xml:space="preserve"> </w:t>
      </w:r>
    </w:p>
    <w:p w14:paraId="3643C3D1" w14:textId="3F259AD4"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gegužės 23</w:t>
      </w:r>
      <w:r w:rsidRPr="00FD2359">
        <w:rPr>
          <w:rFonts w:eastAsia="Calibri"/>
          <w:szCs w:val="24"/>
          <w:lang w:eastAsia="en-US" w:bidi="he-IL"/>
        </w:rPr>
        <w:t xml:space="preserve"> d.</w:t>
      </w:r>
      <w:r w:rsidR="00E173C6">
        <w:rPr>
          <w:rFonts w:eastAsia="Calibri"/>
          <w:szCs w:val="24"/>
          <w:lang w:eastAsia="en-US" w:bidi="he-IL"/>
        </w:rPr>
        <w:t xml:space="preserve"> </w:t>
      </w:r>
      <w:r>
        <w:rPr>
          <w:rFonts w:eastAsia="Calibri"/>
          <w:szCs w:val="24"/>
          <w:lang w:eastAsia="en-US" w:bidi="he-IL"/>
        </w:rPr>
        <w:t>s</w:t>
      </w:r>
      <w:r w:rsidR="00D26788" w:rsidRPr="00D26788">
        <w:rPr>
          <w:rFonts w:eastAsia="Calibri"/>
          <w:szCs w:val="24"/>
          <w:lang w:eastAsia="en-US" w:bidi="he-IL"/>
        </w:rPr>
        <w:t>usitikimas su Veimaro (Vokietija) delegacija</w:t>
      </w:r>
      <w:r w:rsidR="005975AF">
        <w:rPr>
          <w:rFonts w:eastAsia="Calibri"/>
          <w:szCs w:val="24"/>
          <w:lang w:eastAsia="en-US" w:bidi="he-IL"/>
        </w:rPr>
        <w:t xml:space="preserve"> ir</w:t>
      </w:r>
      <w:r w:rsidR="00D26788" w:rsidRPr="00D26788">
        <w:rPr>
          <w:rFonts w:eastAsia="Calibri"/>
          <w:szCs w:val="24"/>
          <w:lang w:eastAsia="en-US" w:bidi="he-IL"/>
        </w:rPr>
        <w:t xml:space="preserve"> ginkmedžio sodinimo Draugystės parke</w:t>
      </w:r>
      <w:r w:rsidR="005975AF" w:rsidRPr="005975AF">
        <w:rPr>
          <w:rFonts w:eastAsia="Calibri"/>
          <w:szCs w:val="24"/>
          <w:lang w:eastAsia="en-US" w:bidi="he-IL"/>
        </w:rPr>
        <w:t xml:space="preserve"> </w:t>
      </w:r>
      <w:r w:rsidR="005975AF" w:rsidRPr="00D26788">
        <w:rPr>
          <w:rFonts w:eastAsia="Calibri"/>
          <w:szCs w:val="24"/>
          <w:lang w:eastAsia="en-US" w:bidi="he-IL"/>
        </w:rPr>
        <w:t>ceremonija</w:t>
      </w:r>
      <w:r>
        <w:rPr>
          <w:rFonts w:eastAsia="Calibri"/>
          <w:szCs w:val="24"/>
          <w:lang w:eastAsia="en-US" w:bidi="he-IL"/>
        </w:rPr>
        <w:t>;</w:t>
      </w:r>
      <w:r w:rsidR="00E173C6">
        <w:rPr>
          <w:rFonts w:eastAsia="Calibri"/>
          <w:szCs w:val="24"/>
          <w:lang w:eastAsia="en-US" w:bidi="he-IL"/>
        </w:rPr>
        <w:t xml:space="preserve"> </w:t>
      </w:r>
    </w:p>
    <w:p w14:paraId="60BBFBA5" w14:textId="561D3030"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gegužės 27</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Indijos folkloro grupės koncerto Kaune organizavimas</w:t>
      </w:r>
      <w:r>
        <w:rPr>
          <w:rFonts w:eastAsia="Calibri"/>
          <w:szCs w:val="24"/>
          <w:lang w:eastAsia="en-US" w:bidi="he-IL"/>
        </w:rPr>
        <w:t>;</w:t>
      </w:r>
      <w:r w:rsidR="00E173C6">
        <w:rPr>
          <w:rFonts w:eastAsia="Calibri"/>
          <w:szCs w:val="24"/>
          <w:lang w:eastAsia="en-US" w:bidi="he-IL"/>
        </w:rPr>
        <w:t xml:space="preserve"> </w:t>
      </w:r>
    </w:p>
    <w:p w14:paraId="26B1D72A" w14:textId="619A6DDC"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birželio 3</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Kauno mero susitikimas su Turkijos ambasadoriumi ir verslo delegacija</w:t>
      </w:r>
      <w:r>
        <w:rPr>
          <w:rFonts w:eastAsia="Calibri"/>
          <w:szCs w:val="24"/>
          <w:lang w:eastAsia="en-US" w:bidi="he-IL"/>
        </w:rPr>
        <w:t>;</w:t>
      </w:r>
      <w:r w:rsidR="00E173C6">
        <w:rPr>
          <w:rFonts w:eastAsia="Calibri"/>
          <w:szCs w:val="24"/>
          <w:lang w:eastAsia="en-US" w:bidi="he-IL"/>
        </w:rPr>
        <w:t xml:space="preserve"> </w:t>
      </w:r>
    </w:p>
    <w:p w14:paraId="0F982128" w14:textId="2413AEFC"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birželio 11</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Kauno mero susitikimas su Slovakijos ambasadoriumi Branislav</w:t>
      </w:r>
      <w:r w:rsidR="005975AF">
        <w:rPr>
          <w:rFonts w:eastAsia="Calibri"/>
          <w:szCs w:val="24"/>
          <w:lang w:eastAsia="en-US" w:bidi="he-IL"/>
        </w:rPr>
        <w:t>’u</w:t>
      </w:r>
      <w:r w:rsidR="00D26788" w:rsidRPr="00D26788">
        <w:rPr>
          <w:rFonts w:eastAsia="Calibri"/>
          <w:szCs w:val="24"/>
          <w:lang w:eastAsia="en-US" w:bidi="he-IL"/>
        </w:rPr>
        <w:t xml:space="preserve"> Pavlovič</w:t>
      </w:r>
      <w:r w:rsidR="005975AF">
        <w:rPr>
          <w:rFonts w:eastAsia="Calibri"/>
          <w:szCs w:val="24"/>
          <w:lang w:eastAsia="en-US" w:bidi="he-IL"/>
        </w:rPr>
        <w:t>’u</w:t>
      </w:r>
      <w:r>
        <w:rPr>
          <w:rFonts w:eastAsia="Calibri"/>
          <w:szCs w:val="24"/>
          <w:lang w:eastAsia="en-US" w:bidi="he-IL"/>
        </w:rPr>
        <w:t>;</w:t>
      </w:r>
      <w:r w:rsidR="00E173C6">
        <w:rPr>
          <w:rFonts w:eastAsia="Calibri"/>
          <w:szCs w:val="24"/>
          <w:lang w:eastAsia="en-US" w:bidi="he-IL"/>
        </w:rPr>
        <w:t xml:space="preserve"> </w:t>
      </w:r>
    </w:p>
    <w:p w14:paraId="5A3CA62A" w14:textId="791D7DD1" w:rsidR="00D26788" w:rsidRPr="00D26788" w:rsidRDefault="00FD2359" w:rsidP="00FD2359">
      <w:pPr>
        <w:spacing w:line="360" w:lineRule="auto"/>
        <w:ind w:firstLine="1298"/>
        <w:jc w:val="both"/>
        <w:rPr>
          <w:szCs w:val="24"/>
          <w:lang w:eastAsia="en-US" w:bidi="he-IL"/>
        </w:rPr>
      </w:pPr>
      <w:r w:rsidRPr="00FD2359">
        <w:rPr>
          <w:rFonts w:eastAsia="Calibri"/>
          <w:szCs w:val="24"/>
          <w:lang w:eastAsia="en-US" w:bidi="he-IL"/>
        </w:rPr>
        <w:t xml:space="preserve">2025 m. </w:t>
      </w:r>
      <w:r>
        <w:rPr>
          <w:rFonts w:eastAsia="Calibri"/>
          <w:szCs w:val="24"/>
          <w:lang w:eastAsia="en-US" w:bidi="he-IL"/>
        </w:rPr>
        <w:t>birželio 28</w:t>
      </w:r>
      <w:r w:rsidRPr="00FD2359">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 xml:space="preserve">Lietuvos </w:t>
      </w:r>
      <w:r w:rsidR="005975AF">
        <w:rPr>
          <w:rFonts w:eastAsia="Calibri"/>
          <w:szCs w:val="24"/>
          <w:lang w:eastAsia="en-US" w:bidi="he-IL"/>
        </w:rPr>
        <w:t>k</w:t>
      </w:r>
      <w:r w:rsidR="00D26788" w:rsidRPr="00D26788">
        <w:rPr>
          <w:rFonts w:eastAsia="Calibri"/>
          <w:szCs w:val="24"/>
          <w:lang w:eastAsia="en-US" w:bidi="he-IL"/>
        </w:rPr>
        <w:t>ultūros kongreso</w:t>
      </w:r>
      <w:r w:rsidR="005975AF">
        <w:rPr>
          <w:rFonts w:eastAsia="Calibri"/>
          <w:szCs w:val="24"/>
          <w:lang w:eastAsia="en-US" w:bidi="he-IL"/>
        </w:rPr>
        <w:t xml:space="preserve"> dalyvių</w:t>
      </w:r>
      <w:r w:rsidR="00D26788" w:rsidRPr="00D26788">
        <w:rPr>
          <w:rFonts w:eastAsia="Calibri"/>
          <w:szCs w:val="24"/>
          <w:lang w:eastAsia="en-US" w:bidi="he-IL"/>
        </w:rPr>
        <w:t xml:space="preserve"> priėmimas Kauno rotušėje</w:t>
      </w:r>
      <w:r>
        <w:rPr>
          <w:rFonts w:eastAsia="Calibri"/>
          <w:szCs w:val="24"/>
          <w:lang w:eastAsia="en-US" w:bidi="he-IL"/>
        </w:rPr>
        <w:t>;</w:t>
      </w:r>
      <w:r w:rsidR="00E173C6">
        <w:rPr>
          <w:rFonts w:eastAsia="Calibri"/>
          <w:szCs w:val="24"/>
          <w:lang w:eastAsia="en-US" w:bidi="he-IL"/>
        </w:rPr>
        <w:t xml:space="preserve"> </w:t>
      </w:r>
    </w:p>
    <w:p w14:paraId="63BF80A8" w14:textId="645FC098"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liepos 6 d.</w:t>
      </w:r>
      <w:r w:rsidR="00E173C6">
        <w:rPr>
          <w:rFonts w:eastAsia="Calibri"/>
          <w:szCs w:val="24"/>
          <w:lang w:eastAsia="en-US" w:bidi="he-IL"/>
        </w:rPr>
        <w:t xml:space="preserve"> </w:t>
      </w:r>
      <w:r w:rsidR="00D26788" w:rsidRPr="00D26788">
        <w:rPr>
          <w:rFonts w:eastAsia="Calibri"/>
          <w:szCs w:val="24"/>
          <w:lang w:eastAsia="en-US" w:bidi="he-IL"/>
        </w:rPr>
        <w:t>Liepos 6-osios apdovanojimai Kauno pilyje</w:t>
      </w:r>
      <w:r>
        <w:rPr>
          <w:rFonts w:eastAsia="Calibri"/>
          <w:szCs w:val="24"/>
          <w:lang w:eastAsia="en-US" w:bidi="he-IL"/>
        </w:rPr>
        <w:t>;</w:t>
      </w:r>
      <w:r w:rsidR="00E173C6">
        <w:rPr>
          <w:rFonts w:eastAsia="Calibri"/>
          <w:szCs w:val="24"/>
          <w:lang w:eastAsia="en-US" w:bidi="he-IL"/>
        </w:rPr>
        <w:t xml:space="preserve"> </w:t>
      </w:r>
    </w:p>
    <w:p w14:paraId="44B7A059" w14:textId="15542922"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liepos 17 d.</w:t>
      </w:r>
      <w:r w:rsidR="00E173C6">
        <w:rPr>
          <w:rFonts w:eastAsia="Calibri"/>
          <w:szCs w:val="24"/>
          <w:lang w:eastAsia="en-US" w:bidi="he-IL"/>
        </w:rPr>
        <w:t xml:space="preserve"> Savivaldybės </w:t>
      </w:r>
      <w:r w:rsidR="00D26788" w:rsidRPr="00D26788">
        <w:rPr>
          <w:rFonts w:eastAsia="Calibri"/>
          <w:szCs w:val="24"/>
          <w:lang w:eastAsia="en-US" w:bidi="he-IL"/>
        </w:rPr>
        <w:t>mero susitikimas su Kenijos ambasadore Angeline Kavindu Musili</w:t>
      </w:r>
      <w:r>
        <w:rPr>
          <w:rFonts w:eastAsia="Calibri"/>
          <w:szCs w:val="24"/>
          <w:lang w:eastAsia="en-US" w:bidi="he-IL"/>
        </w:rPr>
        <w:t>;</w:t>
      </w:r>
      <w:r w:rsidR="00E173C6">
        <w:rPr>
          <w:rFonts w:eastAsia="Calibri"/>
          <w:szCs w:val="24"/>
          <w:lang w:eastAsia="en-US" w:bidi="he-IL"/>
        </w:rPr>
        <w:t xml:space="preserve"> </w:t>
      </w:r>
    </w:p>
    <w:p w14:paraId="538F3EB6" w14:textId="64648577"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 xml:space="preserve">2025 m. liepos 23 d.: </w:t>
      </w:r>
      <w:r w:rsidR="00D26788" w:rsidRPr="00D26788">
        <w:rPr>
          <w:rFonts w:eastAsia="Calibri"/>
          <w:szCs w:val="24"/>
          <w:lang w:eastAsia="en-US" w:bidi="he-IL"/>
        </w:rPr>
        <w:t>Kauno šimtukininkų abiturientų ir jų mokytojų apdovanojima</w:t>
      </w:r>
      <w:r w:rsidR="005975AF">
        <w:rPr>
          <w:rFonts w:eastAsia="Calibri"/>
          <w:szCs w:val="24"/>
          <w:lang w:eastAsia="en-US" w:bidi="he-IL"/>
        </w:rPr>
        <w:t>s</w:t>
      </w:r>
      <w:r w:rsidR="00D26788" w:rsidRPr="00D26788">
        <w:rPr>
          <w:rFonts w:eastAsia="Calibri"/>
          <w:szCs w:val="24"/>
          <w:lang w:eastAsia="en-US" w:bidi="he-IL"/>
        </w:rPr>
        <w:t xml:space="preserve"> Kauno rotušėje</w:t>
      </w:r>
      <w:r>
        <w:rPr>
          <w:rFonts w:eastAsia="Calibri"/>
          <w:szCs w:val="24"/>
          <w:lang w:eastAsia="en-US" w:bidi="he-IL"/>
        </w:rPr>
        <w:t>;</w:t>
      </w:r>
      <w:r w:rsidR="00E173C6">
        <w:rPr>
          <w:rFonts w:eastAsia="Calibri"/>
          <w:szCs w:val="24"/>
          <w:lang w:eastAsia="en-US" w:bidi="he-IL"/>
        </w:rPr>
        <w:t xml:space="preserve"> </w:t>
      </w:r>
    </w:p>
    <w:p w14:paraId="3965B7CA" w14:textId="7B25ACE4"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liepos 25 d.</w:t>
      </w:r>
      <w:r w:rsidR="00E173C6">
        <w:rPr>
          <w:rFonts w:eastAsia="Calibri"/>
          <w:szCs w:val="24"/>
          <w:lang w:eastAsia="en-US" w:bidi="he-IL"/>
        </w:rPr>
        <w:t xml:space="preserve"> Savivaldybės </w:t>
      </w:r>
      <w:r w:rsidR="00D26788" w:rsidRPr="00D26788">
        <w:rPr>
          <w:rFonts w:eastAsia="Calibri"/>
          <w:szCs w:val="24"/>
          <w:lang w:eastAsia="en-US" w:bidi="he-IL"/>
        </w:rPr>
        <w:t>mero susitikimas su Indijos ambasadoriumi Devesh</w:t>
      </w:r>
      <w:r w:rsidR="005975AF">
        <w:rPr>
          <w:rFonts w:eastAsia="Calibri"/>
          <w:szCs w:val="24"/>
          <w:lang w:eastAsia="en-US" w:bidi="he-IL"/>
        </w:rPr>
        <w:t>’u</w:t>
      </w:r>
      <w:r w:rsidR="00D26788" w:rsidRPr="00D26788">
        <w:rPr>
          <w:rFonts w:eastAsia="Calibri"/>
          <w:szCs w:val="24"/>
          <w:lang w:eastAsia="en-US" w:bidi="he-IL"/>
        </w:rPr>
        <w:t xml:space="preserve"> Uttam</w:t>
      </w:r>
      <w:r w:rsidR="005975AF">
        <w:rPr>
          <w:rFonts w:eastAsia="Calibri"/>
          <w:szCs w:val="24"/>
          <w:lang w:eastAsia="en-US" w:bidi="he-IL"/>
        </w:rPr>
        <w:t>’u</w:t>
      </w:r>
      <w:r>
        <w:rPr>
          <w:rFonts w:eastAsia="Calibri"/>
          <w:szCs w:val="24"/>
          <w:lang w:eastAsia="en-US" w:bidi="he-IL"/>
        </w:rPr>
        <w:t>;</w:t>
      </w:r>
      <w:r w:rsidR="00E173C6">
        <w:rPr>
          <w:rFonts w:eastAsia="Calibri"/>
          <w:szCs w:val="24"/>
          <w:lang w:eastAsia="en-US" w:bidi="he-IL"/>
        </w:rPr>
        <w:t xml:space="preserve"> </w:t>
      </w:r>
    </w:p>
    <w:p w14:paraId="0E489AE6" w14:textId="15B5182B"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rugpjūčio 29 d.</w:t>
      </w:r>
      <w:r w:rsidR="00E173C6">
        <w:rPr>
          <w:rFonts w:eastAsia="Calibri"/>
          <w:szCs w:val="24"/>
          <w:lang w:eastAsia="en-US" w:bidi="he-IL"/>
        </w:rPr>
        <w:t xml:space="preserve"> Savivaldybės </w:t>
      </w:r>
      <w:r w:rsidR="00D26788" w:rsidRPr="00D26788">
        <w:rPr>
          <w:rFonts w:eastAsia="Calibri"/>
          <w:szCs w:val="24"/>
          <w:lang w:eastAsia="en-US" w:bidi="he-IL"/>
        </w:rPr>
        <w:t>mero priėmimo Monako Kunigaikštystės Princo Alberto II vizito proga organizavimas</w:t>
      </w:r>
      <w:r>
        <w:rPr>
          <w:rFonts w:eastAsia="Calibri"/>
          <w:szCs w:val="24"/>
          <w:lang w:eastAsia="en-US" w:bidi="he-IL"/>
        </w:rPr>
        <w:t>;</w:t>
      </w:r>
      <w:r w:rsidR="00E173C6">
        <w:rPr>
          <w:rFonts w:eastAsia="Calibri"/>
          <w:szCs w:val="24"/>
          <w:lang w:eastAsia="en-US" w:bidi="he-IL"/>
        </w:rPr>
        <w:t xml:space="preserve"> </w:t>
      </w:r>
    </w:p>
    <w:p w14:paraId="126B2D38" w14:textId="3BA8BCBF"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rugsėjo 3 d.</w:t>
      </w:r>
      <w:r w:rsidR="00E173C6">
        <w:rPr>
          <w:rFonts w:eastAsia="Calibri"/>
          <w:szCs w:val="24"/>
          <w:lang w:eastAsia="en-US" w:bidi="he-IL"/>
        </w:rPr>
        <w:t xml:space="preserve"> </w:t>
      </w:r>
      <w:r w:rsidR="00D26788" w:rsidRPr="00D26788">
        <w:rPr>
          <w:rFonts w:eastAsia="Calibri"/>
          <w:szCs w:val="24"/>
          <w:lang w:eastAsia="en-US" w:bidi="he-IL"/>
        </w:rPr>
        <w:t>Pietų Korėjos delegacijos vizitas</w:t>
      </w:r>
      <w:r>
        <w:rPr>
          <w:rFonts w:eastAsia="Calibri"/>
          <w:szCs w:val="24"/>
          <w:lang w:eastAsia="en-US" w:bidi="he-IL"/>
        </w:rPr>
        <w:t>;</w:t>
      </w:r>
      <w:r w:rsidR="00E173C6">
        <w:rPr>
          <w:rFonts w:eastAsia="Calibri"/>
          <w:szCs w:val="24"/>
          <w:lang w:eastAsia="en-US" w:bidi="he-IL"/>
        </w:rPr>
        <w:t xml:space="preserve"> </w:t>
      </w:r>
    </w:p>
    <w:p w14:paraId="34B271A5" w14:textId="576F354D"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lastRenderedPageBreak/>
        <w:t>2025 m. rugsėjo 6 d.</w:t>
      </w:r>
      <w:r w:rsidR="00E173C6">
        <w:rPr>
          <w:rFonts w:eastAsia="Calibri"/>
          <w:szCs w:val="24"/>
          <w:lang w:eastAsia="en-US" w:bidi="he-IL"/>
        </w:rPr>
        <w:t xml:space="preserve"> </w:t>
      </w:r>
      <w:r w:rsidR="00D26788" w:rsidRPr="00D26788">
        <w:rPr>
          <w:rFonts w:eastAsia="Calibri"/>
          <w:szCs w:val="24"/>
          <w:lang w:eastAsia="en-US" w:bidi="he-IL"/>
        </w:rPr>
        <w:t xml:space="preserve">Kauno sporto mokyklos </w:t>
      </w:r>
      <w:r w:rsidR="00D26788" w:rsidRPr="00D26788">
        <w:rPr>
          <w:rFonts w:eastAsia="Calibri"/>
          <w:bCs/>
          <w:szCs w:val="24"/>
          <w:lang w:eastAsia="en-US" w:bidi="he-IL"/>
        </w:rPr>
        <w:t>„Bangpūtys“</w:t>
      </w:r>
      <w:r w:rsidR="00D26788" w:rsidRPr="00D26788">
        <w:rPr>
          <w:rFonts w:eastAsia="Calibri"/>
          <w:szCs w:val="24"/>
          <w:lang w:eastAsia="en-US" w:bidi="he-IL"/>
        </w:rPr>
        <w:t xml:space="preserve"> buriavimo sporto bazės atidarymo renginys</w:t>
      </w:r>
      <w:r>
        <w:rPr>
          <w:rFonts w:eastAsia="Calibri"/>
          <w:szCs w:val="24"/>
          <w:lang w:eastAsia="en-US" w:bidi="he-IL"/>
        </w:rPr>
        <w:t>;</w:t>
      </w:r>
      <w:r w:rsidR="00E173C6">
        <w:rPr>
          <w:rFonts w:eastAsia="Calibri"/>
          <w:szCs w:val="24"/>
          <w:lang w:eastAsia="en-US" w:bidi="he-IL"/>
        </w:rPr>
        <w:t xml:space="preserve"> </w:t>
      </w:r>
    </w:p>
    <w:p w14:paraId="3CBE988A" w14:textId="612EB101"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rugsėjo 15 d.</w:t>
      </w:r>
      <w:r w:rsidR="00E173C6">
        <w:rPr>
          <w:rFonts w:eastAsia="Calibri"/>
          <w:szCs w:val="24"/>
          <w:lang w:eastAsia="en-US" w:bidi="he-IL"/>
        </w:rPr>
        <w:t xml:space="preserve"> Savivaldybės </w:t>
      </w:r>
      <w:r w:rsidR="00D26788" w:rsidRPr="00D26788">
        <w:rPr>
          <w:rFonts w:eastAsia="Calibri"/>
          <w:szCs w:val="24"/>
          <w:lang w:eastAsia="en-US" w:bidi="he-IL"/>
        </w:rPr>
        <w:t>mero susitikimas su Izraelio ambasadore Shelly Hugler Livne</w:t>
      </w:r>
      <w:r>
        <w:rPr>
          <w:rFonts w:eastAsia="Calibri"/>
          <w:szCs w:val="24"/>
          <w:lang w:eastAsia="en-US" w:bidi="he-IL"/>
        </w:rPr>
        <w:t>;</w:t>
      </w:r>
      <w:r w:rsidR="00E173C6">
        <w:rPr>
          <w:rFonts w:eastAsia="Calibri"/>
          <w:szCs w:val="24"/>
          <w:lang w:eastAsia="en-US" w:bidi="he-IL"/>
        </w:rPr>
        <w:t xml:space="preserve"> </w:t>
      </w:r>
    </w:p>
    <w:p w14:paraId="76EEB88D" w14:textId="3A4D950A"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rugsėjo 23 d.</w:t>
      </w:r>
      <w:r w:rsidR="00E173C6">
        <w:rPr>
          <w:rFonts w:eastAsia="Calibri"/>
          <w:szCs w:val="24"/>
          <w:lang w:eastAsia="en-US" w:bidi="he-IL"/>
        </w:rPr>
        <w:t xml:space="preserve"> Savivaldybės </w:t>
      </w:r>
      <w:r w:rsidR="00D26788" w:rsidRPr="00D26788">
        <w:rPr>
          <w:rFonts w:eastAsia="Calibri"/>
          <w:szCs w:val="24"/>
          <w:lang w:eastAsia="en-US" w:bidi="he-IL"/>
        </w:rPr>
        <w:t>mero susitikimas su Ukrainos ambasadore Olha Nikitchenko</w:t>
      </w:r>
      <w:r>
        <w:rPr>
          <w:rFonts w:eastAsia="Calibri"/>
          <w:szCs w:val="24"/>
          <w:lang w:eastAsia="en-US" w:bidi="he-IL"/>
        </w:rPr>
        <w:t>;</w:t>
      </w:r>
      <w:r w:rsidR="00E173C6">
        <w:rPr>
          <w:rFonts w:eastAsia="Calibri"/>
          <w:szCs w:val="24"/>
          <w:lang w:eastAsia="en-US" w:bidi="he-IL"/>
        </w:rPr>
        <w:t xml:space="preserve"> </w:t>
      </w:r>
    </w:p>
    <w:p w14:paraId="3F2AF1EF" w14:textId="7269FBB6" w:rsidR="00D26788" w:rsidRPr="00D26788" w:rsidRDefault="00D22268" w:rsidP="00D22268">
      <w:pPr>
        <w:spacing w:line="360" w:lineRule="auto"/>
        <w:ind w:firstLine="1298"/>
        <w:jc w:val="both"/>
        <w:rPr>
          <w:szCs w:val="24"/>
          <w:lang w:eastAsia="en-US" w:bidi="he-IL"/>
        </w:rPr>
      </w:pPr>
      <w:r>
        <w:rPr>
          <w:rFonts w:eastAsia="Calibri"/>
          <w:szCs w:val="24"/>
          <w:lang w:eastAsia="en-US" w:bidi="he-IL"/>
        </w:rPr>
        <w:t>2025 m. rugsėjo 29 d.</w:t>
      </w:r>
      <w:r w:rsidRPr="00D26788">
        <w:rPr>
          <w:rFonts w:eastAsia="Calibri"/>
          <w:szCs w:val="24"/>
          <w:lang w:eastAsia="en-US" w:bidi="he-IL"/>
        </w:rPr>
        <w:t xml:space="preserve"> </w:t>
      </w:r>
      <w:r w:rsidR="00D26788" w:rsidRPr="00D26788">
        <w:rPr>
          <w:rFonts w:eastAsia="Calibri"/>
          <w:szCs w:val="24"/>
          <w:lang w:eastAsia="en-US" w:bidi="he-IL"/>
        </w:rPr>
        <w:t>Socialinių darbuotojų dienai skirtas renginys Kauno kultūros centre</w:t>
      </w:r>
      <w:r>
        <w:rPr>
          <w:rFonts w:eastAsia="Calibri"/>
          <w:szCs w:val="24"/>
          <w:lang w:eastAsia="en-US" w:bidi="he-IL"/>
        </w:rPr>
        <w:t>;</w:t>
      </w:r>
      <w:r w:rsidR="00E173C6">
        <w:rPr>
          <w:rFonts w:eastAsia="Calibri"/>
          <w:szCs w:val="24"/>
          <w:lang w:eastAsia="en-US" w:bidi="he-IL"/>
        </w:rPr>
        <w:t xml:space="preserve"> </w:t>
      </w:r>
    </w:p>
    <w:p w14:paraId="6D902946" w14:textId="2F096E70"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2025 m. rugsėjo 30 d.</w:t>
      </w:r>
      <w:r w:rsidR="00E173C6">
        <w:rPr>
          <w:rFonts w:eastAsia="Calibri"/>
          <w:szCs w:val="24"/>
          <w:lang w:eastAsia="en-US" w:bidi="he-IL"/>
        </w:rPr>
        <w:t xml:space="preserve"> </w:t>
      </w:r>
      <w:r w:rsidR="00D26788" w:rsidRPr="00D26788">
        <w:rPr>
          <w:rFonts w:eastAsia="Calibri"/>
          <w:szCs w:val="24"/>
          <w:lang w:eastAsia="en-US" w:bidi="he-IL"/>
        </w:rPr>
        <w:t>Kauno plaukimo mokyklos Šilainių baseino atidarymo renginys</w:t>
      </w:r>
      <w:r w:rsidRPr="00D22268">
        <w:rPr>
          <w:rFonts w:eastAsia="Calibri"/>
          <w:szCs w:val="24"/>
          <w:lang w:eastAsia="en-US" w:bidi="he-IL"/>
        </w:rPr>
        <w:t>;</w:t>
      </w:r>
      <w:r w:rsidR="00E173C6">
        <w:rPr>
          <w:rFonts w:eastAsia="Calibri"/>
          <w:szCs w:val="24"/>
          <w:lang w:eastAsia="en-US" w:bidi="he-IL"/>
        </w:rPr>
        <w:t xml:space="preserve"> </w:t>
      </w:r>
    </w:p>
    <w:p w14:paraId="4E8C5F42" w14:textId="74B58183"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2025 m. spalio 7 d.</w:t>
      </w:r>
      <w:r w:rsidR="00E173C6">
        <w:rPr>
          <w:rFonts w:eastAsia="Calibri"/>
          <w:szCs w:val="24"/>
          <w:lang w:eastAsia="en-US" w:bidi="he-IL"/>
        </w:rPr>
        <w:t xml:space="preserve"> </w:t>
      </w:r>
      <w:r w:rsidRPr="00D22268">
        <w:rPr>
          <w:rFonts w:eastAsia="Calibri"/>
          <w:szCs w:val="24"/>
          <w:lang w:eastAsia="en-US" w:bidi="he-IL"/>
        </w:rPr>
        <w:t>f</w:t>
      </w:r>
      <w:r w:rsidR="00D26788" w:rsidRPr="00D26788">
        <w:rPr>
          <w:rFonts w:eastAsia="Calibri"/>
          <w:szCs w:val="24"/>
          <w:lang w:eastAsia="en-US" w:bidi="he-IL"/>
        </w:rPr>
        <w:t>otografijų konkurso „Itališka akimirka: žvilgsnis per objektyvą“ apdovanojimų ceremonija</w:t>
      </w:r>
      <w:r w:rsidRPr="00D22268">
        <w:rPr>
          <w:rFonts w:eastAsia="Calibri"/>
          <w:szCs w:val="24"/>
          <w:lang w:eastAsia="en-US" w:bidi="he-IL"/>
        </w:rPr>
        <w:t>;</w:t>
      </w:r>
      <w:r w:rsidR="00E173C6">
        <w:rPr>
          <w:rFonts w:eastAsia="Calibri"/>
          <w:szCs w:val="24"/>
          <w:lang w:eastAsia="en-US" w:bidi="he-IL"/>
        </w:rPr>
        <w:t xml:space="preserve"> </w:t>
      </w:r>
    </w:p>
    <w:p w14:paraId="7A2F587D" w14:textId="71ECAA37"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spalio </w:t>
      </w:r>
      <w:r>
        <w:rPr>
          <w:rFonts w:eastAsia="Calibri"/>
          <w:szCs w:val="24"/>
          <w:lang w:eastAsia="en-US" w:bidi="he-IL"/>
        </w:rPr>
        <w:t>9</w:t>
      </w:r>
      <w:r w:rsidRPr="00D22268">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Čekijos ambasados ir Kauno savivaldybės renginys, skirtas čekų literatūrai ir kultūrai pristatyti</w:t>
      </w:r>
      <w:r>
        <w:rPr>
          <w:rFonts w:eastAsia="Calibri"/>
          <w:szCs w:val="24"/>
          <w:lang w:eastAsia="en-US" w:bidi="he-IL"/>
        </w:rPr>
        <w:t>;</w:t>
      </w:r>
      <w:r w:rsidR="00E173C6">
        <w:rPr>
          <w:rFonts w:eastAsia="Calibri"/>
          <w:szCs w:val="24"/>
          <w:lang w:eastAsia="en-US" w:bidi="he-IL"/>
        </w:rPr>
        <w:t xml:space="preserve"> </w:t>
      </w:r>
    </w:p>
    <w:p w14:paraId="0562BABC" w14:textId="6B1B3433"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spalio </w:t>
      </w:r>
      <w:r>
        <w:rPr>
          <w:rFonts w:eastAsia="Calibri"/>
          <w:szCs w:val="24"/>
          <w:lang w:eastAsia="en-US" w:bidi="he-IL"/>
        </w:rPr>
        <w:t>10</w:t>
      </w:r>
      <w:r w:rsidRPr="00D22268">
        <w:rPr>
          <w:rFonts w:eastAsia="Calibri"/>
          <w:szCs w:val="24"/>
          <w:lang w:eastAsia="en-US" w:bidi="he-IL"/>
        </w:rPr>
        <w:t xml:space="preserve"> d.</w:t>
      </w:r>
      <w:r w:rsidR="00E173C6">
        <w:rPr>
          <w:rFonts w:eastAsia="Calibri"/>
          <w:szCs w:val="24"/>
          <w:lang w:eastAsia="en-US" w:bidi="he-IL"/>
        </w:rPr>
        <w:t xml:space="preserve"> Savivaldybės </w:t>
      </w:r>
      <w:r w:rsidR="00D26788" w:rsidRPr="00D26788">
        <w:rPr>
          <w:rFonts w:eastAsia="Calibri"/>
          <w:szCs w:val="24"/>
          <w:lang w:eastAsia="en-US" w:bidi="he-IL"/>
        </w:rPr>
        <w:t>mero susitikimas su Prancūzijos ambasadore</w:t>
      </w:r>
      <w:r w:rsidR="00534F9C">
        <w:rPr>
          <w:rFonts w:eastAsia="Calibri"/>
          <w:szCs w:val="24"/>
          <w:lang w:eastAsia="en-US" w:bidi="he-IL"/>
        </w:rPr>
        <w:t xml:space="preserve"> </w:t>
      </w:r>
      <w:r w:rsidR="00D26788" w:rsidRPr="00D26788">
        <w:rPr>
          <w:rFonts w:eastAsia="Calibri"/>
          <w:szCs w:val="24"/>
          <w:lang w:eastAsia="en-US" w:bidi="he-IL"/>
        </w:rPr>
        <w:t>Lucie Stepanyan</w:t>
      </w:r>
      <w:r>
        <w:rPr>
          <w:rFonts w:eastAsia="Calibri"/>
          <w:szCs w:val="24"/>
          <w:lang w:eastAsia="en-US" w:bidi="he-IL"/>
        </w:rPr>
        <w:t>;</w:t>
      </w:r>
      <w:r w:rsidR="00E173C6">
        <w:rPr>
          <w:rFonts w:eastAsia="Calibri"/>
          <w:szCs w:val="24"/>
          <w:lang w:eastAsia="en-US" w:bidi="he-IL"/>
        </w:rPr>
        <w:t xml:space="preserve"> </w:t>
      </w:r>
    </w:p>
    <w:p w14:paraId="37A27392" w14:textId="113A7FDA"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2025 m. spalio 13 d.</w:t>
      </w:r>
      <w:r w:rsidR="00E173C6">
        <w:rPr>
          <w:rFonts w:eastAsia="Calibri"/>
          <w:szCs w:val="24"/>
          <w:lang w:eastAsia="en-US" w:bidi="he-IL"/>
        </w:rPr>
        <w:t xml:space="preserve"> </w:t>
      </w:r>
      <w:r w:rsidR="005975AF">
        <w:rPr>
          <w:rFonts w:eastAsia="Calibri"/>
          <w:szCs w:val="24"/>
          <w:lang w:eastAsia="en-US" w:bidi="he-IL"/>
        </w:rPr>
        <w:t>M</w:t>
      </w:r>
      <w:r w:rsidR="00D26788" w:rsidRPr="00D26788">
        <w:rPr>
          <w:rFonts w:eastAsia="Calibri"/>
          <w:szCs w:val="24"/>
          <w:lang w:eastAsia="en-US" w:bidi="he-IL"/>
        </w:rPr>
        <w:t>etų mokytojo apdovanojimų</w:t>
      </w:r>
      <w:r w:rsidR="005975AF">
        <w:rPr>
          <w:rFonts w:eastAsia="Calibri"/>
          <w:szCs w:val="24"/>
          <w:lang w:eastAsia="en-US" w:bidi="he-IL"/>
        </w:rPr>
        <w:t xml:space="preserve"> įteikimo</w:t>
      </w:r>
      <w:r w:rsidR="00D26788" w:rsidRPr="00D26788">
        <w:rPr>
          <w:rFonts w:eastAsia="Calibri"/>
          <w:szCs w:val="24"/>
          <w:lang w:eastAsia="en-US" w:bidi="he-IL"/>
        </w:rPr>
        <w:t xml:space="preserve"> renginys Kauno „Žalgirio“ arenoje</w:t>
      </w:r>
      <w:r>
        <w:rPr>
          <w:rFonts w:eastAsia="Calibri"/>
          <w:szCs w:val="24"/>
          <w:lang w:eastAsia="en-US" w:bidi="he-IL"/>
        </w:rPr>
        <w:t>;</w:t>
      </w:r>
      <w:r w:rsidR="00E173C6">
        <w:rPr>
          <w:rFonts w:eastAsia="Calibri"/>
          <w:szCs w:val="24"/>
          <w:lang w:eastAsia="en-US" w:bidi="he-IL"/>
        </w:rPr>
        <w:t xml:space="preserve"> </w:t>
      </w:r>
    </w:p>
    <w:p w14:paraId="6E38877F" w14:textId="78E8F771"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spalio </w:t>
      </w:r>
      <w:r>
        <w:rPr>
          <w:rFonts w:eastAsia="Calibri"/>
          <w:szCs w:val="24"/>
          <w:lang w:eastAsia="en-US" w:bidi="he-IL"/>
        </w:rPr>
        <w:t>23</w:t>
      </w:r>
      <w:r w:rsidRPr="00D22268">
        <w:rPr>
          <w:rFonts w:eastAsia="Calibri"/>
          <w:szCs w:val="24"/>
          <w:lang w:eastAsia="en-US" w:bidi="he-IL"/>
        </w:rPr>
        <w:t xml:space="preserve"> d.</w:t>
      </w:r>
      <w:r w:rsidR="00E173C6">
        <w:rPr>
          <w:rFonts w:eastAsia="Calibri"/>
          <w:szCs w:val="24"/>
          <w:lang w:eastAsia="en-US" w:bidi="he-IL"/>
        </w:rPr>
        <w:t xml:space="preserve"> </w:t>
      </w:r>
      <w:r w:rsidR="00D26788" w:rsidRPr="00D26788">
        <w:rPr>
          <w:rFonts w:eastAsia="Calibri"/>
          <w:szCs w:val="24"/>
          <w:lang w:eastAsia="en-US" w:bidi="he-IL"/>
        </w:rPr>
        <w:t>Kauno Maironio gimnazijos sporto salės atidarymo renginys</w:t>
      </w:r>
      <w:r>
        <w:rPr>
          <w:rFonts w:eastAsia="Calibri"/>
          <w:szCs w:val="24"/>
          <w:lang w:eastAsia="en-US" w:bidi="he-IL"/>
        </w:rPr>
        <w:t>;</w:t>
      </w:r>
      <w:r w:rsidR="00E173C6">
        <w:rPr>
          <w:rFonts w:eastAsia="Calibri"/>
          <w:szCs w:val="24"/>
          <w:lang w:eastAsia="en-US" w:bidi="he-IL"/>
        </w:rPr>
        <w:t xml:space="preserve"> </w:t>
      </w:r>
    </w:p>
    <w:p w14:paraId="09B2FCB7" w14:textId="5EB81170"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2025 m. spalio</w:t>
      </w:r>
      <w:r>
        <w:rPr>
          <w:rFonts w:eastAsia="Calibri"/>
          <w:szCs w:val="24"/>
          <w:lang w:eastAsia="en-US" w:bidi="he-IL"/>
        </w:rPr>
        <w:t xml:space="preserve"> 2</w:t>
      </w:r>
      <w:r w:rsidRPr="00D22268">
        <w:rPr>
          <w:rFonts w:eastAsia="Calibri"/>
          <w:szCs w:val="24"/>
          <w:lang w:eastAsia="en-US" w:bidi="he-IL"/>
        </w:rPr>
        <w:t>7</w:t>
      </w:r>
      <w:r>
        <w:rPr>
          <w:rFonts w:eastAsia="Calibri"/>
          <w:szCs w:val="24"/>
          <w:lang w:eastAsia="en-US" w:bidi="he-IL"/>
        </w:rPr>
        <w:t xml:space="preserve"> </w:t>
      </w:r>
      <w:r w:rsidRPr="00D22268">
        <w:rPr>
          <w:rFonts w:eastAsia="Calibri"/>
          <w:szCs w:val="24"/>
          <w:lang w:eastAsia="en-US" w:bidi="he-IL"/>
        </w:rPr>
        <w:t>d.</w:t>
      </w:r>
      <w:r w:rsidR="00E173C6">
        <w:rPr>
          <w:rFonts w:eastAsia="Calibri"/>
          <w:szCs w:val="24"/>
          <w:lang w:eastAsia="en-US" w:bidi="he-IL"/>
        </w:rPr>
        <w:t xml:space="preserve"> </w:t>
      </w:r>
      <w:r w:rsidR="00D26788" w:rsidRPr="00D26788">
        <w:rPr>
          <w:rFonts w:eastAsia="Calibri"/>
          <w:szCs w:val="24"/>
          <w:lang w:eastAsia="en-US" w:bidi="he-IL"/>
        </w:rPr>
        <w:t>1956</w:t>
      </w:r>
      <w:r w:rsidR="005975AF">
        <w:rPr>
          <w:rFonts w:eastAsia="Calibri"/>
          <w:szCs w:val="24"/>
          <w:lang w:eastAsia="en-US" w:bidi="he-IL"/>
        </w:rPr>
        <w:t xml:space="preserve"> m. </w:t>
      </w:r>
      <w:r w:rsidR="00D26788" w:rsidRPr="00D26788">
        <w:rPr>
          <w:rFonts w:eastAsia="Calibri"/>
          <w:szCs w:val="24"/>
          <w:lang w:eastAsia="en-US" w:bidi="he-IL"/>
        </w:rPr>
        <w:t>Vengrijos revoliucijos metinių ir Kauno vienybės demonstracijos minėjimo renginio organizavimas</w:t>
      </w:r>
      <w:r>
        <w:rPr>
          <w:rFonts w:eastAsia="Calibri"/>
          <w:szCs w:val="24"/>
          <w:lang w:eastAsia="en-US" w:bidi="he-IL"/>
        </w:rPr>
        <w:t>;</w:t>
      </w:r>
      <w:r w:rsidR="00E173C6">
        <w:rPr>
          <w:rFonts w:eastAsia="Calibri"/>
          <w:szCs w:val="24"/>
          <w:lang w:eastAsia="en-US" w:bidi="he-IL"/>
        </w:rPr>
        <w:t xml:space="preserve"> </w:t>
      </w:r>
    </w:p>
    <w:p w14:paraId="3295A969" w14:textId="36072930"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2025 m. spalio</w:t>
      </w:r>
      <w:r>
        <w:rPr>
          <w:rFonts w:eastAsia="Calibri"/>
          <w:szCs w:val="24"/>
          <w:lang w:eastAsia="en-US" w:bidi="he-IL"/>
        </w:rPr>
        <w:t xml:space="preserve"> 2</w:t>
      </w:r>
      <w:r w:rsidRPr="00D22268">
        <w:rPr>
          <w:rFonts w:eastAsia="Calibri"/>
          <w:szCs w:val="24"/>
          <w:lang w:eastAsia="en-US" w:bidi="he-IL"/>
        </w:rPr>
        <w:t>7</w:t>
      </w:r>
      <w:r>
        <w:rPr>
          <w:rFonts w:eastAsia="Calibri"/>
          <w:szCs w:val="24"/>
          <w:lang w:eastAsia="en-US" w:bidi="he-IL"/>
        </w:rPr>
        <w:t xml:space="preserve"> </w:t>
      </w:r>
      <w:r w:rsidRPr="00D22268">
        <w:rPr>
          <w:rFonts w:eastAsia="Calibri"/>
          <w:szCs w:val="24"/>
          <w:lang w:eastAsia="en-US" w:bidi="he-IL"/>
        </w:rPr>
        <w:t>d.</w:t>
      </w:r>
      <w:r w:rsidR="00E173C6">
        <w:rPr>
          <w:rFonts w:eastAsia="Calibri"/>
          <w:szCs w:val="24"/>
          <w:lang w:eastAsia="en-US" w:bidi="he-IL"/>
        </w:rPr>
        <w:t xml:space="preserve"> </w:t>
      </w:r>
      <w:r w:rsidR="00D26788" w:rsidRPr="00D26788">
        <w:rPr>
          <w:rFonts w:eastAsia="Calibri"/>
          <w:szCs w:val="24"/>
          <w:lang w:eastAsia="en-US" w:bidi="he-IL"/>
        </w:rPr>
        <w:t>Sugiharos fondo Japonijoje vadovės</w:t>
      </w:r>
      <w:r w:rsidR="00534F9C">
        <w:rPr>
          <w:rFonts w:eastAsia="Calibri"/>
          <w:szCs w:val="24"/>
          <w:lang w:eastAsia="en-US" w:bidi="he-IL"/>
        </w:rPr>
        <w:t xml:space="preserve"> </w:t>
      </w:r>
      <w:r w:rsidR="00D26788" w:rsidRPr="00D26788">
        <w:rPr>
          <w:rFonts w:eastAsia="Calibri"/>
          <w:szCs w:val="24"/>
          <w:lang w:eastAsia="en-US" w:bidi="he-IL"/>
        </w:rPr>
        <w:t>Madoka</w:t>
      </w:r>
      <w:r w:rsidR="005975AF">
        <w:rPr>
          <w:rFonts w:eastAsia="Calibri"/>
          <w:szCs w:val="24"/>
          <w:lang w:eastAsia="en-US" w:bidi="he-IL"/>
        </w:rPr>
        <w:t>’os</w:t>
      </w:r>
      <w:r w:rsidR="00D26788" w:rsidRPr="00D26788">
        <w:rPr>
          <w:rFonts w:eastAsia="Calibri"/>
          <w:szCs w:val="24"/>
          <w:lang w:eastAsia="en-US" w:bidi="he-IL"/>
        </w:rPr>
        <w:t xml:space="preserve"> Sugihara</w:t>
      </w:r>
      <w:r w:rsidR="005975AF">
        <w:rPr>
          <w:rFonts w:eastAsia="Calibri"/>
          <w:szCs w:val="24"/>
          <w:lang w:eastAsia="en-US" w:bidi="he-IL"/>
        </w:rPr>
        <w:t>’os</w:t>
      </w:r>
      <w:r w:rsidR="00D26788" w:rsidRPr="00D26788">
        <w:rPr>
          <w:rFonts w:eastAsia="Calibri"/>
          <w:szCs w:val="24"/>
          <w:lang w:eastAsia="en-US" w:bidi="he-IL"/>
        </w:rPr>
        <w:t xml:space="preserve"> ir pavaduotojo Masami</w:t>
      </w:r>
      <w:r w:rsidR="005975AF">
        <w:rPr>
          <w:rFonts w:eastAsia="Calibri"/>
          <w:szCs w:val="24"/>
          <w:lang w:eastAsia="en-US" w:bidi="he-IL"/>
        </w:rPr>
        <w:t>’o</w:t>
      </w:r>
      <w:r w:rsidR="00D26788" w:rsidRPr="00D26788">
        <w:rPr>
          <w:rFonts w:eastAsia="Calibri"/>
          <w:szCs w:val="24"/>
          <w:lang w:eastAsia="en-US" w:bidi="he-IL"/>
        </w:rPr>
        <w:t xml:space="preserve"> Yasujima</w:t>
      </w:r>
      <w:r w:rsidR="005975AF">
        <w:rPr>
          <w:rFonts w:eastAsia="Calibri"/>
          <w:szCs w:val="24"/>
          <w:lang w:eastAsia="en-US" w:bidi="he-IL"/>
        </w:rPr>
        <w:t>’os</w:t>
      </w:r>
      <w:r w:rsidR="00D26788" w:rsidRPr="00D26788">
        <w:rPr>
          <w:rFonts w:eastAsia="Calibri"/>
          <w:szCs w:val="24"/>
          <w:lang w:eastAsia="en-US" w:bidi="he-IL"/>
        </w:rPr>
        <w:t xml:space="preserve"> priėmimo organizavimas</w:t>
      </w:r>
      <w:r>
        <w:rPr>
          <w:rFonts w:eastAsia="Calibri"/>
          <w:szCs w:val="24"/>
          <w:lang w:eastAsia="en-US" w:bidi="he-IL"/>
        </w:rPr>
        <w:t>;</w:t>
      </w:r>
      <w:r w:rsidR="00E173C6">
        <w:rPr>
          <w:rFonts w:eastAsia="Calibri"/>
          <w:szCs w:val="24"/>
          <w:lang w:eastAsia="en-US" w:bidi="he-IL"/>
        </w:rPr>
        <w:t xml:space="preserve"> </w:t>
      </w:r>
    </w:p>
    <w:p w14:paraId="3290EC13" w14:textId="6B0433D5"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w:t>
      </w:r>
      <w:r>
        <w:rPr>
          <w:rFonts w:eastAsia="Calibri"/>
          <w:szCs w:val="24"/>
          <w:lang w:eastAsia="en-US" w:bidi="he-IL"/>
        </w:rPr>
        <w:t xml:space="preserve">lapkričio 4 </w:t>
      </w:r>
      <w:r w:rsidRPr="00D22268">
        <w:rPr>
          <w:rFonts w:eastAsia="Calibri"/>
          <w:szCs w:val="24"/>
          <w:lang w:eastAsia="en-US" w:bidi="he-IL"/>
        </w:rPr>
        <w:t>d.</w:t>
      </w:r>
      <w:r w:rsidR="00E173C6">
        <w:rPr>
          <w:rFonts w:eastAsia="Calibri"/>
          <w:szCs w:val="24"/>
          <w:lang w:eastAsia="en-US" w:bidi="he-IL"/>
        </w:rPr>
        <w:t xml:space="preserve"> </w:t>
      </w:r>
      <w:r w:rsidR="00D26788" w:rsidRPr="00D26788">
        <w:rPr>
          <w:rFonts w:eastAsia="Calibri"/>
          <w:szCs w:val="24"/>
          <w:lang w:eastAsia="en-US" w:bidi="he-IL"/>
        </w:rPr>
        <w:t xml:space="preserve">Tarptautinio skulptūros simpoziumo darbų pristatymo ir ekspozicijos atidarymo Kauno </w:t>
      </w:r>
      <w:r w:rsidR="00E173C6">
        <w:rPr>
          <w:rFonts w:eastAsia="Calibri"/>
          <w:szCs w:val="24"/>
          <w:lang w:eastAsia="en-US" w:bidi="he-IL"/>
        </w:rPr>
        <w:t>m</w:t>
      </w:r>
      <w:r w:rsidR="00D26788" w:rsidRPr="00D26788">
        <w:rPr>
          <w:rFonts w:eastAsia="Calibri"/>
          <w:szCs w:val="24"/>
          <w:lang w:eastAsia="en-US" w:bidi="he-IL"/>
        </w:rPr>
        <w:t>ažajame ąžuolyne</w:t>
      </w:r>
      <w:r w:rsidR="005975AF" w:rsidRPr="005975AF">
        <w:rPr>
          <w:rFonts w:eastAsia="Calibri"/>
          <w:szCs w:val="24"/>
          <w:lang w:eastAsia="en-US" w:bidi="he-IL"/>
        </w:rPr>
        <w:t xml:space="preserve"> </w:t>
      </w:r>
      <w:r w:rsidR="005975AF" w:rsidRPr="00D26788">
        <w:rPr>
          <w:rFonts w:eastAsia="Calibri"/>
          <w:szCs w:val="24"/>
          <w:lang w:eastAsia="en-US" w:bidi="he-IL"/>
        </w:rPr>
        <w:t>renginys</w:t>
      </w:r>
      <w:r>
        <w:rPr>
          <w:rFonts w:eastAsia="Calibri"/>
          <w:szCs w:val="24"/>
          <w:lang w:eastAsia="en-US" w:bidi="he-IL"/>
        </w:rPr>
        <w:t>;</w:t>
      </w:r>
      <w:r w:rsidR="00E173C6">
        <w:rPr>
          <w:rFonts w:eastAsia="Calibri"/>
          <w:szCs w:val="24"/>
          <w:lang w:eastAsia="en-US" w:bidi="he-IL"/>
        </w:rPr>
        <w:t xml:space="preserve"> </w:t>
      </w:r>
    </w:p>
    <w:p w14:paraId="7CBD60F4" w14:textId="7BDB5BA0"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w:t>
      </w:r>
      <w:r>
        <w:rPr>
          <w:rFonts w:eastAsia="Calibri"/>
          <w:szCs w:val="24"/>
          <w:lang w:eastAsia="en-US" w:bidi="he-IL"/>
        </w:rPr>
        <w:t xml:space="preserve">lapkričio 6 </w:t>
      </w:r>
      <w:r w:rsidRPr="00D22268">
        <w:rPr>
          <w:rFonts w:eastAsia="Calibri"/>
          <w:szCs w:val="24"/>
          <w:lang w:eastAsia="en-US" w:bidi="he-IL"/>
        </w:rPr>
        <w:t>d.</w:t>
      </w:r>
      <w:r w:rsidR="00E173C6">
        <w:rPr>
          <w:rFonts w:eastAsia="Calibri"/>
          <w:szCs w:val="24"/>
          <w:lang w:eastAsia="en-US" w:bidi="he-IL"/>
        </w:rPr>
        <w:t xml:space="preserve"> </w:t>
      </w:r>
      <w:r w:rsidR="00D26788" w:rsidRPr="00D26788">
        <w:rPr>
          <w:rFonts w:eastAsia="Calibri"/>
          <w:szCs w:val="24"/>
          <w:lang w:eastAsia="en-US" w:bidi="he-IL"/>
        </w:rPr>
        <w:t>Kauno istoriją įamžinančių bareljefų atidengimo Karo muziejaus sodelyje</w:t>
      </w:r>
      <w:r w:rsidR="005975AF" w:rsidRPr="005975AF">
        <w:rPr>
          <w:rFonts w:eastAsia="Calibri"/>
          <w:szCs w:val="24"/>
          <w:lang w:eastAsia="en-US" w:bidi="he-IL"/>
        </w:rPr>
        <w:t xml:space="preserve"> </w:t>
      </w:r>
      <w:r w:rsidR="005975AF" w:rsidRPr="00D26788">
        <w:rPr>
          <w:rFonts w:eastAsia="Calibri"/>
          <w:szCs w:val="24"/>
          <w:lang w:eastAsia="en-US" w:bidi="he-IL"/>
        </w:rPr>
        <w:t>ceremonija</w:t>
      </w:r>
      <w:r>
        <w:rPr>
          <w:rFonts w:eastAsia="Calibri"/>
          <w:szCs w:val="24"/>
          <w:lang w:eastAsia="en-US" w:bidi="he-IL"/>
        </w:rPr>
        <w:t>;</w:t>
      </w:r>
      <w:r w:rsidR="00E173C6">
        <w:rPr>
          <w:rFonts w:eastAsia="Calibri"/>
          <w:szCs w:val="24"/>
          <w:lang w:eastAsia="en-US" w:bidi="he-IL"/>
        </w:rPr>
        <w:t xml:space="preserve"> </w:t>
      </w:r>
    </w:p>
    <w:p w14:paraId="083D587F" w14:textId="55515D94"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w:t>
      </w:r>
      <w:r>
        <w:rPr>
          <w:rFonts w:eastAsia="Calibri"/>
          <w:szCs w:val="24"/>
          <w:lang w:eastAsia="en-US" w:bidi="he-IL"/>
        </w:rPr>
        <w:t xml:space="preserve">lapkričio 6 </w:t>
      </w:r>
      <w:r w:rsidRPr="00D22268">
        <w:rPr>
          <w:rFonts w:eastAsia="Calibri"/>
          <w:szCs w:val="24"/>
          <w:lang w:eastAsia="en-US" w:bidi="he-IL"/>
        </w:rPr>
        <w:t>d.</w:t>
      </w:r>
      <w:r w:rsidR="00E173C6">
        <w:rPr>
          <w:rFonts w:eastAsia="Calibri"/>
          <w:szCs w:val="24"/>
          <w:lang w:eastAsia="en-US" w:bidi="he-IL"/>
        </w:rPr>
        <w:t xml:space="preserve"> </w:t>
      </w:r>
      <w:r w:rsidR="00D26788" w:rsidRPr="00D26788">
        <w:rPr>
          <w:rFonts w:eastAsia="Calibri"/>
          <w:szCs w:val="24"/>
          <w:lang w:eastAsia="en-US" w:bidi="he-IL"/>
        </w:rPr>
        <w:t>Gifu prefektūros (Japonija) darbuotojų vizito Kaune organizavimas</w:t>
      </w:r>
      <w:r>
        <w:rPr>
          <w:rFonts w:eastAsia="Calibri"/>
          <w:szCs w:val="24"/>
          <w:lang w:eastAsia="en-US" w:bidi="he-IL"/>
        </w:rPr>
        <w:t>;</w:t>
      </w:r>
      <w:r w:rsidR="00E173C6">
        <w:rPr>
          <w:rFonts w:eastAsia="Calibri"/>
          <w:szCs w:val="24"/>
          <w:lang w:eastAsia="en-US" w:bidi="he-IL"/>
        </w:rPr>
        <w:t xml:space="preserve"> </w:t>
      </w:r>
    </w:p>
    <w:p w14:paraId="3478AA53" w14:textId="707336DD"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w:t>
      </w:r>
      <w:r>
        <w:rPr>
          <w:rFonts w:eastAsia="Calibri"/>
          <w:szCs w:val="24"/>
          <w:lang w:eastAsia="en-US" w:bidi="he-IL"/>
        </w:rPr>
        <w:t xml:space="preserve">lapkričio 17-21 </w:t>
      </w:r>
      <w:r w:rsidRPr="00D22268">
        <w:rPr>
          <w:rFonts w:eastAsia="Calibri"/>
          <w:szCs w:val="24"/>
          <w:lang w:eastAsia="en-US" w:bidi="he-IL"/>
        </w:rPr>
        <w:t>d.</w:t>
      </w:r>
      <w:r w:rsidR="00E173C6">
        <w:rPr>
          <w:rFonts w:eastAsia="Calibri"/>
          <w:szCs w:val="24"/>
          <w:lang w:eastAsia="en-US" w:bidi="he-IL"/>
        </w:rPr>
        <w:t xml:space="preserve"> </w:t>
      </w:r>
      <w:r w:rsidR="00D26788" w:rsidRPr="00D26788">
        <w:rPr>
          <w:rFonts w:eastAsia="Calibri"/>
          <w:szCs w:val="24"/>
          <w:lang w:eastAsia="en-US" w:bidi="he-IL"/>
        </w:rPr>
        <w:t>Grenoblio (Prancūzija) švietimo delegacijos vizitas Kaune</w:t>
      </w:r>
      <w:r>
        <w:rPr>
          <w:rFonts w:eastAsia="Calibri"/>
          <w:szCs w:val="24"/>
          <w:lang w:eastAsia="en-US" w:bidi="he-IL"/>
        </w:rPr>
        <w:t>;</w:t>
      </w:r>
      <w:r w:rsidR="00E173C6">
        <w:rPr>
          <w:rFonts w:eastAsia="Calibri"/>
          <w:szCs w:val="24"/>
          <w:lang w:eastAsia="en-US" w:bidi="he-IL"/>
        </w:rPr>
        <w:t xml:space="preserve"> </w:t>
      </w:r>
    </w:p>
    <w:p w14:paraId="142AEFBF" w14:textId="1AB8B691"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w:t>
      </w:r>
      <w:r>
        <w:rPr>
          <w:rFonts w:eastAsia="Calibri"/>
          <w:szCs w:val="24"/>
          <w:lang w:eastAsia="en-US" w:bidi="he-IL"/>
        </w:rPr>
        <w:t xml:space="preserve">lapkričio 25 </w:t>
      </w:r>
      <w:r w:rsidRPr="00D22268">
        <w:rPr>
          <w:rFonts w:eastAsia="Calibri"/>
          <w:szCs w:val="24"/>
          <w:lang w:eastAsia="en-US" w:bidi="he-IL"/>
        </w:rPr>
        <w:t>d.</w:t>
      </w:r>
      <w:r w:rsidR="00E173C6">
        <w:rPr>
          <w:rFonts w:eastAsia="Calibri"/>
          <w:szCs w:val="24"/>
          <w:lang w:eastAsia="en-US" w:bidi="he-IL"/>
        </w:rPr>
        <w:t xml:space="preserve"> </w:t>
      </w:r>
      <w:r w:rsidRPr="002815D3">
        <w:rPr>
          <w:rFonts w:eastAsia="Calibri"/>
          <w:szCs w:val="24"/>
          <w:lang w:eastAsia="en-US" w:bidi="he-IL"/>
        </w:rPr>
        <w:t>k</w:t>
      </w:r>
      <w:r w:rsidR="00D26788" w:rsidRPr="00D26788">
        <w:rPr>
          <w:rFonts w:eastAsia="Calibri"/>
          <w:szCs w:val="24"/>
          <w:lang w:eastAsia="en-US" w:bidi="he-IL"/>
        </w:rPr>
        <w:t>lubo „Havlova kavarna</w:t>
      </w:r>
      <w:r w:rsidR="00D26788" w:rsidRPr="00D26788">
        <w:rPr>
          <w:rFonts w:eastAsia="Calibri"/>
          <w:b/>
          <w:szCs w:val="24"/>
          <w:lang w:eastAsia="en-US" w:bidi="he-IL"/>
        </w:rPr>
        <w:t>“</w:t>
      </w:r>
      <w:r w:rsidR="00D26788" w:rsidRPr="00D26788">
        <w:rPr>
          <w:rFonts w:eastAsia="Calibri"/>
          <w:szCs w:val="24"/>
          <w:lang w:eastAsia="en-US" w:bidi="he-IL"/>
        </w:rPr>
        <w:t xml:space="preserve"> steigimo ceremonija Prezidento Valdo Adamkaus bibliotekoje-muziejuje</w:t>
      </w:r>
      <w:r>
        <w:rPr>
          <w:rFonts w:eastAsia="Calibri"/>
          <w:szCs w:val="24"/>
          <w:lang w:eastAsia="en-US" w:bidi="he-IL"/>
        </w:rPr>
        <w:t>;</w:t>
      </w:r>
      <w:r w:rsidR="00E173C6">
        <w:rPr>
          <w:rFonts w:eastAsia="Calibri"/>
          <w:szCs w:val="24"/>
          <w:lang w:eastAsia="en-US" w:bidi="he-IL"/>
        </w:rPr>
        <w:t xml:space="preserve"> </w:t>
      </w:r>
    </w:p>
    <w:p w14:paraId="4E3C31B3" w14:textId="2C5BC000" w:rsidR="00D26788" w:rsidRPr="00D26788" w:rsidRDefault="00D22268" w:rsidP="00D22268">
      <w:pPr>
        <w:spacing w:line="360" w:lineRule="auto"/>
        <w:ind w:firstLine="1298"/>
        <w:jc w:val="both"/>
        <w:rPr>
          <w:szCs w:val="24"/>
          <w:lang w:eastAsia="en-US" w:bidi="he-IL"/>
        </w:rPr>
      </w:pPr>
      <w:r w:rsidRPr="00D22268">
        <w:rPr>
          <w:rFonts w:eastAsia="Calibri"/>
          <w:szCs w:val="24"/>
          <w:lang w:eastAsia="en-US" w:bidi="he-IL"/>
        </w:rPr>
        <w:t xml:space="preserve">2025 m. </w:t>
      </w:r>
      <w:r>
        <w:rPr>
          <w:rFonts w:eastAsia="Calibri"/>
          <w:szCs w:val="24"/>
          <w:lang w:eastAsia="en-US" w:bidi="he-IL"/>
        </w:rPr>
        <w:t xml:space="preserve">gruodžio 9 </w:t>
      </w:r>
      <w:r w:rsidRPr="00D22268">
        <w:rPr>
          <w:rFonts w:eastAsia="Calibri"/>
          <w:szCs w:val="24"/>
          <w:lang w:eastAsia="en-US" w:bidi="he-IL"/>
        </w:rPr>
        <w:t>d.</w:t>
      </w:r>
      <w:r w:rsidR="00E173C6">
        <w:rPr>
          <w:rFonts w:eastAsia="Calibri"/>
          <w:szCs w:val="24"/>
          <w:lang w:eastAsia="en-US" w:bidi="he-IL"/>
        </w:rPr>
        <w:t xml:space="preserve"> Savivaldybės </w:t>
      </w:r>
      <w:r w:rsidR="00D26788" w:rsidRPr="00D26788">
        <w:rPr>
          <w:rFonts w:eastAsia="Calibri"/>
          <w:szCs w:val="24"/>
          <w:lang w:eastAsia="en-US" w:bidi="he-IL"/>
        </w:rPr>
        <w:t>mero susitikimas su Estijos nepaprastąja ir įgaliotąja ambasadore</w:t>
      </w:r>
      <w:r w:rsidR="00534F9C">
        <w:rPr>
          <w:rFonts w:eastAsia="Calibri"/>
          <w:szCs w:val="24"/>
          <w:lang w:eastAsia="en-US" w:bidi="he-IL"/>
        </w:rPr>
        <w:t xml:space="preserve"> </w:t>
      </w:r>
      <w:r w:rsidR="00D26788" w:rsidRPr="00D26788">
        <w:rPr>
          <w:rFonts w:eastAsia="Calibri"/>
          <w:szCs w:val="24"/>
          <w:lang w:eastAsia="en-US" w:bidi="he-IL"/>
        </w:rPr>
        <w:t>Kaili Terras</w:t>
      </w:r>
      <w:r w:rsidR="00C627D4">
        <w:rPr>
          <w:rFonts w:eastAsia="Calibri"/>
          <w:szCs w:val="24"/>
          <w:lang w:eastAsia="en-US" w:bidi="he-IL"/>
        </w:rPr>
        <w:t>;</w:t>
      </w:r>
      <w:r w:rsidR="00E173C6">
        <w:rPr>
          <w:rFonts w:eastAsia="Calibri"/>
          <w:szCs w:val="24"/>
          <w:lang w:eastAsia="en-US" w:bidi="he-IL"/>
        </w:rPr>
        <w:t xml:space="preserve"> </w:t>
      </w:r>
    </w:p>
    <w:p w14:paraId="764B8C85" w14:textId="59F6B63C" w:rsidR="00D26788" w:rsidRPr="00D26788" w:rsidRDefault="00C627D4" w:rsidP="00C627D4">
      <w:pPr>
        <w:spacing w:line="360" w:lineRule="auto"/>
        <w:ind w:firstLine="1298"/>
        <w:jc w:val="both"/>
        <w:rPr>
          <w:szCs w:val="24"/>
          <w:lang w:eastAsia="en-US" w:bidi="he-IL"/>
        </w:rPr>
      </w:pPr>
      <w:r w:rsidRPr="00D22268">
        <w:rPr>
          <w:rFonts w:eastAsia="Calibri"/>
          <w:szCs w:val="24"/>
          <w:lang w:eastAsia="en-US" w:bidi="he-IL"/>
        </w:rPr>
        <w:lastRenderedPageBreak/>
        <w:t xml:space="preserve">2025 m. </w:t>
      </w:r>
      <w:r>
        <w:rPr>
          <w:rFonts w:eastAsia="Calibri"/>
          <w:szCs w:val="24"/>
          <w:lang w:eastAsia="en-US" w:bidi="he-IL"/>
        </w:rPr>
        <w:t xml:space="preserve">gruodžio 18 </w:t>
      </w:r>
      <w:r w:rsidRPr="00D22268">
        <w:rPr>
          <w:rFonts w:eastAsia="Calibri"/>
          <w:szCs w:val="24"/>
          <w:lang w:eastAsia="en-US" w:bidi="he-IL"/>
        </w:rPr>
        <w:t>d.</w:t>
      </w:r>
      <w:r w:rsidR="00E173C6">
        <w:rPr>
          <w:rFonts w:eastAsia="Calibri"/>
          <w:szCs w:val="24"/>
          <w:lang w:eastAsia="en-US" w:bidi="he-IL"/>
        </w:rPr>
        <w:t xml:space="preserve"> </w:t>
      </w:r>
      <w:r w:rsidR="00D26788" w:rsidRPr="00D26788">
        <w:rPr>
          <w:rFonts w:eastAsia="Calibri"/>
          <w:szCs w:val="24"/>
          <w:lang w:eastAsia="en-US" w:bidi="he-IL"/>
        </w:rPr>
        <w:t>Petro Vileišio skulptūros pristatymo visuomenei renginys.</w:t>
      </w:r>
      <w:r w:rsidR="00E173C6">
        <w:rPr>
          <w:rFonts w:eastAsia="Calibri"/>
          <w:szCs w:val="24"/>
          <w:lang w:eastAsia="en-US" w:bidi="he-IL"/>
        </w:rPr>
        <w:t xml:space="preserve"> </w:t>
      </w:r>
    </w:p>
    <w:p w14:paraId="4B5ACB1E" w14:textId="4BAFDAFF"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Papildomai</w:t>
      </w:r>
      <w:r w:rsidR="00E173C6">
        <w:rPr>
          <w:rFonts w:eastAsia="Calibri"/>
          <w:szCs w:val="24"/>
          <w:lang w:eastAsia="en-US" w:bidi="he-IL"/>
        </w:rPr>
        <w:t xml:space="preserve"> </w:t>
      </w:r>
      <w:r w:rsidRPr="00D26788">
        <w:rPr>
          <w:rFonts w:eastAsia="Calibri"/>
          <w:szCs w:val="24"/>
          <w:lang w:eastAsia="en-US" w:bidi="he-IL"/>
        </w:rPr>
        <w:t xml:space="preserve">miestą reprezentuojančių veiksmų </w:t>
      </w:r>
      <w:r w:rsidR="00C627D4">
        <w:rPr>
          <w:rFonts w:eastAsia="Calibri"/>
          <w:szCs w:val="24"/>
          <w:lang w:eastAsia="en-US" w:bidi="he-IL"/>
        </w:rPr>
        <w:t>gama</w:t>
      </w:r>
      <w:r w:rsidRPr="00D26788">
        <w:rPr>
          <w:rFonts w:eastAsia="Calibri"/>
          <w:szCs w:val="24"/>
          <w:lang w:eastAsia="en-US" w:bidi="he-IL"/>
        </w:rPr>
        <w:t xml:space="preserve"> 2025 metais apėmė ir kryptingas rinkodaros, turizmo </w:t>
      </w:r>
      <w:r w:rsidR="00E173C6">
        <w:rPr>
          <w:rFonts w:eastAsia="Calibri"/>
          <w:szCs w:val="24"/>
          <w:lang w:eastAsia="en-US" w:bidi="he-IL"/>
        </w:rPr>
        <w:t xml:space="preserve">ir </w:t>
      </w:r>
      <w:r w:rsidRPr="00D26788">
        <w:rPr>
          <w:rFonts w:eastAsia="Calibri"/>
          <w:szCs w:val="24"/>
          <w:lang w:eastAsia="en-US" w:bidi="he-IL"/>
        </w:rPr>
        <w:t>investicijų pristatymo priemones, kurios stiprino Kauno matomumą tikslinėse Lietuvos ir užsienio rinkose, prisidėjo prie konferencinio turizmo, studijų miesto ir investicijoms atviro miesto įvaizdžio formavimo.</w:t>
      </w:r>
      <w:r w:rsidR="00E173C6">
        <w:rPr>
          <w:rFonts w:eastAsia="Calibri"/>
          <w:szCs w:val="24"/>
          <w:lang w:eastAsia="en-US" w:bidi="he-IL"/>
        </w:rPr>
        <w:t xml:space="preserve"> </w:t>
      </w:r>
    </w:p>
    <w:p w14:paraId="2A49F338" w14:textId="36DAC1D7" w:rsidR="00D26788" w:rsidRDefault="00D26788" w:rsidP="00D26788">
      <w:pPr>
        <w:spacing w:line="360" w:lineRule="auto"/>
        <w:ind w:firstLine="1298"/>
        <w:jc w:val="both"/>
        <w:rPr>
          <w:rFonts w:eastAsia="Calibri"/>
          <w:szCs w:val="24"/>
          <w:lang w:eastAsia="en-US" w:bidi="he-IL"/>
        </w:rPr>
      </w:pPr>
      <w:r w:rsidRPr="00D26788">
        <w:rPr>
          <w:rFonts w:eastAsia="Calibri"/>
          <w:szCs w:val="24"/>
          <w:lang w:eastAsia="en-US" w:bidi="he-IL"/>
        </w:rPr>
        <w:t xml:space="preserve">2025 metais Kauno miesto savivaldybė nuosekliai stiprino bendradarbiavimą ir atstovavimą per tarptautines partnerystes, ambasadorių ir delegacijų priėmimą, miestų partnerių ryšių plėtrą, tarptautinių renginių organizavimą, dalyvavimą tarptautinėse organizacijose, švietimo ir kultūros mainus, taip pat per solidarumo veiklas Ukrainos atžvilgiu. </w:t>
      </w:r>
      <w:r w:rsidR="00C627D4">
        <w:rPr>
          <w:rFonts w:eastAsia="Calibri"/>
          <w:szCs w:val="24"/>
          <w:lang w:eastAsia="en-US" w:bidi="he-IL"/>
        </w:rPr>
        <w:t>Įgyvendintos</w:t>
      </w:r>
      <w:r w:rsidRPr="00D26788">
        <w:rPr>
          <w:rFonts w:eastAsia="Calibri"/>
          <w:szCs w:val="24"/>
          <w:lang w:eastAsia="en-US" w:bidi="he-IL"/>
        </w:rPr>
        <w:t xml:space="preserve"> veiklos rodo, kad Kaunas toliau nuosekliai stiprino savo tarptautinę poziciją, plėtojo miestui naudingus ryšius įvairiose srityse ir formavo atviro, patikimo bei aktyviai bendradarbiaujančio Europos miesto identitetą.</w:t>
      </w:r>
      <w:r w:rsidR="00E173C6">
        <w:rPr>
          <w:rFonts w:eastAsia="Calibri"/>
          <w:szCs w:val="24"/>
          <w:lang w:eastAsia="en-US" w:bidi="he-IL"/>
        </w:rPr>
        <w:t xml:space="preserve"> </w:t>
      </w:r>
    </w:p>
    <w:p w14:paraId="18CA668D" w14:textId="77777777" w:rsidR="00C11BF7" w:rsidRPr="00D26788" w:rsidRDefault="00C11BF7" w:rsidP="00E173C6">
      <w:pPr>
        <w:spacing w:line="360" w:lineRule="auto"/>
        <w:jc w:val="both"/>
        <w:rPr>
          <w:szCs w:val="24"/>
          <w:lang w:eastAsia="en-US" w:bidi="he-IL"/>
        </w:rPr>
      </w:pPr>
    </w:p>
    <w:p w14:paraId="2DC783AD" w14:textId="3932CDC3" w:rsidR="00D26788" w:rsidRPr="00E173C6" w:rsidRDefault="00D26788" w:rsidP="0059460C">
      <w:pPr>
        <w:spacing w:line="276" w:lineRule="auto"/>
        <w:jc w:val="center"/>
        <w:rPr>
          <w:b/>
          <w:szCs w:val="24"/>
          <w:lang w:eastAsia="en-US" w:bidi="he-IL"/>
        </w:rPr>
      </w:pPr>
      <w:r w:rsidRPr="00D26788">
        <w:rPr>
          <w:rFonts w:eastAsia="Calibri"/>
          <w:b/>
          <w:szCs w:val="24"/>
          <w:lang w:eastAsia="en-US" w:bidi="he-IL"/>
        </w:rPr>
        <w:t>X SKYRIUS</w:t>
      </w:r>
      <w:r w:rsidR="00E173C6">
        <w:rPr>
          <w:rFonts w:eastAsia="Calibri"/>
          <w:b/>
          <w:szCs w:val="24"/>
          <w:lang w:eastAsia="en-US" w:bidi="he-IL"/>
        </w:rPr>
        <w:t xml:space="preserve"> </w:t>
      </w:r>
    </w:p>
    <w:p w14:paraId="5A135571" w14:textId="4299DC8F" w:rsidR="00D26788" w:rsidRDefault="00D26788" w:rsidP="0059460C">
      <w:pPr>
        <w:spacing w:line="276" w:lineRule="auto"/>
        <w:jc w:val="center"/>
        <w:rPr>
          <w:rFonts w:eastAsia="Calibri"/>
          <w:b/>
          <w:szCs w:val="24"/>
          <w:lang w:eastAsia="en-US" w:bidi="he-IL"/>
        </w:rPr>
      </w:pPr>
      <w:r w:rsidRPr="00D26788">
        <w:rPr>
          <w:rFonts w:eastAsia="Calibri"/>
          <w:b/>
          <w:szCs w:val="24"/>
          <w:lang w:eastAsia="en-US" w:bidi="he-IL"/>
        </w:rPr>
        <w:t>KULTŪRA, ŠVENTĖS, RENGINIAI, APDOVANOJIMAI</w:t>
      </w:r>
      <w:r w:rsidR="00E173C6">
        <w:rPr>
          <w:rFonts w:eastAsia="Calibri"/>
          <w:b/>
          <w:szCs w:val="24"/>
          <w:lang w:eastAsia="en-US" w:bidi="he-IL"/>
        </w:rPr>
        <w:t xml:space="preserve"> </w:t>
      </w:r>
    </w:p>
    <w:p w14:paraId="7B2FF28A" w14:textId="77777777" w:rsidR="00C11BF7" w:rsidRPr="00D26788" w:rsidRDefault="00C11BF7" w:rsidP="0059460C">
      <w:pPr>
        <w:spacing w:line="276" w:lineRule="auto"/>
        <w:rPr>
          <w:szCs w:val="24"/>
          <w:lang w:eastAsia="en-US" w:bidi="he-IL"/>
        </w:rPr>
      </w:pPr>
    </w:p>
    <w:p w14:paraId="32C1C8D6" w14:textId="16C7AECC"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Kaunas – pilnas kultūros</w:t>
      </w:r>
      <w:r w:rsidR="00AE336B">
        <w:rPr>
          <w:rFonts w:eastAsia="Calibri"/>
          <w:szCs w:val="24"/>
          <w:lang w:eastAsia="en-US" w:bidi="he-IL"/>
        </w:rPr>
        <w:t>!</w:t>
      </w:r>
      <w:r w:rsidRPr="00D26788">
        <w:rPr>
          <w:rFonts w:eastAsia="Calibri"/>
          <w:szCs w:val="24"/>
          <w:lang w:eastAsia="en-US" w:bidi="he-IL"/>
        </w:rPr>
        <w:t xml:space="preserve"> 2025 metais mieste ir toliau buvo nuosekliai plėtojamas įvairiapusis kultūrinis gyvenimas, apimantis valstybinių švenčių minėjimus, miesto bendruomenę telkiančius renginius, profesionaliojo meno, scenos menų, literatūros, kino, muzikos ir šiuolaikinės kultūros iniciatyvas, taip pat miestui ir jo bendruomenei svarbius apdovanojimus. Per metus Kaune suorganizuota 6</w:t>
      </w:r>
      <w:r w:rsidR="00AE336B">
        <w:rPr>
          <w:rFonts w:eastAsia="Calibri"/>
          <w:szCs w:val="24"/>
          <w:lang w:eastAsia="en-US" w:bidi="he-IL"/>
        </w:rPr>
        <w:t> </w:t>
      </w:r>
      <w:r w:rsidRPr="00D26788">
        <w:rPr>
          <w:rFonts w:eastAsia="Calibri"/>
          <w:szCs w:val="24"/>
          <w:lang w:eastAsia="en-US" w:bidi="he-IL"/>
        </w:rPr>
        <w:t xml:space="preserve">743 kultūros renginiai, projektai ir veiklos, kuriuose apsilankė </w:t>
      </w:r>
      <w:r w:rsidR="00AE336B">
        <w:rPr>
          <w:rFonts w:eastAsia="Calibri"/>
          <w:szCs w:val="24"/>
          <w:lang w:eastAsia="en-US" w:bidi="he-IL"/>
        </w:rPr>
        <w:t xml:space="preserve">daugiau kaip </w:t>
      </w:r>
      <w:r w:rsidRPr="00D26788">
        <w:rPr>
          <w:rFonts w:eastAsia="Calibri"/>
          <w:bCs/>
          <w:szCs w:val="24"/>
          <w:lang w:eastAsia="en-US" w:bidi="he-IL"/>
        </w:rPr>
        <w:t>1</w:t>
      </w:r>
      <w:r w:rsidR="00AE336B" w:rsidRPr="00AE336B">
        <w:rPr>
          <w:rFonts w:eastAsia="Calibri"/>
          <w:bCs/>
          <w:szCs w:val="24"/>
          <w:lang w:eastAsia="en-US" w:bidi="he-IL"/>
        </w:rPr>
        <w:t> </w:t>
      </w:r>
      <w:r w:rsidRPr="00D26788">
        <w:rPr>
          <w:rFonts w:eastAsia="Calibri"/>
          <w:bCs/>
          <w:szCs w:val="24"/>
          <w:lang w:eastAsia="en-US" w:bidi="he-IL"/>
        </w:rPr>
        <w:t>521</w:t>
      </w:r>
      <w:r w:rsidR="00AE336B" w:rsidRPr="00AE336B">
        <w:rPr>
          <w:rFonts w:eastAsia="Calibri"/>
          <w:bCs/>
          <w:szCs w:val="24"/>
          <w:lang w:eastAsia="en-US" w:bidi="he-IL"/>
        </w:rPr>
        <w:t>,</w:t>
      </w:r>
      <w:r w:rsidRPr="00D26788">
        <w:rPr>
          <w:rFonts w:eastAsia="Calibri"/>
          <w:bCs/>
          <w:szCs w:val="24"/>
          <w:lang w:eastAsia="en-US" w:bidi="he-IL"/>
        </w:rPr>
        <w:t>4</w:t>
      </w:r>
      <w:r w:rsidR="00AE336B" w:rsidRPr="00AE336B">
        <w:rPr>
          <w:rFonts w:eastAsia="Calibri"/>
          <w:bCs/>
          <w:szCs w:val="24"/>
          <w:lang w:eastAsia="en-US" w:bidi="he-IL"/>
        </w:rPr>
        <w:t> tūkst.</w:t>
      </w:r>
      <w:r w:rsidRPr="00D26788">
        <w:rPr>
          <w:rFonts w:eastAsia="Calibri"/>
          <w:bCs/>
          <w:szCs w:val="24"/>
          <w:lang w:eastAsia="en-US" w:bidi="he-IL"/>
        </w:rPr>
        <w:t xml:space="preserve"> lankytoj</w:t>
      </w:r>
      <w:r w:rsidR="00AE336B" w:rsidRPr="00AE336B">
        <w:rPr>
          <w:rFonts w:eastAsia="Calibri"/>
          <w:bCs/>
          <w:szCs w:val="24"/>
          <w:lang w:eastAsia="en-US" w:bidi="he-IL"/>
        </w:rPr>
        <w:t>ų</w:t>
      </w:r>
      <w:r w:rsidRPr="00D26788">
        <w:rPr>
          <w:rFonts w:eastAsia="Calibri"/>
          <w:bCs/>
          <w:szCs w:val="24"/>
          <w:lang w:eastAsia="en-US" w:bidi="he-IL"/>
        </w:rPr>
        <w:t>. Šie rodikliai rodo</w:t>
      </w:r>
      <w:r w:rsidRPr="00D26788">
        <w:rPr>
          <w:rFonts w:eastAsia="Calibri"/>
          <w:szCs w:val="24"/>
          <w:lang w:eastAsia="en-US" w:bidi="he-IL"/>
        </w:rPr>
        <w:t xml:space="preserve"> ne tik didelį kultūrinį aktyvumą, bet ir išliekantį aukštą gyventojų bei miesto svečių susidomėjimą Kauno kultūriniu gyvenimu.</w:t>
      </w:r>
      <w:r w:rsidR="005143AB">
        <w:rPr>
          <w:rFonts w:eastAsia="Calibri"/>
          <w:szCs w:val="24"/>
          <w:lang w:eastAsia="en-US" w:bidi="he-IL"/>
        </w:rPr>
        <w:t xml:space="preserve"> </w:t>
      </w:r>
    </w:p>
    <w:p w14:paraId="4F428C16" w14:textId="04DFED1E" w:rsidR="00D26788" w:rsidRPr="00D26788" w:rsidRDefault="00AE336B" w:rsidP="00D26788">
      <w:pPr>
        <w:spacing w:line="360" w:lineRule="auto"/>
        <w:ind w:firstLine="1298"/>
        <w:jc w:val="both"/>
        <w:rPr>
          <w:szCs w:val="24"/>
          <w:lang w:eastAsia="en-US" w:bidi="he-IL"/>
        </w:rPr>
      </w:pPr>
      <w:r w:rsidRPr="00AE336B">
        <w:rPr>
          <w:rFonts w:eastAsia="Calibri"/>
          <w:szCs w:val="24"/>
          <w:lang w:eastAsia="en-US" w:bidi="he-IL"/>
        </w:rPr>
        <w:t>Praėjusiais</w:t>
      </w:r>
      <w:r w:rsidR="00D26788" w:rsidRPr="00D26788">
        <w:rPr>
          <w:rFonts w:eastAsia="Calibri"/>
          <w:szCs w:val="24"/>
          <w:lang w:eastAsia="en-US" w:bidi="he-IL"/>
        </w:rPr>
        <w:t xml:space="preserve"> metais mieste </w:t>
      </w:r>
      <w:r w:rsidRPr="00AE336B">
        <w:rPr>
          <w:rFonts w:eastAsia="Calibri"/>
          <w:szCs w:val="24"/>
          <w:lang w:eastAsia="en-US" w:bidi="he-IL"/>
        </w:rPr>
        <w:t xml:space="preserve">sėkmingai suorganizuoti šie </w:t>
      </w:r>
      <w:r w:rsidR="00D26788" w:rsidRPr="00D26788">
        <w:rPr>
          <w:rFonts w:eastAsia="Calibri"/>
          <w:szCs w:val="24"/>
          <w:lang w:eastAsia="en-US" w:bidi="he-IL"/>
        </w:rPr>
        <w:t>pagrindiniai Kauno renginiai ir šventės: Lietuvos valstybės atkūrimo dienos minėjimas Žalgirio arenoje ir Vytauto Didžiojo karo muziejaus sodelyje, Lietuvos nepriklausomybės atkūrimo dienos minėjimas, Kauno miesto gimtadienis, Kiemų šventė Senamiestyje, tradicinių šokių vakaras „Gintarinė pora“, Prezidento Valdo Adamkaus lengvosios atletikos maniežo atidarymo renginys, festivalis „Lietuvos teatrų pavasaris“, Tarptautinės teatro dienos renginiai ir „Fortūnų“ apdovanojimai, Valstybės dienos minėjimas ir apdovanojimų ceremonija, Aviacijos šventė, Rugsėjo 1-osios šventė „Mokslai palauks“, Socialinių darbuotojų ir Metų mokytojo apdovanojimų renginiai, pagyvenusių žmonių mėnesio iniciatyvos, Kauno miesto Vinco Kudirkos viešosios bibliotekos 100-mečio renginiai, Kalėdų eglutės įžiebimo šventė, Kalėdų miestelis Rotušės aikštėje, kalėdiniai edukaciniai renginiai Vienybės aikštėje ir Naujųjų metų sutikimo renginiai.</w:t>
      </w:r>
      <w:r w:rsidR="005143AB">
        <w:rPr>
          <w:rFonts w:eastAsia="Calibri"/>
          <w:szCs w:val="24"/>
          <w:lang w:eastAsia="en-US" w:bidi="he-IL"/>
        </w:rPr>
        <w:t xml:space="preserve"> </w:t>
      </w:r>
    </w:p>
    <w:p w14:paraId="29B910CC" w14:textId="50FC29E1" w:rsidR="00D26788" w:rsidRPr="00D26788" w:rsidRDefault="00AE336B" w:rsidP="00D26788">
      <w:pPr>
        <w:spacing w:line="360" w:lineRule="auto"/>
        <w:ind w:firstLine="1298"/>
        <w:jc w:val="both"/>
        <w:rPr>
          <w:szCs w:val="24"/>
          <w:lang w:eastAsia="en-US" w:bidi="he-IL"/>
        </w:rPr>
      </w:pPr>
      <w:r w:rsidRPr="00885D4E">
        <w:rPr>
          <w:rFonts w:eastAsia="Calibri"/>
          <w:szCs w:val="24"/>
          <w:lang w:eastAsia="en-US" w:bidi="he-IL"/>
        </w:rPr>
        <w:lastRenderedPageBreak/>
        <w:t>Savivaldybei skatinant</w:t>
      </w:r>
      <w:r w:rsidRPr="00D26788">
        <w:rPr>
          <w:rFonts w:eastAsia="Calibri"/>
          <w:szCs w:val="24"/>
          <w:lang w:eastAsia="en-US" w:bidi="he-IL"/>
        </w:rPr>
        <w:t xml:space="preserve"> kultūros prieinamumą, įvairių kultūros formų plė</w:t>
      </w:r>
      <w:r w:rsidRPr="00885D4E">
        <w:rPr>
          <w:rFonts w:eastAsia="Calibri"/>
          <w:szCs w:val="24"/>
          <w:lang w:eastAsia="en-US" w:bidi="he-IL"/>
        </w:rPr>
        <w:t>tojimą</w:t>
      </w:r>
      <w:r w:rsidRPr="00D26788">
        <w:rPr>
          <w:rFonts w:eastAsia="Calibri"/>
          <w:szCs w:val="24"/>
          <w:lang w:eastAsia="en-US" w:bidi="he-IL"/>
        </w:rPr>
        <w:t xml:space="preserve"> ir </w:t>
      </w:r>
      <w:r w:rsidRPr="00885D4E">
        <w:rPr>
          <w:rFonts w:eastAsia="Calibri"/>
          <w:szCs w:val="24"/>
          <w:lang w:eastAsia="en-US" w:bidi="he-IL"/>
        </w:rPr>
        <w:t>didinant</w:t>
      </w:r>
      <w:r w:rsidRPr="00D26788">
        <w:rPr>
          <w:rFonts w:eastAsia="Calibri"/>
          <w:szCs w:val="24"/>
          <w:lang w:eastAsia="en-US" w:bidi="he-IL"/>
        </w:rPr>
        <w:t xml:space="preserve"> bendruomenės įtraukimą į miesto kultūrinį gyvenimą</w:t>
      </w:r>
      <w:r w:rsidRPr="00885D4E">
        <w:rPr>
          <w:rFonts w:eastAsia="Calibri"/>
          <w:szCs w:val="24"/>
          <w:lang w:eastAsia="en-US" w:bidi="he-IL"/>
        </w:rPr>
        <w:t>, r</w:t>
      </w:r>
      <w:r w:rsidR="00D26788" w:rsidRPr="00D26788">
        <w:rPr>
          <w:rFonts w:eastAsia="Calibri"/>
          <w:szCs w:val="24"/>
          <w:lang w:eastAsia="en-US" w:bidi="he-IL"/>
        </w:rPr>
        <w:t xml:space="preserve">eikšmingą </w:t>
      </w:r>
      <w:r w:rsidRPr="00885D4E">
        <w:rPr>
          <w:rFonts w:eastAsia="Calibri"/>
          <w:szCs w:val="24"/>
          <w:lang w:eastAsia="en-US" w:bidi="he-IL"/>
        </w:rPr>
        <w:t>renginių</w:t>
      </w:r>
      <w:r w:rsidR="00D26788" w:rsidRPr="00D26788">
        <w:rPr>
          <w:rFonts w:eastAsia="Calibri"/>
          <w:szCs w:val="24"/>
          <w:lang w:eastAsia="en-US" w:bidi="he-IL"/>
        </w:rPr>
        <w:t xml:space="preserve"> dalį 2025 metais sudarė ir pagal programą „Iniciatyvos Kaunui“ </w:t>
      </w:r>
      <w:r w:rsidRPr="00885D4E">
        <w:rPr>
          <w:rFonts w:eastAsia="Calibri"/>
          <w:szCs w:val="24"/>
          <w:lang w:eastAsia="en-US" w:bidi="he-IL"/>
        </w:rPr>
        <w:t>iš dalies</w:t>
      </w:r>
      <w:r w:rsidR="00D26788" w:rsidRPr="00D26788">
        <w:rPr>
          <w:rFonts w:eastAsia="Calibri"/>
          <w:szCs w:val="24"/>
          <w:lang w:eastAsia="en-US" w:bidi="he-IL"/>
        </w:rPr>
        <w:t xml:space="preserve"> finansuoti kultūros projektai. Per metus įgyvendinti 48 kultūros projektai, į kurių veiklas įsitraukė 319</w:t>
      </w:r>
      <w:r w:rsidRPr="00885D4E">
        <w:rPr>
          <w:rFonts w:eastAsia="Calibri"/>
          <w:szCs w:val="24"/>
          <w:lang w:eastAsia="en-US" w:bidi="he-IL"/>
        </w:rPr>
        <w:t> </w:t>
      </w:r>
      <w:r w:rsidR="00D26788" w:rsidRPr="00D26788">
        <w:rPr>
          <w:rFonts w:eastAsia="Calibri"/>
          <w:szCs w:val="24"/>
          <w:lang w:eastAsia="en-US" w:bidi="he-IL"/>
        </w:rPr>
        <w:t>632 dalyviai, iš jų 219</w:t>
      </w:r>
      <w:r w:rsidRPr="00885D4E">
        <w:rPr>
          <w:rFonts w:eastAsia="Calibri"/>
          <w:szCs w:val="24"/>
          <w:lang w:eastAsia="en-US" w:bidi="he-IL"/>
        </w:rPr>
        <w:t> </w:t>
      </w:r>
      <w:r w:rsidR="00D26788" w:rsidRPr="00D26788">
        <w:rPr>
          <w:rFonts w:eastAsia="Calibri"/>
          <w:szCs w:val="24"/>
          <w:lang w:eastAsia="en-US" w:bidi="he-IL"/>
        </w:rPr>
        <w:t>065 dalyvavo nemokamuose renginiuose ir veiklose</w:t>
      </w:r>
      <w:r w:rsidRPr="00885D4E">
        <w:rPr>
          <w:rFonts w:eastAsia="Calibri"/>
          <w:szCs w:val="24"/>
          <w:lang w:eastAsia="en-US" w:bidi="he-IL"/>
        </w:rPr>
        <w:t>. Tradiciškai</w:t>
      </w:r>
      <w:r w:rsidR="00D26788" w:rsidRPr="00D26788">
        <w:rPr>
          <w:rFonts w:eastAsia="Calibri"/>
          <w:szCs w:val="24"/>
          <w:lang w:eastAsia="en-US" w:bidi="he-IL"/>
        </w:rPr>
        <w:t xml:space="preserve"> buvo puoselėjami aukšto meninio lygio, miesto įvaizdį formuojantys ir nacionaliniu bei tarptautiniu mastu atpažįstami kultūros renginiai</w:t>
      </w:r>
      <w:r w:rsidR="00C53151" w:rsidRPr="00885D4E">
        <w:rPr>
          <w:rFonts w:eastAsia="Calibri"/>
          <w:szCs w:val="24"/>
          <w:lang w:eastAsia="en-US" w:bidi="he-IL"/>
        </w:rPr>
        <w:t xml:space="preserve">: </w:t>
      </w:r>
      <w:r w:rsidR="00951C1D" w:rsidRPr="00885D4E">
        <w:rPr>
          <w:rFonts w:eastAsia="Calibri"/>
          <w:szCs w:val="24"/>
          <w:lang w:eastAsia="en-US" w:bidi="he-IL"/>
        </w:rPr>
        <w:t>Pažaislio</w:t>
      </w:r>
      <w:r w:rsidR="00951C1D" w:rsidRPr="00951C1D">
        <w:rPr>
          <w:rFonts w:eastAsia="Calibri"/>
          <w:szCs w:val="24"/>
          <w:lang w:eastAsia="en-US" w:bidi="he-IL"/>
        </w:rPr>
        <w:t xml:space="preserve"> muzikos festivalis, džiazo festivalis „Kaunas Jazz“, poezijos festivalis „Poezijos pavasaris“, festivalis „Operetė Kauno pilyje“, </w:t>
      </w:r>
      <w:r w:rsidR="00951C1D">
        <w:rPr>
          <w:rFonts w:eastAsia="Calibri"/>
          <w:szCs w:val="24"/>
          <w:lang w:eastAsia="en-US" w:bidi="he-IL"/>
        </w:rPr>
        <w:t>t</w:t>
      </w:r>
      <w:r w:rsidR="00951C1D" w:rsidRPr="00951C1D">
        <w:rPr>
          <w:rFonts w:eastAsia="Calibri"/>
          <w:szCs w:val="24"/>
          <w:lang w:eastAsia="en-US" w:bidi="he-IL"/>
        </w:rPr>
        <w:t xml:space="preserve">arptautinis kamerinės muzikos festivalis „Avanti“,  </w:t>
      </w:r>
      <w:r w:rsidR="00951C1D">
        <w:rPr>
          <w:rFonts w:eastAsia="Calibri"/>
          <w:szCs w:val="24"/>
          <w:lang w:eastAsia="en-US" w:bidi="he-IL"/>
        </w:rPr>
        <w:t>t</w:t>
      </w:r>
      <w:r w:rsidR="00951C1D" w:rsidRPr="00951C1D">
        <w:rPr>
          <w:rFonts w:eastAsia="Calibri"/>
          <w:szCs w:val="24"/>
          <w:lang w:eastAsia="en-US" w:bidi="he-IL"/>
        </w:rPr>
        <w:t xml:space="preserve">arptautinis festivalis „Musica sacra“, </w:t>
      </w:r>
      <w:r w:rsidR="00951C1D">
        <w:rPr>
          <w:rFonts w:eastAsia="Calibri"/>
          <w:szCs w:val="24"/>
          <w:lang w:eastAsia="en-US" w:bidi="he-IL"/>
        </w:rPr>
        <w:t>t</w:t>
      </w:r>
      <w:r w:rsidR="00951C1D" w:rsidRPr="00951C1D">
        <w:rPr>
          <w:rFonts w:eastAsia="Calibri"/>
          <w:szCs w:val="24"/>
          <w:lang w:eastAsia="en-US" w:bidi="he-IL"/>
        </w:rPr>
        <w:t xml:space="preserve">arptautinis sakralinės muzikos chorų festivalis „Cantate domino“, </w:t>
      </w:r>
      <w:r w:rsidR="00951C1D">
        <w:rPr>
          <w:rFonts w:eastAsia="Calibri"/>
          <w:szCs w:val="24"/>
          <w:lang w:eastAsia="en-US" w:bidi="he-IL"/>
        </w:rPr>
        <w:t>t</w:t>
      </w:r>
      <w:r w:rsidR="00951C1D" w:rsidRPr="00951C1D">
        <w:rPr>
          <w:rFonts w:eastAsia="Calibri"/>
          <w:szCs w:val="24"/>
          <w:lang w:eastAsia="en-US" w:bidi="he-IL"/>
        </w:rPr>
        <w:t xml:space="preserve">arptautinis šiuolaikinio cirko festivalis „Cirkuliacija“, tarptautinis kino festivalis „Kino pavasaris“ Kaune, Europos šalių kino forumas „Scanorama“, Kauno meno leidinių mugė „Kaunas Art Book Fair“, Kauno architektūros festivalis vaikams ir kiti. </w:t>
      </w:r>
      <w:r w:rsidR="00951C1D">
        <w:rPr>
          <w:rFonts w:eastAsia="Calibri"/>
          <w:szCs w:val="24"/>
          <w:lang w:eastAsia="en-US" w:bidi="he-IL"/>
        </w:rPr>
        <w:t>Taip pat v</w:t>
      </w:r>
      <w:r w:rsidR="00951C1D" w:rsidRPr="00951C1D">
        <w:rPr>
          <w:rFonts w:eastAsia="Calibri"/>
          <w:szCs w:val="24"/>
          <w:lang w:eastAsia="en-US" w:bidi="he-IL"/>
        </w:rPr>
        <w:t xml:space="preserve">yko tęstiniai Kauno </w:t>
      </w:r>
      <w:r w:rsidR="005143AB">
        <w:rPr>
          <w:rFonts w:eastAsia="Calibri"/>
          <w:szCs w:val="24"/>
          <w:lang w:eastAsia="en-US" w:bidi="he-IL"/>
        </w:rPr>
        <w:t>–</w:t>
      </w:r>
      <w:r w:rsidR="00951C1D" w:rsidRPr="00951C1D">
        <w:rPr>
          <w:rFonts w:eastAsia="Calibri"/>
          <w:szCs w:val="24"/>
          <w:lang w:eastAsia="en-US" w:bidi="he-IL"/>
        </w:rPr>
        <w:t xml:space="preserve"> Europos kultūros sostinės 2022</w:t>
      </w:r>
      <w:r w:rsidR="005143AB">
        <w:rPr>
          <w:rFonts w:eastAsia="Calibri"/>
          <w:szCs w:val="24"/>
          <w:lang w:eastAsia="en-US" w:bidi="he-IL"/>
        </w:rPr>
        <w:t> </w:t>
      </w:r>
      <w:r w:rsidR="00951C1D" w:rsidRPr="00951C1D">
        <w:rPr>
          <w:rFonts w:eastAsia="Calibri"/>
          <w:szCs w:val="24"/>
          <w:lang w:eastAsia="en-US" w:bidi="he-IL"/>
        </w:rPr>
        <w:t xml:space="preserve">palikimo renginiai: </w:t>
      </w:r>
      <w:r w:rsidR="00951C1D">
        <w:rPr>
          <w:rFonts w:eastAsia="Calibri"/>
          <w:szCs w:val="24"/>
          <w:lang w:eastAsia="en-US" w:bidi="he-IL"/>
        </w:rPr>
        <w:t>t</w:t>
      </w:r>
      <w:r w:rsidR="00951C1D" w:rsidRPr="00951C1D">
        <w:rPr>
          <w:rFonts w:eastAsia="Calibri"/>
          <w:szCs w:val="24"/>
          <w:lang w:eastAsia="en-US" w:bidi="he-IL"/>
        </w:rPr>
        <w:t xml:space="preserve">arptautinis scenos menų festivalis „Con Tempo“, šiuolaikinio meno festivalis „Audra“, vaikų knygų festivalis „Gyvos raidės“, </w:t>
      </w:r>
      <w:r w:rsidR="00951C1D">
        <w:rPr>
          <w:rFonts w:eastAsia="Calibri"/>
          <w:szCs w:val="24"/>
          <w:lang w:eastAsia="en-US" w:bidi="he-IL"/>
        </w:rPr>
        <w:t>t</w:t>
      </w:r>
      <w:r w:rsidR="00951C1D" w:rsidRPr="00951C1D">
        <w:rPr>
          <w:rFonts w:eastAsia="Calibri"/>
          <w:szCs w:val="24"/>
          <w:lang w:eastAsia="en-US" w:bidi="he-IL"/>
        </w:rPr>
        <w:t>arptautinis rašytojų ir knygų festivalis</w:t>
      </w:r>
      <w:r w:rsidR="00951C1D">
        <w:rPr>
          <w:rFonts w:eastAsia="Calibri"/>
          <w:szCs w:val="24"/>
          <w:lang w:eastAsia="en-US" w:bidi="he-IL"/>
        </w:rPr>
        <w:t xml:space="preserve"> </w:t>
      </w:r>
      <w:r w:rsidR="00951C1D" w:rsidRPr="00951C1D">
        <w:rPr>
          <w:rFonts w:eastAsia="Calibri"/>
          <w:szCs w:val="24"/>
          <w:lang w:eastAsia="en-US" w:bidi="he-IL"/>
        </w:rPr>
        <w:t xml:space="preserve">/ Kauno literatūros savaitė. </w:t>
      </w:r>
      <w:r w:rsidR="00D26788" w:rsidRPr="00D26788">
        <w:rPr>
          <w:rFonts w:eastAsia="Calibri"/>
          <w:szCs w:val="24"/>
          <w:lang w:eastAsia="en-US" w:bidi="he-IL"/>
        </w:rPr>
        <w:t>Šios veiklos stiprino Kauno, kaip kūrybiško, atviro ir tarptautiniame kultūros lauke matomo miesto, poziciją.</w:t>
      </w:r>
      <w:r w:rsidR="005143AB">
        <w:rPr>
          <w:rFonts w:eastAsia="Calibri"/>
          <w:szCs w:val="24"/>
          <w:lang w:eastAsia="en-US" w:bidi="he-IL"/>
        </w:rPr>
        <w:t xml:space="preserve"> </w:t>
      </w:r>
    </w:p>
    <w:p w14:paraId="3BC6313C" w14:textId="14DC32BA"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2025 metais buvo įvertinti kultūros ir meno kūrėjai bei labiausiai nusipelnę teatralai – įteiktos 6 premijos už nuopelnus kultūros sričiai ir 13 „Fortūnos“ apdovanojimų už nuopelnus teatro srityje. Šie įvertinimai liudija nuoseklų Savivaldybės dėmesį kultūros lauko stiprinimui, profesionalių kūrėjų veiklos pripažinimui ir miestui svarbių kultūrinių iniciatyvų palaikymui.</w:t>
      </w:r>
      <w:r w:rsidR="005143AB">
        <w:rPr>
          <w:rFonts w:eastAsia="Calibri"/>
          <w:szCs w:val="24"/>
          <w:lang w:eastAsia="en-US" w:bidi="he-IL"/>
        </w:rPr>
        <w:t xml:space="preserve"> </w:t>
      </w:r>
    </w:p>
    <w:p w14:paraId="3D5B9D71" w14:textId="3A3335B9"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Savivaldybė reikšmingai stiprino</w:t>
      </w:r>
      <w:r w:rsidR="00CA5D88">
        <w:rPr>
          <w:rFonts w:eastAsia="Calibri"/>
          <w:szCs w:val="24"/>
          <w:lang w:eastAsia="en-US" w:bidi="he-IL"/>
        </w:rPr>
        <w:t xml:space="preserve"> ir</w:t>
      </w:r>
      <w:r w:rsidRPr="00D26788">
        <w:rPr>
          <w:rFonts w:eastAsia="Calibri"/>
          <w:szCs w:val="24"/>
          <w:lang w:eastAsia="en-US" w:bidi="he-IL"/>
        </w:rPr>
        <w:t xml:space="preserve"> kultūros infrastruktūrą. Buvo vykdomi istorinės reikšmės pastato Perkūno al. 4B kapitalinio remonto darbai, atnaujinant visą pastatą iš pagrindų, išsaugant jo vertingąsias savybes ir pritaikant jį Kauno M. Petrausko scenos menų mokyklos veikloms. Sutvarkytame pastate numatyta teatro ugdymo, integruoto scenos meno, choreografijos, šokio ir cirko veiklų plėtra, todėl šis projektas reikšmingas ne tik paveldo išsaugojimui, bet ir scenos menų edukacijos plėtrai Kaune.</w:t>
      </w:r>
      <w:r w:rsidR="005143AB">
        <w:rPr>
          <w:rFonts w:eastAsia="Calibri"/>
          <w:szCs w:val="24"/>
          <w:lang w:eastAsia="en-US" w:bidi="he-IL"/>
        </w:rPr>
        <w:t xml:space="preserve"> </w:t>
      </w:r>
    </w:p>
    <w:p w14:paraId="7EB3DF4C" w14:textId="11B9E036"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Kultūrinį miesto veidą 2025 metais stiprino ir viešųjų erdvių meno programos. Per „Kauno akcentų“ programą finansuoti 27 projektai ir</w:t>
      </w:r>
      <w:r w:rsidR="00CA5D88" w:rsidRPr="00CA5D88">
        <w:rPr>
          <w:rFonts w:eastAsia="Calibri"/>
          <w:szCs w:val="24"/>
          <w:lang w:eastAsia="en-US" w:bidi="he-IL"/>
        </w:rPr>
        <w:t>, kaip minėta,</w:t>
      </w:r>
      <w:r w:rsidRPr="00D26788">
        <w:rPr>
          <w:rFonts w:eastAsia="Calibri"/>
          <w:szCs w:val="24"/>
          <w:lang w:eastAsia="en-US" w:bidi="he-IL"/>
        </w:rPr>
        <w:t xml:space="preserve"> įrengta daugiau kaip 30 naujų meno objektų. Tarp jų – paminklas Jonui Vileišiui, skulptūra „Karaliai“ Ąžuolyne, skulptūros „Ožka Geldoje“ ir „Godo“ senamiestyje, trys Kauno istoriją vaizduojantys bareljefai Vienybės aikštėje, bronzinės miniatiūros, skulptūra „Matyk</w:t>
      </w:r>
      <w:r w:rsidR="005143AB">
        <w:rPr>
          <w:rFonts w:eastAsia="Calibri"/>
          <w:szCs w:val="24"/>
          <w:lang w:eastAsia="en-US" w:bidi="he-IL"/>
        </w:rPr>
        <w:t xml:space="preserve"> – </w:t>
      </w:r>
      <w:r w:rsidRPr="00D26788">
        <w:rPr>
          <w:rFonts w:eastAsia="Calibri"/>
          <w:szCs w:val="24"/>
          <w:lang w:eastAsia="en-US" w:bidi="he-IL"/>
        </w:rPr>
        <w:t xml:space="preserve">klausyk“, skulptūrų ansamblis Draugystės parke </w:t>
      </w:r>
      <w:r w:rsidR="005143AB">
        <w:rPr>
          <w:rFonts w:eastAsia="Calibri"/>
          <w:szCs w:val="24"/>
          <w:lang w:eastAsia="en-US" w:bidi="he-IL"/>
        </w:rPr>
        <w:t xml:space="preserve">ir </w:t>
      </w:r>
      <w:r w:rsidRPr="00D26788">
        <w:rPr>
          <w:rFonts w:eastAsia="Calibri"/>
          <w:szCs w:val="24"/>
          <w:lang w:eastAsia="en-US" w:bidi="he-IL"/>
        </w:rPr>
        <w:t>sieniniai piešiniai. Šie darbai išplėtė miesto galeriją po atviru dangumi ir sustiprino kultūros prieinamumą kasdienėje miesto aplinkoje.</w:t>
      </w:r>
      <w:r w:rsidR="005143AB">
        <w:rPr>
          <w:rFonts w:eastAsia="Calibri"/>
          <w:szCs w:val="24"/>
          <w:lang w:eastAsia="en-US" w:bidi="he-IL"/>
        </w:rPr>
        <w:t xml:space="preserve"> </w:t>
      </w:r>
    </w:p>
    <w:p w14:paraId="558A725A" w14:textId="7BF4D291" w:rsidR="00D26788" w:rsidRPr="00D26788" w:rsidRDefault="00CA5D88" w:rsidP="00D26788">
      <w:pPr>
        <w:spacing w:line="360" w:lineRule="auto"/>
        <w:ind w:firstLine="1298"/>
        <w:jc w:val="both"/>
        <w:rPr>
          <w:szCs w:val="24"/>
          <w:lang w:eastAsia="en-US" w:bidi="he-IL"/>
        </w:rPr>
      </w:pPr>
      <w:r w:rsidRPr="00D26788">
        <w:rPr>
          <w:rFonts w:eastAsia="Calibri"/>
          <w:szCs w:val="24"/>
          <w:lang w:eastAsia="en-US" w:bidi="he-IL"/>
        </w:rPr>
        <w:lastRenderedPageBreak/>
        <w:t>Kaunas kultūrą suvok</w:t>
      </w:r>
      <w:r w:rsidRPr="00CA5D88">
        <w:rPr>
          <w:rFonts w:eastAsia="Calibri"/>
          <w:szCs w:val="24"/>
          <w:lang w:eastAsia="en-US" w:bidi="he-IL"/>
        </w:rPr>
        <w:t>ia</w:t>
      </w:r>
      <w:r w:rsidRPr="00D26788">
        <w:rPr>
          <w:rFonts w:eastAsia="Calibri"/>
          <w:szCs w:val="24"/>
          <w:lang w:eastAsia="en-US" w:bidi="he-IL"/>
        </w:rPr>
        <w:t xml:space="preserve"> ne tik kaip renginių lauką, bet ir kaip ilgalaikę investiciją į miesto tapatybę bei paveldą.</w:t>
      </w:r>
      <w:r w:rsidRPr="00CA5D88">
        <w:rPr>
          <w:rFonts w:eastAsia="Calibri"/>
          <w:szCs w:val="24"/>
          <w:lang w:eastAsia="en-US" w:bidi="he-IL"/>
        </w:rPr>
        <w:t xml:space="preserve"> </w:t>
      </w:r>
      <w:r w:rsidR="00D26788" w:rsidRPr="00D26788">
        <w:rPr>
          <w:rFonts w:eastAsia="Calibri"/>
          <w:szCs w:val="24"/>
          <w:lang w:eastAsia="en-US" w:bidi="he-IL"/>
        </w:rPr>
        <w:t>2025 metais kultūros ir paveldosaugos laukas taip pat stiprintas tęsiant UNESCO ir paveldotvarkos kryptis. Per metus parengti 7 paveldotvarkos projektai, darbai atlikti 8</w:t>
      </w:r>
      <w:r w:rsidR="005143AB">
        <w:rPr>
          <w:rFonts w:eastAsia="Calibri"/>
          <w:szCs w:val="24"/>
          <w:lang w:eastAsia="en-US" w:bidi="he-IL"/>
        </w:rPr>
        <w:t> </w:t>
      </w:r>
      <w:r w:rsidR="00D26788" w:rsidRPr="00D26788">
        <w:rPr>
          <w:rFonts w:eastAsia="Calibri"/>
          <w:szCs w:val="24"/>
          <w:lang w:eastAsia="en-US" w:bidi="he-IL"/>
        </w:rPr>
        <w:t>objektuose</w:t>
      </w:r>
      <w:r w:rsidRPr="00CA5D88">
        <w:rPr>
          <w:rFonts w:eastAsia="Calibri"/>
          <w:szCs w:val="24"/>
          <w:lang w:eastAsia="en-US" w:bidi="he-IL"/>
        </w:rPr>
        <w:t xml:space="preserve">. </w:t>
      </w:r>
      <w:r w:rsidR="00D26788" w:rsidRPr="00D26788">
        <w:rPr>
          <w:rFonts w:eastAsia="Calibri"/>
          <w:szCs w:val="24"/>
          <w:lang w:eastAsia="en-US" w:bidi="he-IL"/>
        </w:rPr>
        <w:t xml:space="preserve">Kartu buvo tęsiamos veiklos, susijusios su UNESCO vertybe „Modernistinis Kaunas: Optimizmo architektūra, 1919–1939“, skatinant modernizmo paveldo pažinimą, sklaidą ir jo integravimą į miesto kultūrinę tapatybę. </w:t>
      </w:r>
    </w:p>
    <w:p w14:paraId="3B51B765" w14:textId="435DCB58"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Svarbią Kauno kultūrinio gyvenimo dalį 2025 metais sudarė Savivaldybės kultūros įstaigų veikla ir jų pasiekimai. Kauno kultūros centras, būdamas pagrindinių miesto renginių organizatoriumi, per metus suorganizavo 183 miestui svarbius renginius ir projektus, o iš viso įgyvendino 944 veiklas. Reikšmingų tarptautinių laimėjimų pasiekė Kauno kultūros centro mišrus choras „Kamertonas“, pelnęs </w:t>
      </w:r>
      <w:r w:rsidRPr="00E9250B">
        <w:rPr>
          <w:rFonts w:eastAsia="Calibri"/>
          <w:i/>
          <w:szCs w:val="24"/>
          <w:lang w:eastAsia="en-US" w:bidi="he-IL"/>
        </w:rPr>
        <w:t>Grand Prix</w:t>
      </w:r>
      <w:r w:rsidRPr="00D26788">
        <w:rPr>
          <w:rFonts w:eastAsia="Calibri"/>
          <w:szCs w:val="24"/>
          <w:lang w:eastAsia="en-US" w:bidi="he-IL"/>
        </w:rPr>
        <w:t xml:space="preserve"> Albanijoje ir aukso diplomą Lenkijoje, o projektas „Skambantys raštai“ buvo įvertintas 1 vieta Londone ir pristatytas Romoje. </w:t>
      </w:r>
      <w:r w:rsidR="00100D20" w:rsidRPr="00100D20">
        <w:rPr>
          <w:rFonts w:eastAsia="Calibri"/>
          <w:szCs w:val="24"/>
          <w:lang w:eastAsia="en-US" w:bidi="he-IL"/>
        </w:rPr>
        <w:t>Tai – svarbūs kultūriškai aktyvaus ir tarptautinėje erdvėje matomo miesto pasiekimai.</w:t>
      </w:r>
      <w:r w:rsidR="005143AB">
        <w:rPr>
          <w:rFonts w:eastAsia="Calibri"/>
          <w:szCs w:val="24"/>
          <w:lang w:eastAsia="en-US" w:bidi="he-IL"/>
        </w:rPr>
        <w:t xml:space="preserve"> </w:t>
      </w:r>
    </w:p>
    <w:p w14:paraId="48F56938" w14:textId="49A3E672" w:rsidR="00D26788" w:rsidRPr="00D26788" w:rsidRDefault="00D26788" w:rsidP="00D26788">
      <w:pPr>
        <w:spacing w:line="360" w:lineRule="auto"/>
        <w:ind w:firstLine="1298"/>
        <w:jc w:val="both"/>
        <w:rPr>
          <w:szCs w:val="24"/>
          <w:lang w:eastAsia="en-US" w:bidi="he-IL"/>
        </w:rPr>
      </w:pPr>
      <w:r w:rsidRPr="00D26788">
        <w:rPr>
          <w:rFonts w:eastAsia="Calibri"/>
          <w:szCs w:val="24"/>
          <w:lang w:eastAsia="en-US" w:bidi="he-IL"/>
        </w:rPr>
        <w:t xml:space="preserve">Kauno miesto muziejus 2025 metais pradėjo vykdyti projektą „SEEHEARACT“, įgyvendinamą pagal </w:t>
      </w:r>
      <w:r w:rsidR="00100D20" w:rsidRPr="00100D20">
        <w:rPr>
          <w:rFonts w:eastAsia="Calibri"/>
          <w:szCs w:val="24"/>
          <w:lang w:eastAsia="en-US" w:bidi="he-IL"/>
        </w:rPr>
        <w:t>„</w:t>
      </w:r>
      <w:r w:rsidRPr="00D26788">
        <w:rPr>
          <w:rFonts w:eastAsia="Calibri"/>
          <w:szCs w:val="24"/>
          <w:lang w:eastAsia="en-US" w:bidi="he-IL"/>
        </w:rPr>
        <w:t>Interreg VI-A Lietuva–Lenkija</w:t>
      </w:r>
      <w:r w:rsidR="00100D20" w:rsidRPr="00100D20">
        <w:rPr>
          <w:rFonts w:eastAsia="Calibri"/>
          <w:szCs w:val="24"/>
          <w:lang w:eastAsia="en-US" w:bidi="he-IL"/>
        </w:rPr>
        <w:t>“</w:t>
      </w:r>
      <w:r w:rsidRPr="00D26788">
        <w:rPr>
          <w:rFonts w:eastAsia="Calibri"/>
          <w:szCs w:val="24"/>
          <w:lang w:eastAsia="en-US" w:bidi="he-IL"/>
        </w:rPr>
        <w:t xml:space="preserve"> programą. Muziejus toliau stiprino savo edukacinę, kultūrinę ir paveldo sklaidos veiklą, o muziejaus padalinys </w:t>
      </w:r>
      <w:r w:rsidR="005143AB">
        <w:rPr>
          <w:rFonts w:eastAsia="Calibri"/>
          <w:szCs w:val="24"/>
          <w:lang w:eastAsia="en-US" w:bidi="he-IL"/>
        </w:rPr>
        <w:t>–</w:t>
      </w:r>
      <w:r w:rsidR="00100D20" w:rsidRPr="00100D20">
        <w:rPr>
          <w:rFonts w:eastAsia="Calibri"/>
          <w:szCs w:val="24"/>
          <w:lang w:eastAsia="en-US" w:bidi="he-IL"/>
        </w:rPr>
        <w:t xml:space="preserve"> </w:t>
      </w:r>
      <w:r w:rsidRPr="00D26788">
        <w:rPr>
          <w:rFonts w:eastAsia="Calibri"/>
          <w:szCs w:val="24"/>
          <w:lang w:eastAsia="en-US" w:bidi="he-IL"/>
        </w:rPr>
        <w:t xml:space="preserve">Kauno pilis </w:t>
      </w:r>
      <w:r w:rsidR="005143AB">
        <w:rPr>
          <w:rFonts w:eastAsia="Calibri"/>
          <w:szCs w:val="24"/>
          <w:lang w:eastAsia="en-US" w:bidi="he-IL"/>
        </w:rPr>
        <w:t>–</w:t>
      </w:r>
      <w:r w:rsidR="00100D20" w:rsidRPr="00100D20">
        <w:rPr>
          <w:rFonts w:eastAsia="Calibri"/>
          <w:szCs w:val="24"/>
          <w:lang w:eastAsia="en-US" w:bidi="he-IL"/>
        </w:rPr>
        <w:t xml:space="preserve"> </w:t>
      </w:r>
      <w:r w:rsidRPr="00D26788">
        <w:rPr>
          <w:rFonts w:eastAsia="Calibri"/>
          <w:szCs w:val="24"/>
          <w:lang w:eastAsia="en-US" w:bidi="he-IL"/>
        </w:rPr>
        <w:t>tapo Lietuvos pilių ir dvarų kelio dalimi. Taip pat plėtotos prieinamumo iniciatyvos – muziejaus ekspozicijos pritaikymas įvairių poreikių lankytojams, įskaitant regos negalią turinčius asmenis. Tai rodo kryptingą muziejaus siekį derinti istorinio paveldo puoselėjimą, edukaciją ir kultūros prieinamumą plačiajai visuomenei.</w:t>
      </w:r>
      <w:r w:rsidR="005143AB">
        <w:rPr>
          <w:rFonts w:eastAsia="Calibri"/>
          <w:szCs w:val="24"/>
          <w:lang w:eastAsia="en-US" w:bidi="he-IL"/>
        </w:rPr>
        <w:t xml:space="preserve"> </w:t>
      </w:r>
    </w:p>
    <w:p w14:paraId="09D266C8" w14:textId="186B681E" w:rsidR="00D26788" w:rsidRPr="00D26788" w:rsidRDefault="00D26788" w:rsidP="00D26788">
      <w:pPr>
        <w:spacing w:line="360" w:lineRule="auto"/>
        <w:ind w:firstLine="1298"/>
        <w:jc w:val="both"/>
        <w:rPr>
          <w:bCs/>
          <w:szCs w:val="24"/>
          <w:lang w:eastAsia="en-US" w:bidi="he-IL"/>
        </w:rPr>
      </w:pPr>
      <w:r w:rsidRPr="00D26788">
        <w:rPr>
          <w:rFonts w:eastAsia="Calibri"/>
          <w:bCs/>
          <w:szCs w:val="24"/>
          <w:lang w:eastAsia="en-US" w:bidi="he-IL"/>
        </w:rPr>
        <w:t>Kauno miesto Vinco Kudirkos viešoji biblioteka 2025 metais minėjo 100 metų veiklos sukaktį. Šia proga biblioteka ne tik organizavo jubiliejinius renginius, bet ir toliau plėtojo bendruomenines, edukacines bei kultūrines iniciatyvas. Šiltuoju metų sezonu tradiciškai veikė trys vasaros skaityklos Kauno parkuose, kuriose vyko koncertai, knygų pristatymai, literatūriniai piknikai, edukacijos ir bendruomeninės veiklos. Biblioteka taip pat tęsė tarptautinį „Emocijų bibliotekų“ projektą, vykdė iniciatyvą „Etnosodas“, taip stiprindama savo, kaip šiuolaikiškos, atviros ir bendruomeniškos kultūros įstaigos, vaidmenį.</w:t>
      </w:r>
      <w:r w:rsidR="005143AB">
        <w:rPr>
          <w:rFonts w:eastAsia="Calibri"/>
          <w:bCs/>
          <w:szCs w:val="24"/>
          <w:lang w:eastAsia="en-US" w:bidi="he-IL"/>
        </w:rPr>
        <w:t xml:space="preserve"> </w:t>
      </w:r>
    </w:p>
    <w:p w14:paraId="67BDCD89" w14:textId="1AB19981" w:rsidR="00D26788" w:rsidRPr="00D26788" w:rsidRDefault="0083083F" w:rsidP="00D26788">
      <w:pPr>
        <w:spacing w:line="360" w:lineRule="auto"/>
        <w:ind w:firstLine="1298"/>
        <w:jc w:val="both"/>
        <w:rPr>
          <w:bCs/>
          <w:szCs w:val="24"/>
          <w:lang w:eastAsia="en-US" w:bidi="he-IL"/>
        </w:rPr>
      </w:pPr>
      <w:r w:rsidRPr="00270E8E">
        <w:rPr>
          <w:rFonts w:eastAsia="Calibri"/>
          <w:bCs/>
          <w:szCs w:val="24"/>
          <w:lang w:eastAsia="en-US" w:bidi="he-IL"/>
        </w:rPr>
        <w:t>A</w:t>
      </w:r>
      <w:r w:rsidRPr="00D26788">
        <w:rPr>
          <w:rFonts w:eastAsia="Calibri"/>
          <w:bCs/>
          <w:szCs w:val="24"/>
          <w:lang w:eastAsia="en-US" w:bidi="he-IL"/>
        </w:rPr>
        <w:t>ktualizuo</w:t>
      </w:r>
      <w:r w:rsidRPr="00270E8E">
        <w:rPr>
          <w:rFonts w:eastAsia="Calibri"/>
          <w:bCs/>
          <w:szCs w:val="24"/>
          <w:lang w:eastAsia="en-US" w:bidi="he-IL"/>
        </w:rPr>
        <w:t>damas</w:t>
      </w:r>
      <w:r w:rsidRPr="00D26788">
        <w:rPr>
          <w:rFonts w:eastAsia="Calibri"/>
          <w:bCs/>
          <w:szCs w:val="24"/>
          <w:lang w:eastAsia="en-US" w:bidi="he-IL"/>
        </w:rPr>
        <w:t xml:space="preserve"> kiną kaip edukacijos, emocinės sveikatos stiprinimo ir tarptautinio bendradarbiavimo priemonę</w:t>
      </w:r>
      <w:r w:rsidRPr="00270E8E">
        <w:rPr>
          <w:rFonts w:eastAsia="Calibri"/>
          <w:bCs/>
          <w:szCs w:val="24"/>
          <w:lang w:eastAsia="en-US" w:bidi="he-IL"/>
        </w:rPr>
        <w:t xml:space="preserve">, </w:t>
      </w:r>
      <w:r w:rsidR="00D26788" w:rsidRPr="00D26788">
        <w:rPr>
          <w:rFonts w:eastAsia="Calibri"/>
          <w:bCs/>
          <w:szCs w:val="24"/>
          <w:lang w:eastAsia="en-US" w:bidi="he-IL"/>
        </w:rPr>
        <w:t xml:space="preserve">Kauno kino centras „Romuva“ </w:t>
      </w:r>
      <w:r w:rsidRPr="00270E8E">
        <w:rPr>
          <w:rFonts w:eastAsia="Calibri"/>
          <w:bCs/>
          <w:szCs w:val="24"/>
          <w:lang w:eastAsia="en-US" w:bidi="he-IL"/>
        </w:rPr>
        <w:t>sėkmingai</w:t>
      </w:r>
      <w:r w:rsidR="00D26788" w:rsidRPr="00D26788">
        <w:rPr>
          <w:rFonts w:eastAsia="Calibri"/>
          <w:bCs/>
          <w:szCs w:val="24"/>
          <w:lang w:eastAsia="en-US" w:bidi="he-IL"/>
        </w:rPr>
        <w:t xml:space="preserve"> įgyvendino projektą „Kino receptai emocinei sveikatai“, skirtą emocinės gerovės stiprinimui per kino meną, taip pat prisijungė prie ECFA – Europos vaikų kino asociacijos tinklo.</w:t>
      </w:r>
      <w:r w:rsidR="005143AB">
        <w:rPr>
          <w:rFonts w:eastAsia="Calibri"/>
          <w:bCs/>
          <w:szCs w:val="24"/>
          <w:lang w:eastAsia="en-US" w:bidi="he-IL"/>
        </w:rPr>
        <w:t xml:space="preserve"> </w:t>
      </w:r>
    </w:p>
    <w:p w14:paraId="05C48EED" w14:textId="02B208DC" w:rsidR="0083083F" w:rsidRPr="00270E8E" w:rsidRDefault="00D26788" w:rsidP="00D26788">
      <w:pPr>
        <w:spacing w:line="360" w:lineRule="auto"/>
        <w:ind w:firstLine="1298"/>
        <w:jc w:val="both"/>
        <w:rPr>
          <w:rFonts w:eastAsia="Calibri"/>
          <w:bCs/>
          <w:szCs w:val="24"/>
          <w:lang w:eastAsia="en-US" w:bidi="he-IL"/>
        </w:rPr>
      </w:pPr>
      <w:r w:rsidRPr="00D26788">
        <w:rPr>
          <w:rFonts w:eastAsia="Calibri"/>
          <w:bCs/>
          <w:szCs w:val="24"/>
          <w:lang w:eastAsia="en-US" w:bidi="he-IL"/>
        </w:rPr>
        <w:t>Aktyvią kultūrinę veiklą 2025 metais vykdė ir kitos miesto kultūros įstaigos</w:t>
      </w:r>
      <w:r w:rsidR="0083083F" w:rsidRPr="00270E8E">
        <w:rPr>
          <w:rFonts w:eastAsia="Calibri"/>
          <w:bCs/>
          <w:szCs w:val="24"/>
          <w:lang w:eastAsia="en-US" w:bidi="he-IL"/>
        </w:rPr>
        <w:t>:</w:t>
      </w:r>
      <w:r w:rsidR="005143AB">
        <w:rPr>
          <w:rFonts w:eastAsia="Calibri"/>
          <w:bCs/>
          <w:szCs w:val="24"/>
          <w:lang w:eastAsia="en-US" w:bidi="he-IL"/>
        </w:rPr>
        <w:t xml:space="preserve"> </w:t>
      </w:r>
    </w:p>
    <w:p w14:paraId="42A22486" w14:textId="4247FF39" w:rsidR="0083083F" w:rsidRPr="00270E8E" w:rsidRDefault="00D26788" w:rsidP="0083083F">
      <w:pPr>
        <w:spacing w:line="360" w:lineRule="auto"/>
        <w:ind w:firstLine="1298"/>
        <w:jc w:val="both"/>
        <w:rPr>
          <w:rFonts w:eastAsia="Calibri"/>
          <w:bCs/>
          <w:szCs w:val="24"/>
          <w:lang w:eastAsia="en-US" w:bidi="he-IL"/>
        </w:rPr>
      </w:pPr>
      <w:r w:rsidRPr="00D26788">
        <w:rPr>
          <w:rFonts w:eastAsia="Calibri"/>
          <w:bCs/>
          <w:szCs w:val="24"/>
          <w:lang w:eastAsia="en-US" w:bidi="he-IL"/>
        </w:rPr>
        <w:lastRenderedPageBreak/>
        <w:t>Kauno šokio teatras „Aura“ pristatė spektaklį „Jūra“, skirtą M. K. Čiurlionio 150-osioms gimimo metinėms, o trupės artistė Ester Bega pelnė „Auksinį scenos kryžių“</w:t>
      </w:r>
      <w:r w:rsidR="0083083F" w:rsidRPr="00270E8E">
        <w:rPr>
          <w:rFonts w:eastAsia="Calibri"/>
          <w:bCs/>
          <w:szCs w:val="24"/>
          <w:lang w:eastAsia="en-US" w:bidi="he-IL"/>
        </w:rPr>
        <w:t>;</w:t>
      </w:r>
      <w:r w:rsidRPr="00D26788">
        <w:rPr>
          <w:rFonts w:eastAsia="Calibri"/>
          <w:bCs/>
          <w:szCs w:val="24"/>
          <w:lang w:eastAsia="en-US" w:bidi="he-IL"/>
        </w:rPr>
        <w:t xml:space="preserve"> </w:t>
      </w:r>
      <w:r w:rsidR="0083083F" w:rsidRPr="00270E8E">
        <w:rPr>
          <w:rFonts w:eastAsia="Calibri"/>
          <w:bCs/>
          <w:szCs w:val="24"/>
          <w:lang w:eastAsia="en-US" w:bidi="he-IL"/>
        </w:rPr>
        <w:t>t</w:t>
      </w:r>
      <w:r w:rsidRPr="00D26788">
        <w:rPr>
          <w:rFonts w:eastAsia="Calibri"/>
          <w:bCs/>
          <w:szCs w:val="24"/>
          <w:lang w:eastAsia="en-US" w:bidi="he-IL"/>
        </w:rPr>
        <w:t xml:space="preserve">eatro direktorė Birutė Komskienė </w:t>
      </w:r>
      <w:r w:rsidR="0083083F" w:rsidRPr="00270E8E">
        <w:rPr>
          <w:rFonts w:eastAsia="Calibri"/>
          <w:bCs/>
          <w:szCs w:val="24"/>
          <w:lang w:eastAsia="en-US" w:bidi="he-IL"/>
        </w:rPr>
        <w:t xml:space="preserve">(Letukaitė) </w:t>
      </w:r>
      <w:r w:rsidRPr="00D26788">
        <w:rPr>
          <w:rFonts w:eastAsia="Calibri"/>
          <w:bCs/>
          <w:szCs w:val="24"/>
          <w:lang w:eastAsia="en-US" w:bidi="he-IL"/>
        </w:rPr>
        <w:t xml:space="preserve">buvo įvertinta nacionaline </w:t>
      </w:r>
      <w:r w:rsidR="0083083F" w:rsidRPr="00270E8E">
        <w:rPr>
          <w:rFonts w:eastAsia="Calibri"/>
          <w:bCs/>
          <w:szCs w:val="24"/>
          <w:lang w:eastAsia="en-US" w:bidi="he-IL"/>
        </w:rPr>
        <w:t xml:space="preserve">meno </w:t>
      </w:r>
      <w:r w:rsidRPr="00D26788">
        <w:rPr>
          <w:rFonts w:eastAsia="Calibri"/>
          <w:bCs/>
          <w:szCs w:val="24"/>
          <w:lang w:eastAsia="en-US" w:bidi="he-IL"/>
        </w:rPr>
        <w:t>premija</w:t>
      </w:r>
      <w:r w:rsidR="005143AB">
        <w:rPr>
          <w:rFonts w:eastAsia="Calibri"/>
          <w:bCs/>
          <w:szCs w:val="24"/>
          <w:lang w:eastAsia="en-US" w:bidi="he-IL"/>
        </w:rPr>
        <w:t xml:space="preserve">; </w:t>
      </w:r>
    </w:p>
    <w:p w14:paraId="2BD67821" w14:textId="296B77E5" w:rsidR="0083083F" w:rsidRPr="00270E8E" w:rsidRDefault="00D26788" w:rsidP="0083083F">
      <w:pPr>
        <w:spacing w:line="360" w:lineRule="auto"/>
        <w:ind w:firstLine="1298"/>
        <w:jc w:val="both"/>
        <w:rPr>
          <w:rFonts w:eastAsia="Calibri"/>
          <w:bCs/>
          <w:szCs w:val="24"/>
          <w:lang w:eastAsia="en-US" w:bidi="he-IL"/>
        </w:rPr>
      </w:pPr>
      <w:r w:rsidRPr="00D26788">
        <w:rPr>
          <w:rFonts w:eastAsia="Calibri"/>
          <w:bCs/>
          <w:szCs w:val="24"/>
          <w:lang w:eastAsia="en-US" w:bidi="he-IL"/>
        </w:rPr>
        <w:t>Kauno</w:t>
      </w:r>
      <w:r w:rsidR="005975AF">
        <w:rPr>
          <w:rFonts w:eastAsia="Calibri"/>
          <w:bCs/>
          <w:szCs w:val="24"/>
          <w:lang w:eastAsia="en-US" w:bidi="he-IL"/>
        </w:rPr>
        <w:t xml:space="preserve"> miesto</w:t>
      </w:r>
      <w:r w:rsidRPr="00D26788">
        <w:rPr>
          <w:rFonts w:eastAsia="Calibri"/>
          <w:bCs/>
          <w:szCs w:val="24"/>
          <w:lang w:eastAsia="en-US" w:bidi="he-IL"/>
        </w:rPr>
        <w:t xml:space="preserve"> simfoninis orkestras </w:t>
      </w:r>
      <w:r w:rsidR="0083083F" w:rsidRPr="00270E8E">
        <w:rPr>
          <w:rFonts w:eastAsia="Calibri"/>
          <w:bCs/>
          <w:szCs w:val="24"/>
          <w:lang w:eastAsia="en-US" w:bidi="he-IL"/>
        </w:rPr>
        <w:t xml:space="preserve">praėjusiais </w:t>
      </w:r>
      <w:r w:rsidRPr="00D26788">
        <w:rPr>
          <w:rFonts w:eastAsia="Calibri"/>
          <w:bCs/>
          <w:szCs w:val="24"/>
          <w:lang w:eastAsia="en-US" w:bidi="he-IL"/>
        </w:rPr>
        <w:t>metais minėjo 20 metų veiklos sukaktį, įgyvendino 4 tarptautinius leidybinius projektus, dalyvavo tarptautiniuose įrašuose ir koncertuose su tokiais atlikėjais kaip Andrea Bocelli, Asmik Grigorian, Mihaela Martin, Anne-Marie McDermott, taip pat</w:t>
      </w:r>
      <w:r w:rsidR="0083083F" w:rsidRPr="00270E8E">
        <w:rPr>
          <w:rFonts w:eastAsia="Calibri"/>
          <w:bCs/>
          <w:szCs w:val="24"/>
          <w:lang w:eastAsia="en-US" w:bidi="he-IL"/>
        </w:rPr>
        <w:t>, bendradarbiaudamas su didžiausiu Europoje kultūros ir meno kanalu „ARTE“, surengė šventinių koncertų Kauno Šv. apaštalų Petro ir Povilo arkikatedroje bazilikoje</w:t>
      </w:r>
      <w:r w:rsidR="005975AF">
        <w:rPr>
          <w:rFonts w:eastAsia="Calibri"/>
          <w:bCs/>
          <w:szCs w:val="24"/>
          <w:lang w:eastAsia="en-US" w:bidi="he-IL"/>
        </w:rPr>
        <w:t xml:space="preserve"> </w:t>
      </w:r>
      <w:r w:rsidR="005975AF" w:rsidRPr="00270E8E">
        <w:rPr>
          <w:rFonts w:eastAsia="Calibri"/>
          <w:bCs/>
          <w:szCs w:val="24"/>
          <w:lang w:eastAsia="en-US" w:bidi="he-IL"/>
        </w:rPr>
        <w:t>filmavimą</w:t>
      </w:r>
      <w:r w:rsidR="0083083F" w:rsidRPr="00270E8E">
        <w:rPr>
          <w:rFonts w:eastAsia="Calibri"/>
          <w:bCs/>
          <w:szCs w:val="24"/>
          <w:lang w:eastAsia="en-US" w:bidi="he-IL"/>
        </w:rPr>
        <w:t>;</w:t>
      </w:r>
      <w:r w:rsidR="005143AB">
        <w:rPr>
          <w:rFonts w:eastAsia="Calibri"/>
          <w:bCs/>
          <w:szCs w:val="24"/>
          <w:lang w:eastAsia="en-US" w:bidi="he-IL"/>
        </w:rPr>
        <w:t xml:space="preserve"> </w:t>
      </w:r>
    </w:p>
    <w:p w14:paraId="5DE89466" w14:textId="03A964CF" w:rsidR="0083083F" w:rsidRPr="00270E8E" w:rsidRDefault="0083083F" w:rsidP="0083083F">
      <w:pPr>
        <w:spacing w:line="360" w:lineRule="auto"/>
        <w:ind w:firstLine="1298"/>
        <w:jc w:val="both"/>
        <w:rPr>
          <w:rFonts w:eastAsia="Calibri"/>
          <w:bCs/>
          <w:szCs w:val="24"/>
          <w:lang w:eastAsia="en-US" w:bidi="he-IL"/>
        </w:rPr>
      </w:pPr>
      <w:r w:rsidRPr="00270E8E">
        <w:rPr>
          <w:rFonts w:eastAsia="Calibri"/>
          <w:bCs/>
          <w:szCs w:val="24"/>
          <w:lang w:eastAsia="en-US" w:bidi="he-IL"/>
        </w:rPr>
        <w:t>k</w:t>
      </w:r>
      <w:r w:rsidR="00D26788" w:rsidRPr="00D26788">
        <w:rPr>
          <w:rFonts w:eastAsia="Calibri"/>
          <w:bCs/>
          <w:szCs w:val="24"/>
          <w:lang w:eastAsia="en-US" w:bidi="he-IL"/>
        </w:rPr>
        <w:t xml:space="preserve">oncertinė įstaiga „Kauno santaka“ </w:t>
      </w:r>
      <w:r w:rsidR="005975AF">
        <w:rPr>
          <w:rFonts w:eastAsia="Calibri"/>
          <w:bCs/>
          <w:szCs w:val="24"/>
          <w:lang w:eastAsia="en-US" w:bidi="he-IL"/>
        </w:rPr>
        <w:t xml:space="preserve">ir jos kolektyvas – </w:t>
      </w:r>
      <w:r w:rsidRPr="00270E8E">
        <w:rPr>
          <w:rFonts w:eastAsia="Calibri"/>
          <w:bCs/>
          <w:szCs w:val="24"/>
          <w:lang w:eastAsia="en-US" w:bidi="he-IL"/>
        </w:rPr>
        <w:t>pučiamųjų instrumentų orkestr</w:t>
      </w:r>
      <w:r w:rsidR="005975AF">
        <w:rPr>
          <w:rFonts w:eastAsia="Calibri"/>
          <w:bCs/>
          <w:szCs w:val="24"/>
          <w:lang w:eastAsia="en-US" w:bidi="he-IL"/>
        </w:rPr>
        <w:t>as</w:t>
      </w:r>
      <w:r w:rsidRPr="00270E8E">
        <w:rPr>
          <w:rFonts w:eastAsia="Calibri"/>
          <w:bCs/>
          <w:szCs w:val="24"/>
          <w:lang w:eastAsia="en-US" w:bidi="he-IL"/>
        </w:rPr>
        <w:t xml:space="preserve"> </w:t>
      </w:r>
      <w:r w:rsidRPr="00D26788">
        <w:rPr>
          <w:rFonts w:eastAsia="Calibri"/>
          <w:bCs/>
          <w:szCs w:val="24"/>
          <w:lang w:eastAsia="en-US" w:bidi="he-IL"/>
        </w:rPr>
        <w:t xml:space="preserve">„Ąžuolynas“ </w:t>
      </w:r>
      <w:r w:rsidR="00D26788" w:rsidRPr="00D26788">
        <w:rPr>
          <w:rFonts w:eastAsia="Calibri"/>
          <w:bCs/>
          <w:szCs w:val="24"/>
          <w:lang w:eastAsia="en-US" w:bidi="he-IL"/>
        </w:rPr>
        <w:t xml:space="preserve">surengė </w:t>
      </w:r>
      <w:r w:rsidRPr="00270E8E">
        <w:rPr>
          <w:rFonts w:eastAsia="Calibri"/>
          <w:bCs/>
          <w:szCs w:val="24"/>
          <w:lang w:eastAsia="en-US" w:bidi="he-IL"/>
        </w:rPr>
        <w:t xml:space="preserve">Jubiliejinių metų Lietuvos piligrimystės dienų </w:t>
      </w:r>
      <w:r w:rsidR="00D26788" w:rsidRPr="00D26788">
        <w:rPr>
          <w:rFonts w:eastAsia="Calibri"/>
          <w:bCs/>
          <w:szCs w:val="24"/>
          <w:lang w:eastAsia="en-US" w:bidi="he-IL"/>
        </w:rPr>
        <w:t>koncertus Romoje ir Vatikane, pristatė sakralinės muzikos programas</w:t>
      </w:r>
      <w:r w:rsidR="00F974EF" w:rsidRPr="00270E8E">
        <w:rPr>
          <w:bCs/>
        </w:rPr>
        <w:t xml:space="preserve"> </w:t>
      </w:r>
      <w:r w:rsidR="00F974EF" w:rsidRPr="00270E8E">
        <w:rPr>
          <w:rFonts w:eastAsia="Calibri"/>
          <w:bCs/>
          <w:szCs w:val="24"/>
          <w:lang w:eastAsia="en-US" w:bidi="he-IL"/>
        </w:rPr>
        <w:t>aštuoniuose koncertuose žymiose Romos ir Vatikano bazilikose</w:t>
      </w:r>
      <w:r w:rsidRPr="00270E8E">
        <w:rPr>
          <w:rFonts w:eastAsia="Calibri"/>
          <w:bCs/>
          <w:szCs w:val="24"/>
          <w:lang w:eastAsia="en-US" w:bidi="he-IL"/>
        </w:rPr>
        <w:t>;</w:t>
      </w:r>
      <w:r w:rsidR="005143AB">
        <w:rPr>
          <w:rFonts w:eastAsia="Calibri"/>
          <w:bCs/>
          <w:szCs w:val="24"/>
          <w:lang w:eastAsia="en-US" w:bidi="he-IL"/>
        </w:rPr>
        <w:t xml:space="preserve"> </w:t>
      </w:r>
    </w:p>
    <w:p w14:paraId="1F3A47F4" w14:textId="35D80776" w:rsidR="0083083F" w:rsidRPr="00270E8E" w:rsidRDefault="00D26788" w:rsidP="0083083F">
      <w:pPr>
        <w:spacing w:line="360" w:lineRule="auto"/>
        <w:ind w:firstLine="1298"/>
        <w:jc w:val="both"/>
        <w:rPr>
          <w:rFonts w:eastAsia="Calibri"/>
          <w:bCs/>
          <w:szCs w:val="24"/>
          <w:lang w:eastAsia="en-US" w:bidi="he-IL"/>
        </w:rPr>
      </w:pPr>
      <w:r w:rsidRPr="00D26788">
        <w:rPr>
          <w:rFonts w:eastAsia="Calibri"/>
          <w:bCs/>
          <w:szCs w:val="24"/>
          <w:lang w:eastAsia="en-US" w:bidi="he-IL"/>
        </w:rPr>
        <w:t>Kauno</w:t>
      </w:r>
      <w:r w:rsidR="005975AF">
        <w:rPr>
          <w:rFonts w:eastAsia="Calibri"/>
          <w:bCs/>
          <w:szCs w:val="24"/>
          <w:lang w:eastAsia="en-US" w:bidi="he-IL"/>
        </w:rPr>
        <w:t xml:space="preserve"> miesto</w:t>
      </w:r>
      <w:r w:rsidRPr="00D26788">
        <w:rPr>
          <w:rFonts w:eastAsia="Calibri"/>
          <w:bCs/>
          <w:szCs w:val="24"/>
          <w:lang w:eastAsia="en-US" w:bidi="he-IL"/>
        </w:rPr>
        <w:t xml:space="preserve"> kamerinis teatras per metus pristatė 8 naujus spektaklius, </w:t>
      </w:r>
      <w:r w:rsidR="00B20F28" w:rsidRPr="00270E8E">
        <w:rPr>
          <w:rFonts w:eastAsia="Calibri"/>
          <w:bCs/>
          <w:szCs w:val="24"/>
          <w:lang w:eastAsia="en-US" w:bidi="he-IL"/>
        </w:rPr>
        <w:t xml:space="preserve">Įgyvendino „Tūkstantmečio mokyklų“ programos projektą „Teatro metodų taikymas lietuvių kalbos, </w:t>
      </w:r>
      <w:r w:rsidR="00B20F28" w:rsidRPr="0059460C">
        <w:rPr>
          <w:rFonts w:eastAsia="Calibri"/>
          <w:bCs/>
          <w:szCs w:val="24"/>
          <w:lang w:eastAsia="en-US" w:bidi="he-IL"/>
        </w:rPr>
        <w:t xml:space="preserve">matematikos, pasaulio pažinimo pamokose“, </w:t>
      </w:r>
      <w:r w:rsidRPr="0059460C">
        <w:rPr>
          <w:rFonts w:eastAsia="Calibri"/>
          <w:bCs/>
          <w:szCs w:val="24"/>
          <w:lang w:eastAsia="en-US" w:bidi="he-IL"/>
        </w:rPr>
        <w:t>o teatro vadov</w:t>
      </w:r>
      <w:r w:rsidR="005975AF" w:rsidRPr="0059460C">
        <w:rPr>
          <w:rFonts w:eastAsia="Calibri"/>
          <w:bCs/>
          <w:szCs w:val="24"/>
          <w:lang w:eastAsia="en-US" w:bidi="he-IL"/>
        </w:rPr>
        <w:t>as</w:t>
      </w:r>
      <w:r w:rsidRPr="0059460C">
        <w:rPr>
          <w:rFonts w:eastAsia="Calibri"/>
          <w:bCs/>
          <w:szCs w:val="24"/>
          <w:lang w:eastAsia="en-US" w:bidi="he-IL"/>
        </w:rPr>
        <w:t xml:space="preserve"> aktyviai veikė tarptautin</w:t>
      </w:r>
      <w:r w:rsidR="0059460C" w:rsidRPr="0059460C">
        <w:rPr>
          <w:rFonts w:eastAsia="Calibri"/>
          <w:bCs/>
          <w:szCs w:val="24"/>
          <w:lang w:eastAsia="en-US" w:bidi="he-IL"/>
        </w:rPr>
        <w:t xml:space="preserve">ėje </w:t>
      </w:r>
      <w:r w:rsidRPr="0059460C">
        <w:rPr>
          <w:rFonts w:eastAsia="Calibri"/>
          <w:bCs/>
          <w:szCs w:val="24"/>
          <w:lang w:eastAsia="en-US" w:bidi="he-IL"/>
        </w:rPr>
        <w:t xml:space="preserve">scenos menų </w:t>
      </w:r>
      <w:r w:rsidR="0059460C" w:rsidRPr="0059460C">
        <w:rPr>
          <w:rFonts w:eastAsia="Calibri"/>
          <w:bCs/>
          <w:szCs w:val="24"/>
          <w:lang w:eastAsia="en-US" w:bidi="he-IL"/>
        </w:rPr>
        <w:t>srityje</w:t>
      </w:r>
      <w:r w:rsidR="0083083F" w:rsidRPr="0059460C">
        <w:rPr>
          <w:rFonts w:eastAsia="Calibri"/>
          <w:bCs/>
          <w:szCs w:val="24"/>
          <w:lang w:eastAsia="en-US" w:bidi="he-IL"/>
        </w:rPr>
        <w:t>;</w:t>
      </w:r>
      <w:r w:rsidR="005143AB">
        <w:rPr>
          <w:rFonts w:eastAsia="Calibri"/>
          <w:bCs/>
          <w:szCs w:val="24"/>
          <w:lang w:eastAsia="en-US" w:bidi="he-IL"/>
        </w:rPr>
        <w:t xml:space="preserve"> </w:t>
      </w:r>
    </w:p>
    <w:p w14:paraId="7782FA86" w14:textId="17A91B4B" w:rsidR="00D26788" w:rsidRPr="00270E8E" w:rsidRDefault="00D26788" w:rsidP="0083083F">
      <w:pPr>
        <w:spacing w:line="360" w:lineRule="auto"/>
        <w:ind w:firstLine="1298"/>
        <w:jc w:val="both"/>
        <w:rPr>
          <w:rFonts w:eastAsia="Calibri"/>
          <w:bCs/>
          <w:szCs w:val="24"/>
          <w:lang w:eastAsia="en-US" w:bidi="he-IL"/>
        </w:rPr>
      </w:pPr>
      <w:r w:rsidRPr="00D26788">
        <w:rPr>
          <w:rFonts w:eastAsia="Calibri"/>
          <w:bCs/>
          <w:szCs w:val="24"/>
          <w:lang w:eastAsia="en-US" w:bidi="he-IL"/>
        </w:rPr>
        <w:t>Kauno menininkų namai atnaujino renginių kalendori</w:t>
      </w:r>
      <w:r w:rsidR="00270E8E" w:rsidRPr="00270E8E">
        <w:rPr>
          <w:rFonts w:eastAsia="Calibri"/>
          <w:bCs/>
          <w:szCs w:val="24"/>
          <w:lang w:eastAsia="en-US" w:bidi="he-IL"/>
        </w:rPr>
        <w:t>aus www.kaunaspilnasrenginiu.lt formatą, funkcionalumą pritaikydamas šiuolaikinių lankytojų poreikiams</w:t>
      </w:r>
      <w:r w:rsidRPr="00D26788">
        <w:rPr>
          <w:rFonts w:eastAsia="Calibri"/>
          <w:bCs/>
          <w:szCs w:val="24"/>
          <w:lang w:eastAsia="en-US" w:bidi="he-IL"/>
        </w:rPr>
        <w:t xml:space="preserve">, </w:t>
      </w:r>
      <w:r w:rsidR="00270E8E" w:rsidRPr="00270E8E">
        <w:rPr>
          <w:rFonts w:eastAsia="Calibri"/>
          <w:bCs/>
          <w:szCs w:val="24"/>
          <w:lang w:eastAsia="en-US" w:bidi="he-IL"/>
        </w:rPr>
        <w:t xml:space="preserve">miesto publikai </w:t>
      </w:r>
      <w:r w:rsidRPr="00D26788">
        <w:rPr>
          <w:rFonts w:eastAsia="Calibri"/>
          <w:bCs/>
          <w:szCs w:val="24"/>
          <w:lang w:eastAsia="en-US" w:bidi="he-IL"/>
        </w:rPr>
        <w:t xml:space="preserve">pristatė </w:t>
      </w:r>
      <w:r w:rsidR="00270E8E" w:rsidRPr="00270E8E">
        <w:rPr>
          <w:rFonts w:eastAsia="Calibri"/>
          <w:bCs/>
          <w:szCs w:val="24"/>
          <w:lang w:eastAsia="en-US" w:bidi="he-IL"/>
        </w:rPr>
        <w:t xml:space="preserve">pripažintus </w:t>
      </w:r>
      <w:r w:rsidRPr="00D26788">
        <w:rPr>
          <w:rFonts w:eastAsia="Calibri"/>
          <w:bCs/>
          <w:szCs w:val="24"/>
          <w:lang w:eastAsia="en-US" w:bidi="he-IL"/>
        </w:rPr>
        <w:t xml:space="preserve">kūrėjus </w:t>
      </w:r>
      <w:r w:rsidR="00270E8E" w:rsidRPr="00270E8E">
        <w:rPr>
          <w:rFonts w:eastAsia="Calibri"/>
          <w:bCs/>
          <w:szCs w:val="24"/>
          <w:lang w:eastAsia="en-US" w:bidi="he-IL"/>
        </w:rPr>
        <w:t xml:space="preserve">ir menininkus </w:t>
      </w:r>
      <w:r w:rsidRPr="00D26788">
        <w:rPr>
          <w:rFonts w:eastAsia="Calibri"/>
          <w:bCs/>
          <w:szCs w:val="24"/>
          <w:lang w:eastAsia="en-US" w:bidi="he-IL"/>
        </w:rPr>
        <w:t>iš daugiau kaip 10 šalių, dalyvavo tarptautiniuose festivaliuose</w:t>
      </w:r>
      <w:r w:rsidR="00270E8E" w:rsidRPr="00270E8E">
        <w:rPr>
          <w:rFonts w:eastAsia="Calibri"/>
          <w:bCs/>
          <w:szCs w:val="24"/>
          <w:lang w:eastAsia="en-US" w:bidi="he-IL"/>
        </w:rPr>
        <w:t>, priėmė tarptautines delegacijas (iš Austrijos Kufstein</w:t>
      </w:r>
      <w:r w:rsidR="00893114">
        <w:rPr>
          <w:rFonts w:eastAsia="Calibri"/>
          <w:bCs/>
          <w:szCs w:val="24"/>
          <w:lang w:eastAsia="en-US" w:bidi="he-IL"/>
        </w:rPr>
        <w:t>o</w:t>
      </w:r>
      <w:r w:rsidR="00270E8E" w:rsidRPr="00270E8E">
        <w:rPr>
          <w:rFonts w:eastAsia="Calibri"/>
          <w:bCs/>
          <w:szCs w:val="24"/>
          <w:lang w:eastAsia="en-US" w:bidi="he-IL"/>
        </w:rPr>
        <w:t xml:space="preserve"> Tirol</w:t>
      </w:r>
      <w:r w:rsidR="00893114">
        <w:rPr>
          <w:rFonts w:eastAsia="Calibri"/>
          <w:bCs/>
          <w:szCs w:val="24"/>
          <w:lang w:eastAsia="en-US" w:bidi="he-IL"/>
        </w:rPr>
        <w:t>io</w:t>
      </w:r>
      <w:r w:rsidR="00270E8E" w:rsidRPr="00270E8E">
        <w:rPr>
          <w:rFonts w:eastAsia="Calibri"/>
          <w:bCs/>
          <w:szCs w:val="24"/>
          <w:lang w:eastAsia="en-US" w:bidi="he-IL"/>
        </w:rPr>
        <w:t xml:space="preserve"> </w:t>
      </w:r>
      <w:r w:rsidR="00893114">
        <w:rPr>
          <w:rFonts w:eastAsia="Calibri"/>
          <w:bCs/>
          <w:szCs w:val="24"/>
          <w:lang w:eastAsia="en-US" w:bidi="he-IL"/>
        </w:rPr>
        <w:t>u</w:t>
      </w:r>
      <w:r w:rsidR="00270E8E" w:rsidRPr="00270E8E">
        <w:rPr>
          <w:rFonts w:eastAsia="Calibri"/>
          <w:bCs/>
          <w:szCs w:val="24"/>
          <w:lang w:eastAsia="en-US" w:bidi="he-IL"/>
        </w:rPr>
        <w:t>niversiteto, Lenkijos Torunės savivaldybės</w:t>
      </w:r>
      <w:r w:rsidR="00893114">
        <w:rPr>
          <w:rFonts w:eastAsia="Calibri"/>
          <w:bCs/>
          <w:szCs w:val="24"/>
          <w:lang w:eastAsia="en-US" w:bidi="he-IL"/>
        </w:rPr>
        <w:t xml:space="preserve"> ir</w:t>
      </w:r>
      <w:r w:rsidR="00270E8E" w:rsidRPr="00270E8E">
        <w:rPr>
          <w:rFonts w:eastAsia="Calibri"/>
          <w:bCs/>
          <w:szCs w:val="24"/>
          <w:lang w:eastAsia="en-US" w:bidi="he-IL"/>
        </w:rPr>
        <w:t xml:space="preserve"> kt.),</w:t>
      </w:r>
      <w:r w:rsidRPr="00D26788">
        <w:rPr>
          <w:rFonts w:eastAsia="Calibri"/>
          <w:bCs/>
          <w:szCs w:val="24"/>
          <w:lang w:eastAsia="en-US" w:bidi="he-IL"/>
        </w:rPr>
        <w:t xml:space="preserve"> </w:t>
      </w:r>
      <w:r w:rsidR="00270E8E" w:rsidRPr="00270E8E">
        <w:rPr>
          <w:rFonts w:eastAsia="Calibri"/>
          <w:bCs/>
          <w:szCs w:val="24"/>
          <w:lang w:eastAsia="en-US" w:bidi="he-IL"/>
        </w:rPr>
        <w:t>tęsė lauko amfiteatro, kaip miesto kultūrinės erdvės, įveiklinimą.</w:t>
      </w:r>
      <w:r w:rsidR="005143AB">
        <w:rPr>
          <w:rFonts w:eastAsia="Calibri"/>
          <w:bCs/>
          <w:szCs w:val="24"/>
          <w:lang w:eastAsia="en-US" w:bidi="he-IL"/>
        </w:rPr>
        <w:t xml:space="preserve"> </w:t>
      </w:r>
    </w:p>
    <w:p w14:paraId="76D1ED3F" w14:textId="0069AC01" w:rsidR="00D26788" w:rsidRDefault="00D26788" w:rsidP="00D26788">
      <w:pPr>
        <w:spacing w:line="360" w:lineRule="auto"/>
        <w:ind w:firstLine="1298"/>
        <w:jc w:val="both"/>
        <w:rPr>
          <w:rFonts w:eastAsia="Calibri"/>
          <w:bCs/>
          <w:szCs w:val="24"/>
          <w:lang w:eastAsia="en-US" w:bidi="he-IL"/>
        </w:rPr>
      </w:pPr>
      <w:r w:rsidRPr="00D26788">
        <w:rPr>
          <w:rFonts w:eastAsia="Calibri"/>
          <w:bCs/>
          <w:szCs w:val="24"/>
          <w:lang w:eastAsia="en-US" w:bidi="he-IL"/>
        </w:rPr>
        <w:t xml:space="preserve">2025 metais Kauno mieste kultūra </w:t>
      </w:r>
      <w:r w:rsidR="00270E8E">
        <w:rPr>
          <w:rFonts w:eastAsia="Calibri"/>
          <w:bCs/>
          <w:szCs w:val="24"/>
          <w:lang w:eastAsia="en-US" w:bidi="he-IL"/>
        </w:rPr>
        <w:t xml:space="preserve">ir toliau </w:t>
      </w:r>
      <w:r w:rsidRPr="00D26788">
        <w:rPr>
          <w:rFonts w:eastAsia="Calibri"/>
          <w:bCs/>
          <w:szCs w:val="24"/>
          <w:lang w:eastAsia="en-US" w:bidi="he-IL"/>
        </w:rPr>
        <w:t>buvo plėtojama kaip viena svarbiausių miesto tapatybės, bendruomeniškumo, tarptautinio matomumo ir gyvenimo kokybės sričių. Gausūs miesto renginiai ir šventės, aukšto meninio lygio festivaliai ir projektai, kultūros ir meno kūrėjų apdovanojimai, aktyvi kultūros įstaigų veikla, reikšmingi jų laimėjimai, viešųjų erdvių meno plėtra, paveldotvarkos ir kultūros infrastruktūros stiprinimas bei didelė gyventojų ir lankytojų įtrauktis rodo, kad Kaunas nuosekliai stiprina savo, kaip gyvo, atviro, kūrybiško ir kultūriškai aktyvaus miesto, poziciją.</w:t>
      </w:r>
      <w:r w:rsidR="005143AB">
        <w:rPr>
          <w:rFonts w:eastAsia="Calibri"/>
          <w:bCs/>
          <w:szCs w:val="24"/>
          <w:lang w:eastAsia="en-US" w:bidi="he-IL"/>
        </w:rPr>
        <w:t xml:space="preserve"> </w:t>
      </w:r>
    </w:p>
    <w:p w14:paraId="04275052" w14:textId="3B0494A8" w:rsidR="0005649F" w:rsidRPr="005143AB" w:rsidRDefault="0005649F" w:rsidP="0005649F">
      <w:pPr>
        <w:jc w:val="center"/>
        <w:rPr>
          <w:bCs/>
        </w:rPr>
      </w:pPr>
    </w:p>
    <w:p w14:paraId="39C7C181" w14:textId="003984A4" w:rsidR="005143AB" w:rsidRPr="005143AB" w:rsidRDefault="005143AB" w:rsidP="0005649F">
      <w:pPr>
        <w:jc w:val="center"/>
        <w:rPr>
          <w:bCs/>
        </w:rPr>
      </w:pPr>
    </w:p>
    <w:p w14:paraId="39A243AC" w14:textId="6C226199" w:rsidR="005143AB" w:rsidRPr="005143AB" w:rsidRDefault="005143AB" w:rsidP="0005649F">
      <w:pPr>
        <w:jc w:val="center"/>
        <w:rPr>
          <w:bCs/>
        </w:rPr>
      </w:pPr>
    </w:p>
    <w:p w14:paraId="7E071FD7" w14:textId="79B0AC2B" w:rsidR="005143AB" w:rsidRPr="005143AB" w:rsidRDefault="005143AB" w:rsidP="0005649F">
      <w:pPr>
        <w:jc w:val="center"/>
        <w:rPr>
          <w:bCs/>
        </w:rPr>
      </w:pPr>
    </w:p>
    <w:p w14:paraId="09C9F64B" w14:textId="194C2F38" w:rsidR="005143AB" w:rsidRPr="005143AB" w:rsidRDefault="005143AB" w:rsidP="0005649F">
      <w:pPr>
        <w:jc w:val="center"/>
        <w:rPr>
          <w:bCs/>
        </w:rPr>
      </w:pPr>
    </w:p>
    <w:p w14:paraId="1ABC49B1" w14:textId="668D2808" w:rsidR="005143AB" w:rsidRPr="005143AB" w:rsidRDefault="005143AB" w:rsidP="0005649F">
      <w:pPr>
        <w:jc w:val="center"/>
        <w:rPr>
          <w:bCs/>
        </w:rPr>
      </w:pPr>
    </w:p>
    <w:p w14:paraId="50459F03" w14:textId="77777777" w:rsidR="005143AB" w:rsidRPr="005143AB" w:rsidRDefault="005143AB" w:rsidP="0005649F">
      <w:pPr>
        <w:jc w:val="center"/>
        <w:rPr>
          <w:bCs/>
        </w:rPr>
      </w:pPr>
    </w:p>
    <w:p w14:paraId="386121D3" w14:textId="7D781E17" w:rsidR="0005649F" w:rsidRPr="00C20D37" w:rsidRDefault="0005649F" w:rsidP="0059460C">
      <w:pPr>
        <w:spacing w:line="276" w:lineRule="auto"/>
        <w:jc w:val="center"/>
        <w:rPr>
          <w:b/>
          <w:bCs/>
        </w:rPr>
      </w:pPr>
      <w:r w:rsidRPr="00C20D37">
        <w:rPr>
          <w:b/>
          <w:bCs/>
        </w:rPr>
        <w:lastRenderedPageBreak/>
        <w:t xml:space="preserve">XI SKYRIUS </w:t>
      </w:r>
    </w:p>
    <w:p w14:paraId="015B69CF" w14:textId="583955E0" w:rsidR="0005649F" w:rsidRPr="00C20D37" w:rsidRDefault="0005649F" w:rsidP="0059460C">
      <w:pPr>
        <w:spacing w:line="276" w:lineRule="auto"/>
        <w:jc w:val="center"/>
        <w:rPr>
          <w:b/>
          <w:bCs/>
        </w:rPr>
      </w:pPr>
      <w:r w:rsidRPr="00F76FE1">
        <w:rPr>
          <w:b/>
          <w:bCs/>
          <w:color w:val="000000" w:themeColor="text1"/>
        </w:rPr>
        <w:t>SAVIVALDYBĖS VALDOMŲ ĮMONIŲ, KURIŲ VALDYME DALYVAUJA SAVIVALDYBĖ, PAGRINDINIAI VEIKLOS RODIKLIAI IR JŲ REIKŠMĖS, PASIEK</w:t>
      </w:r>
      <w:r w:rsidRPr="00C20D37">
        <w:rPr>
          <w:b/>
          <w:bCs/>
        </w:rPr>
        <w:t>TOS 202</w:t>
      </w:r>
      <w:r>
        <w:rPr>
          <w:b/>
          <w:bCs/>
        </w:rPr>
        <w:t>5</w:t>
      </w:r>
      <w:r w:rsidRPr="00C20D37">
        <w:rPr>
          <w:b/>
          <w:bCs/>
        </w:rPr>
        <w:t xml:space="preserve"> METAIS </w:t>
      </w:r>
    </w:p>
    <w:p w14:paraId="2AF6C89F" w14:textId="77777777" w:rsidR="0005649F" w:rsidRDefault="0005649F" w:rsidP="0005649F">
      <w:pPr>
        <w:spacing w:line="360" w:lineRule="auto"/>
      </w:pPr>
    </w:p>
    <w:p w14:paraId="587B4BDC" w14:textId="68315A59" w:rsidR="0005649F" w:rsidRDefault="0005649F" w:rsidP="0005649F">
      <w:pPr>
        <w:spacing w:line="360" w:lineRule="auto"/>
        <w:ind w:firstLine="1298"/>
        <w:jc w:val="both"/>
      </w:pPr>
      <w:r>
        <w:t xml:space="preserve">2025 m. gruodžio 31 d. </w:t>
      </w:r>
      <w:r w:rsidR="005143AB">
        <w:t>S</w:t>
      </w:r>
      <w:r>
        <w:t xml:space="preserve">avivaldybė buvo 12 įmonių akcininkė arba savininkė. Su šių juridinių asmenų 2025 metų </w:t>
      </w:r>
      <w:r w:rsidRPr="00420F52">
        <w:t>finansinių ataskaitų rinkini</w:t>
      </w:r>
      <w:r>
        <w:t xml:space="preserve">ais </w:t>
      </w:r>
      <w:r w:rsidRPr="00420F52">
        <w:t>ir vadovybės ataskait</w:t>
      </w:r>
      <w:r>
        <w:t xml:space="preserve">omis galima susipažinti </w:t>
      </w:r>
      <w:r w:rsidR="005143AB">
        <w:t>S</w:t>
      </w:r>
      <w:r>
        <w:t>avivaldybės internet</w:t>
      </w:r>
      <w:r w:rsidR="005143AB">
        <w:t>o</w:t>
      </w:r>
      <w:r>
        <w:t xml:space="preserve"> svetainėje </w:t>
      </w:r>
      <w:r w:rsidRPr="0005649F">
        <w:t>https://www.kaunas.lt/administracija/struktura-ir-kontaktine-informacija/pavaldzios-imones-ir-istaigos/</w:t>
      </w:r>
      <w:r>
        <w:t xml:space="preserve"> ir įmonių internet</w:t>
      </w:r>
      <w:r w:rsidR="005143AB">
        <w:t xml:space="preserve">o </w:t>
      </w:r>
      <w:r>
        <w:t>svetainėse.</w:t>
      </w:r>
      <w:r w:rsidR="005143AB">
        <w:t xml:space="preserve"> </w:t>
      </w:r>
    </w:p>
    <w:p w14:paraId="0D1A22EF" w14:textId="3B834D7E" w:rsidR="0005649F" w:rsidRDefault="0005649F" w:rsidP="0005649F">
      <w:pPr>
        <w:spacing w:line="360" w:lineRule="auto"/>
        <w:ind w:firstLine="1298"/>
        <w:jc w:val="both"/>
      </w:pPr>
      <w:r w:rsidRPr="0034664F">
        <w:t>Kauno miesto savivaldybė, kaip Savivaldybės valdomų įmonių akcininkė</w:t>
      </w:r>
      <w:r>
        <w:t xml:space="preserve"> </w:t>
      </w:r>
      <w:r w:rsidRPr="0034664F">
        <w:t xml:space="preserve">ar savininkė, </w:t>
      </w:r>
      <w:r>
        <w:t xml:space="preserve">pateikė bendrovėms ir </w:t>
      </w:r>
      <w:r w:rsidRPr="0034664F">
        <w:t>jų patronuojamoms bendrovėms</w:t>
      </w:r>
      <w:r>
        <w:t xml:space="preserve">, </w:t>
      </w:r>
      <w:r w:rsidRPr="0034664F">
        <w:t>savivaldybės įmonėms</w:t>
      </w:r>
      <w:r>
        <w:t xml:space="preserve"> </w:t>
      </w:r>
      <w:r w:rsidRPr="0034664F">
        <w:t>lūkesčių rašt</w:t>
      </w:r>
      <w:r>
        <w:t>us</w:t>
      </w:r>
      <w:r w:rsidRPr="0034664F">
        <w:t>,</w:t>
      </w:r>
      <w:r>
        <w:t xml:space="preserve"> kuriuose įvardinti Savivaldybės siekiami tikslai, keliami finansiniai ir nefinansiniai lūkesčiai ir jų vertinimo rodikliai. Savivaldybės valdomų įmonių </w:t>
      </w:r>
      <w:r w:rsidRPr="00542CDB">
        <w:t>2025 metų finansinių ir nefinansinių lūkesčių vertinimo rodiklių vertinim</w:t>
      </w:r>
      <w:r>
        <w:t>as pateikiamas žemiau esančiose lentelėse.</w:t>
      </w:r>
      <w:r w:rsidR="005143AB">
        <w:t xml:space="preserve"> </w:t>
      </w:r>
    </w:p>
    <w:p w14:paraId="7307C523" w14:textId="725D679E" w:rsidR="0001256D" w:rsidRDefault="0001256D" w:rsidP="00960707">
      <w:pPr>
        <w:jc w:val="center"/>
        <w:rPr>
          <w:b/>
          <w:bCs/>
        </w:rPr>
      </w:pPr>
      <w:r>
        <w:rPr>
          <w:b/>
          <w:bCs/>
        </w:rPr>
        <w:t>AB „Kauno energija“</w:t>
      </w:r>
      <w:r w:rsidRPr="00C20D37">
        <w:rPr>
          <w:b/>
          <w:bCs/>
        </w:rPr>
        <w:t xml:space="preserve"> 202</w:t>
      </w:r>
      <w:r>
        <w:rPr>
          <w:b/>
          <w:bCs/>
        </w:rPr>
        <w:t>5</w:t>
      </w:r>
      <w:r w:rsidRPr="00C20D37">
        <w:rPr>
          <w:b/>
          <w:bCs/>
        </w:rPr>
        <w:t xml:space="preserve"> metų finansinių ir nefinansinių lūkesčių vertinimo rodiklių vertinimas</w:t>
      </w:r>
      <w:r w:rsidR="005143AB">
        <w:rPr>
          <w:b/>
          <w:bCs/>
        </w:rPr>
        <w:t xml:space="preserve"> </w:t>
      </w:r>
    </w:p>
    <w:p w14:paraId="6DF68DF9" w14:textId="77777777" w:rsidR="00960707" w:rsidRPr="00960707" w:rsidRDefault="00960707" w:rsidP="00960707">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827"/>
        <w:gridCol w:w="1289"/>
        <w:gridCol w:w="1309"/>
        <w:gridCol w:w="3511"/>
      </w:tblGrid>
      <w:tr w:rsidR="0001256D" w:rsidRPr="00C20D37" w14:paraId="4F3AF40F" w14:textId="77777777" w:rsidTr="00E9250B">
        <w:trPr>
          <w:trHeight w:val="1260"/>
          <w:tblHeader/>
        </w:trPr>
        <w:tc>
          <w:tcPr>
            <w:tcW w:w="557" w:type="dxa"/>
            <w:vAlign w:val="center"/>
            <w:hideMark/>
          </w:tcPr>
          <w:p w14:paraId="0C22D038" w14:textId="77777777" w:rsidR="0001256D" w:rsidRPr="00C20D37" w:rsidRDefault="0001256D" w:rsidP="00E9250B">
            <w:pPr>
              <w:jc w:val="center"/>
            </w:pPr>
            <w:r w:rsidRPr="00C20D37">
              <w:t>Eil. Nr.</w:t>
            </w:r>
          </w:p>
        </w:tc>
        <w:tc>
          <w:tcPr>
            <w:tcW w:w="2827" w:type="dxa"/>
            <w:vAlign w:val="center"/>
            <w:hideMark/>
          </w:tcPr>
          <w:p w14:paraId="2E9ABB9A" w14:textId="77777777" w:rsidR="0001256D" w:rsidRPr="00C20D37" w:rsidRDefault="0001256D" w:rsidP="00E9250B">
            <w:pPr>
              <w:jc w:val="center"/>
            </w:pPr>
            <w:r w:rsidRPr="00C20D37">
              <w:t>Rodiklis (pavadinimas, skaičiavimo būdas, mato vien</w:t>
            </w:r>
            <w:r>
              <w:t>e</w:t>
            </w:r>
            <w:r w:rsidRPr="00C20D37">
              <w:t>tas)</w:t>
            </w:r>
          </w:p>
        </w:tc>
        <w:tc>
          <w:tcPr>
            <w:tcW w:w="1289" w:type="dxa"/>
            <w:vAlign w:val="center"/>
            <w:hideMark/>
          </w:tcPr>
          <w:p w14:paraId="011BD2D3" w14:textId="77777777" w:rsidR="0001256D" w:rsidRPr="00C20D37" w:rsidRDefault="0001256D" w:rsidP="00E9250B">
            <w:pPr>
              <w:jc w:val="center"/>
            </w:pPr>
            <w:r w:rsidRPr="00C20D37">
              <w:t>202</w:t>
            </w:r>
            <w:r>
              <w:t>5</w:t>
            </w:r>
            <w:r w:rsidRPr="00C20D37">
              <w:t xml:space="preserve"> m. planuota rodiklio reikšmė</w:t>
            </w:r>
          </w:p>
        </w:tc>
        <w:tc>
          <w:tcPr>
            <w:tcW w:w="1309" w:type="dxa"/>
            <w:vAlign w:val="center"/>
            <w:hideMark/>
          </w:tcPr>
          <w:p w14:paraId="23738DE5" w14:textId="77777777" w:rsidR="0001256D" w:rsidRPr="00C20D37" w:rsidRDefault="0001256D" w:rsidP="00E9250B">
            <w:pPr>
              <w:jc w:val="center"/>
            </w:pPr>
            <w:r w:rsidRPr="00C20D37">
              <w:t>202</w:t>
            </w:r>
            <w:r>
              <w:t>5</w:t>
            </w:r>
            <w:r w:rsidRPr="00C20D37">
              <w:t xml:space="preserve"> m. pasiekta rodiklio reikšmė</w:t>
            </w:r>
          </w:p>
        </w:tc>
        <w:tc>
          <w:tcPr>
            <w:tcW w:w="3511" w:type="dxa"/>
            <w:vAlign w:val="center"/>
            <w:hideMark/>
          </w:tcPr>
          <w:p w14:paraId="2317483C" w14:textId="77777777" w:rsidR="0001256D" w:rsidRPr="00C20D37" w:rsidRDefault="0001256D" w:rsidP="00E9250B">
            <w:pPr>
              <w:jc w:val="center"/>
            </w:pPr>
            <w:r w:rsidRPr="00C20D37">
              <w:t>Informacija apie vykdymą</w:t>
            </w:r>
          </w:p>
        </w:tc>
      </w:tr>
      <w:tr w:rsidR="0001256D" w:rsidRPr="00C20D37" w14:paraId="7600B2B5" w14:textId="77777777" w:rsidTr="00E9250B">
        <w:trPr>
          <w:trHeight w:val="405"/>
        </w:trPr>
        <w:tc>
          <w:tcPr>
            <w:tcW w:w="9493" w:type="dxa"/>
            <w:gridSpan w:val="5"/>
            <w:vAlign w:val="center"/>
            <w:hideMark/>
          </w:tcPr>
          <w:p w14:paraId="23B1C5DF" w14:textId="4A676BF3" w:rsidR="0001256D" w:rsidRPr="00C20D37" w:rsidRDefault="0001256D" w:rsidP="005143AB">
            <w:r w:rsidRPr="00C20D37">
              <w:rPr>
                <w:b/>
                <w:bCs/>
              </w:rPr>
              <w:t>Nefinansinių lūkesčių vertinimo rodikliai:</w:t>
            </w:r>
            <w:r w:rsidR="005143AB">
              <w:rPr>
                <w:b/>
                <w:bCs/>
              </w:rPr>
              <w:t xml:space="preserve"> </w:t>
            </w:r>
          </w:p>
        </w:tc>
      </w:tr>
      <w:tr w:rsidR="0001256D" w:rsidRPr="00C20D37" w14:paraId="3B87D977" w14:textId="77777777" w:rsidTr="00E9250B">
        <w:trPr>
          <w:trHeight w:val="2070"/>
        </w:trPr>
        <w:tc>
          <w:tcPr>
            <w:tcW w:w="557" w:type="dxa"/>
            <w:hideMark/>
          </w:tcPr>
          <w:p w14:paraId="13D4BA86" w14:textId="77621E64" w:rsidR="0001256D" w:rsidRPr="00C20D37" w:rsidRDefault="0001256D" w:rsidP="00E9250B">
            <w:pPr>
              <w:jc w:val="center"/>
            </w:pPr>
            <w:r w:rsidRPr="00C20D37">
              <w:t>1</w:t>
            </w:r>
            <w:r w:rsidR="005143AB">
              <w:t>.</w:t>
            </w:r>
          </w:p>
        </w:tc>
        <w:tc>
          <w:tcPr>
            <w:tcW w:w="2827" w:type="dxa"/>
            <w:shd w:val="clear" w:color="000000" w:fill="FFFFFF"/>
            <w:hideMark/>
          </w:tcPr>
          <w:p w14:paraId="63046864" w14:textId="77777777" w:rsidR="0001256D" w:rsidRPr="00C20D37" w:rsidRDefault="0001256D" w:rsidP="00E9250B">
            <w:r w:rsidRPr="00C20D37">
              <w:t>Prisijungusių prie centralizuotos šilumos tinklų vartotojų (fizinių ir juridinių asmenų) santykis su visais turinčiais galimybę prisijungti prie šių tinklų, proc.</w:t>
            </w:r>
          </w:p>
        </w:tc>
        <w:tc>
          <w:tcPr>
            <w:tcW w:w="1289" w:type="dxa"/>
            <w:shd w:val="clear" w:color="000000" w:fill="FFFFFF"/>
          </w:tcPr>
          <w:p w14:paraId="3B25A9A2" w14:textId="77777777" w:rsidR="0001256D" w:rsidRPr="00C20D37" w:rsidRDefault="0001256D" w:rsidP="00E9250B">
            <w:pPr>
              <w:jc w:val="center"/>
            </w:pPr>
            <w:r w:rsidRPr="00E02399">
              <w:t>96,5</w:t>
            </w:r>
            <w:r>
              <w:t>0</w:t>
            </w:r>
          </w:p>
        </w:tc>
        <w:tc>
          <w:tcPr>
            <w:tcW w:w="1309" w:type="dxa"/>
            <w:shd w:val="clear" w:color="000000" w:fill="FFFFFF"/>
          </w:tcPr>
          <w:p w14:paraId="2EE97582" w14:textId="77777777" w:rsidR="0001256D" w:rsidRPr="00C20D37" w:rsidRDefault="0001256D" w:rsidP="00E9250B">
            <w:pPr>
              <w:jc w:val="center"/>
            </w:pPr>
            <w:r w:rsidRPr="00E02399">
              <w:t>96,5</w:t>
            </w:r>
            <w:r>
              <w:t>0</w:t>
            </w:r>
          </w:p>
        </w:tc>
        <w:tc>
          <w:tcPr>
            <w:tcW w:w="3511" w:type="dxa"/>
            <w:noWrap/>
          </w:tcPr>
          <w:p w14:paraId="4D4DC4E8" w14:textId="77777777" w:rsidR="0001256D" w:rsidRPr="00C20D37" w:rsidRDefault="0001256D" w:rsidP="00E9250B"/>
        </w:tc>
      </w:tr>
      <w:tr w:rsidR="0001256D" w:rsidRPr="00C20D37" w14:paraId="2F693732" w14:textId="77777777" w:rsidTr="00E9250B">
        <w:trPr>
          <w:trHeight w:val="820"/>
        </w:trPr>
        <w:tc>
          <w:tcPr>
            <w:tcW w:w="557" w:type="dxa"/>
            <w:hideMark/>
          </w:tcPr>
          <w:p w14:paraId="65AE7442" w14:textId="711343D5" w:rsidR="0001256D" w:rsidRPr="00C20D37" w:rsidRDefault="0001256D" w:rsidP="00E9250B">
            <w:pPr>
              <w:jc w:val="center"/>
            </w:pPr>
            <w:r w:rsidRPr="00C20D37">
              <w:t>2</w:t>
            </w:r>
            <w:r w:rsidR="005143AB">
              <w:t>.</w:t>
            </w:r>
          </w:p>
        </w:tc>
        <w:tc>
          <w:tcPr>
            <w:tcW w:w="2827" w:type="dxa"/>
            <w:shd w:val="clear" w:color="000000" w:fill="FFFFFF"/>
            <w:hideMark/>
          </w:tcPr>
          <w:p w14:paraId="70AEF37F" w14:textId="77777777" w:rsidR="0001256D" w:rsidRPr="00C20D37" w:rsidRDefault="0001256D" w:rsidP="00E9250B">
            <w:r w:rsidRPr="00C20D37">
              <w:t>Perdavimo sistemos šilumos nuostoliai, GWh</w:t>
            </w:r>
          </w:p>
        </w:tc>
        <w:tc>
          <w:tcPr>
            <w:tcW w:w="1289" w:type="dxa"/>
            <w:shd w:val="clear" w:color="000000" w:fill="FFFFFF"/>
          </w:tcPr>
          <w:p w14:paraId="02C04215" w14:textId="64CCE66F" w:rsidR="0001256D" w:rsidRPr="00C20D37" w:rsidRDefault="0001256D" w:rsidP="0059460C">
            <w:pPr>
              <w:jc w:val="center"/>
            </w:pPr>
            <w:r w:rsidRPr="00786085">
              <w:t>200</w:t>
            </w:r>
            <w:r w:rsidR="0059460C">
              <w:t xml:space="preserve"> </w:t>
            </w:r>
          </w:p>
        </w:tc>
        <w:tc>
          <w:tcPr>
            <w:tcW w:w="1309" w:type="dxa"/>
          </w:tcPr>
          <w:p w14:paraId="24B3C552" w14:textId="77777777" w:rsidR="0001256D" w:rsidRPr="00C20D37" w:rsidRDefault="0001256D" w:rsidP="00E9250B">
            <w:pPr>
              <w:jc w:val="center"/>
            </w:pPr>
            <w:r w:rsidRPr="00786085">
              <w:t>215,27</w:t>
            </w:r>
          </w:p>
        </w:tc>
        <w:tc>
          <w:tcPr>
            <w:tcW w:w="3511" w:type="dxa"/>
          </w:tcPr>
          <w:p w14:paraId="3103424A" w14:textId="77777777" w:rsidR="005143AB" w:rsidRDefault="0001256D" w:rsidP="005143AB">
            <w:r w:rsidRPr="00786085">
              <w:t>Perdavimo šilumos nuostolių padidėjimą</w:t>
            </w:r>
            <w:r w:rsidR="005143AB">
              <w:t xml:space="preserve"> palyginti su </w:t>
            </w:r>
          </w:p>
          <w:p w14:paraId="696552F8" w14:textId="77777777" w:rsidR="005143AB" w:rsidRDefault="0001256D" w:rsidP="005143AB">
            <w:r w:rsidRPr="00786085">
              <w:t xml:space="preserve">2024 metais ir planiniu </w:t>
            </w:r>
          </w:p>
          <w:p w14:paraId="1A0CDCF2" w14:textId="77777777" w:rsidR="005143AB" w:rsidRDefault="0001256D" w:rsidP="005143AB">
            <w:r w:rsidRPr="00786085">
              <w:t xml:space="preserve">2025 metų rodikliu, lėmė </w:t>
            </w:r>
          </w:p>
          <w:p w14:paraId="1FA59C48" w14:textId="6BD42A49" w:rsidR="0001256D" w:rsidRPr="00C20D37" w:rsidRDefault="0001256D" w:rsidP="005143AB">
            <w:r w:rsidRPr="00786085">
              <w:t xml:space="preserve">2025 metais vykdyta 5,1 km šilumos tinklų plėtra, nepalankesnės meteorologinės sąlygos bei nuo 2025 metų vasaros „karštame“ rezerve laikomos magistralinės trasos, jungiančios </w:t>
            </w:r>
            <w:r w:rsidRPr="005143AB">
              <w:t>pikinius</w:t>
            </w:r>
            <w:r w:rsidRPr="00786085">
              <w:t xml:space="preserve"> ir rezervinius šilumos gamybos pajėgumus, </w:t>
            </w:r>
            <w:r w:rsidR="005143AB">
              <w:t xml:space="preserve">tai </w:t>
            </w:r>
            <w:r w:rsidRPr="00786085">
              <w:t>buvo būtina šilumos tiekimo tinklo patikimumui užtikrinti</w:t>
            </w:r>
          </w:p>
        </w:tc>
      </w:tr>
      <w:tr w:rsidR="0001256D" w:rsidRPr="00C20D37" w14:paraId="74E76C3D" w14:textId="77777777" w:rsidTr="00E9250B">
        <w:trPr>
          <w:trHeight w:val="1566"/>
        </w:trPr>
        <w:tc>
          <w:tcPr>
            <w:tcW w:w="557" w:type="dxa"/>
            <w:hideMark/>
          </w:tcPr>
          <w:p w14:paraId="7277461D" w14:textId="61CD4E36" w:rsidR="0001256D" w:rsidRPr="00C20D37" w:rsidRDefault="0001256D" w:rsidP="00E9250B">
            <w:pPr>
              <w:jc w:val="center"/>
            </w:pPr>
            <w:r w:rsidRPr="00C20D37">
              <w:lastRenderedPageBreak/>
              <w:t>3</w:t>
            </w:r>
            <w:r w:rsidR="005143AB">
              <w:t>.</w:t>
            </w:r>
          </w:p>
        </w:tc>
        <w:tc>
          <w:tcPr>
            <w:tcW w:w="2827" w:type="dxa"/>
            <w:shd w:val="clear" w:color="000000" w:fill="FFFFFF"/>
            <w:hideMark/>
          </w:tcPr>
          <w:p w14:paraId="64C9B547" w14:textId="77777777" w:rsidR="0001256D" w:rsidRPr="00C20D37" w:rsidRDefault="0001256D" w:rsidP="00E9250B">
            <w:r w:rsidRPr="00C20D37">
              <w:t>Elektros energijos gamybos savoms reikmėms dalis bendrame elektros energijos balanse, proc.</w:t>
            </w:r>
          </w:p>
        </w:tc>
        <w:tc>
          <w:tcPr>
            <w:tcW w:w="1289" w:type="dxa"/>
            <w:shd w:val="clear" w:color="000000" w:fill="FFFFFF"/>
          </w:tcPr>
          <w:p w14:paraId="293C509E" w14:textId="422B8737" w:rsidR="0001256D" w:rsidRPr="00C20D37" w:rsidRDefault="0001256D" w:rsidP="0059460C">
            <w:pPr>
              <w:jc w:val="center"/>
            </w:pPr>
            <w:r w:rsidRPr="00204712">
              <w:t>82</w:t>
            </w:r>
            <w:r w:rsidR="0059460C">
              <w:t xml:space="preserve"> </w:t>
            </w:r>
          </w:p>
        </w:tc>
        <w:tc>
          <w:tcPr>
            <w:tcW w:w="1309" w:type="dxa"/>
            <w:shd w:val="clear" w:color="000000" w:fill="FFFFFF"/>
          </w:tcPr>
          <w:p w14:paraId="09ED7F7D" w14:textId="77777777" w:rsidR="0001256D" w:rsidRPr="00C20D37" w:rsidRDefault="0001256D" w:rsidP="00E9250B">
            <w:pPr>
              <w:jc w:val="center"/>
            </w:pPr>
            <w:r w:rsidRPr="00204712">
              <w:t>42,6</w:t>
            </w:r>
            <w:r>
              <w:t>0</w:t>
            </w:r>
          </w:p>
        </w:tc>
        <w:tc>
          <w:tcPr>
            <w:tcW w:w="3511" w:type="dxa"/>
          </w:tcPr>
          <w:p w14:paraId="774099D3" w14:textId="77777777" w:rsidR="0001256D" w:rsidRPr="00D35E96" w:rsidRDefault="0001256D" w:rsidP="00E9250B">
            <w:r w:rsidRPr="00D35E96">
              <w:t>Šiuo metu AB „Kauno energija“ turi veikiančius 2,4 MW bendros instaliuotos galios saulės elektrinių pajėgumus. Didinti saulės elektrinių pajėgumų skaičių šiuo metu nėra techninių galimybių, kadangi bendrovės valdomuose objektuose arba nėra vietos kur montuoti saulės elektrines (nėra laisvų stogų ar žemės sklypų), arba nėra galimybės prijungti naujų elektros energijos generatorių prie ESO tinklo, kadangi skirstomajame tinkle nėra laisvų prijungimo kvotų.</w:t>
            </w:r>
          </w:p>
          <w:p w14:paraId="1C0A55AC" w14:textId="77777777" w:rsidR="005143AB" w:rsidRDefault="0001256D" w:rsidP="00E9250B">
            <w:r w:rsidRPr="00D35E96">
              <w:t xml:space="preserve">Bendrovės strategijoje iki </w:t>
            </w:r>
          </w:p>
          <w:p w14:paraId="045A356F" w14:textId="303929EE" w:rsidR="0001256D" w:rsidRDefault="0001256D" w:rsidP="00E9250B">
            <w:r w:rsidRPr="00D35E96">
              <w:t xml:space="preserve">2026 m. buvo numatyti diegti ORC turbinų elektros energijos generavimo pajėgumai. Šiuo metu yra instaliuota, ir nuo </w:t>
            </w:r>
          </w:p>
          <w:p w14:paraId="13C08785" w14:textId="69F11525" w:rsidR="0001256D" w:rsidRPr="00D35E96" w:rsidRDefault="0001256D" w:rsidP="00E9250B">
            <w:r w:rsidRPr="00D35E96">
              <w:t>2024 m. gruodžio mėn. veikia, viena 450 kW galios ORC turbina Petrašiūnų elektrinėje. Projektas buvo įgyvendintas su parama.</w:t>
            </w:r>
            <w:r w:rsidR="005143AB">
              <w:t xml:space="preserve"> </w:t>
            </w:r>
          </w:p>
          <w:p w14:paraId="5C1BA287" w14:textId="46A1CB08" w:rsidR="0001256D" w:rsidRPr="00D35E96" w:rsidRDefault="0001256D" w:rsidP="00E9250B">
            <w:r w:rsidRPr="00D35E96">
              <w:t>Yra paskaičiuota, kad aukščiau paminėti nuosavos elektros energijos gamybos pajėgumai per metus turėtų sugeneruoti apie 3,9 GWh el. energijos, kas sudarytų apie 26 proc. bendrovės el. energijos poreikio.</w:t>
            </w:r>
            <w:r w:rsidR="005143AB">
              <w:t xml:space="preserve"> </w:t>
            </w:r>
          </w:p>
          <w:p w14:paraId="278A69CD" w14:textId="77777777" w:rsidR="005143AB" w:rsidRDefault="0001256D" w:rsidP="00E9250B">
            <w:r w:rsidRPr="00D35E96">
              <w:t xml:space="preserve">Kadangi nuosavų el. energijos generavimo pajėgumų diegimas stipriai priklauso nuo išorinių sąlygų (prijungimo kvotos </w:t>
            </w:r>
          </w:p>
          <w:p w14:paraId="2B36EB23" w14:textId="5E20E89B" w:rsidR="0001256D" w:rsidRPr="00C20D37" w:rsidRDefault="0001256D" w:rsidP="00893114">
            <w:r w:rsidRPr="00D35E96">
              <w:t>ESO tinkle, pakankamos paramos technologij</w:t>
            </w:r>
            <w:r w:rsidR="005143AB">
              <w:t>oms</w:t>
            </w:r>
            <w:r w:rsidRPr="00D35E96">
              <w:t xml:space="preserve"> dieg</w:t>
            </w:r>
            <w:r w:rsidR="005143AB">
              <w:t xml:space="preserve">ti </w:t>
            </w:r>
            <w:r w:rsidRPr="00D35E96">
              <w:t>buvimas</w:t>
            </w:r>
            <w:r w:rsidR="005143AB">
              <w:t xml:space="preserve"> </w:t>
            </w:r>
            <w:r w:rsidRPr="00D35E96">
              <w:t>/</w:t>
            </w:r>
            <w:r w:rsidR="005143AB">
              <w:t xml:space="preserve"> </w:t>
            </w:r>
            <w:r w:rsidRPr="00D35E96">
              <w:t>nebuvimas ir kt.) ir trunka ilgai, siekdama padidinti pasigaminamos el. energijos iš AEI kiekį iki 80</w:t>
            </w:r>
            <w:r w:rsidR="005143AB">
              <w:t>–</w:t>
            </w:r>
            <w:r w:rsidRPr="00D35E96">
              <w:t>90 proc. savo poreikio, sekdama gerais pramonės įmonių pavyzdžiais, bendrovė išsinuomojo 2,2</w:t>
            </w:r>
            <w:r w:rsidR="005143AB">
              <w:t> </w:t>
            </w:r>
            <w:r w:rsidRPr="00D35E96">
              <w:t xml:space="preserve">MW </w:t>
            </w:r>
            <w:r w:rsidRPr="00D35E96">
              <w:lastRenderedPageBreak/>
              <w:t>galios vėjo parkus. Vėjo parkai elektros energiją generuoja ir elektros energiją</w:t>
            </w:r>
            <w:r w:rsidR="00893114" w:rsidRPr="00D35E96">
              <w:t xml:space="preserve"> nuo 2025</w:t>
            </w:r>
            <w:r w:rsidR="00893114">
              <w:t> </w:t>
            </w:r>
            <w:r w:rsidR="00893114" w:rsidRPr="00D35E96">
              <w:t>m. spalio 1 d.</w:t>
            </w:r>
            <w:r w:rsidR="00893114">
              <w:t xml:space="preserve"> </w:t>
            </w:r>
            <w:r w:rsidRPr="00D35E96">
              <w:t xml:space="preserve">tiekia bendrovei pagal gaminančio vartotojo schemą </w:t>
            </w:r>
          </w:p>
        </w:tc>
      </w:tr>
      <w:tr w:rsidR="0001256D" w:rsidRPr="00C20D37" w14:paraId="4B4D4F40" w14:textId="77777777" w:rsidTr="00E9250B">
        <w:trPr>
          <w:trHeight w:val="8775"/>
        </w:trPr>
        <w:tc>
          <w:tcPr>
            <w:tcW w:w="557" w:type="dxa"/>
            <w:hideMark/>
          </w:tcPr>
          <w:p w14:paraId="6D3047C9" w14:textId="4B26F9BA" w:rsidR="0001256D" w:rsidRPr="00C20D37" w:rsidRDefault="0001256D" w:rsidP="00E9250B">
            <w:pPr>
              <w:jc w:val="center"/>
            </w:pPr>
            <w:r w:rsidRPr="00C20D37">
              <w:lastRenderedPageBreak/>
              <w:t>4</w:t>
            </w:r>
            <w:r w:rsidR="005143AB">
              <w:t>.</w:t>
            </w:r>
          </w:p>
        </w:tc>
        <w:tc>
          <w:tcPr>
            <w:tcW w:w="2827" w:type="dxa"/>
            <w:shd w:val="clear" w:color="000000" w:fill="FFFFFF"/>
            <w:hideMark/>
          </w:tcPr>
          <w:p w14:paraId="296039A0" w14:textId="77777777" w:rsidR="005143AB" w:rsidRDefault="0001256D" w:rsidP="00E9250B">
            <w:pPr>
              <w:rPr>
                <w:szCs w:val="24"/>
              </w:rPr>
            </w:pPr>
            <w:r w:rsidRPr="008070DD">
              <w:rPr>
                <w:szCs w:val="24"/>
              </w:rPr>
              <w:t>Daugiabučių namų, kurių gyventojų karšto vandens tiekėja tapo Bendrovė, skaičius*, vnt.</w:t>
            </w:r>
            <w:r w:rsidR="005143AB">
              <w:rPr>
                <w:szCs w:val="24"/>
              </w:rPr>
              <w:t xml:space="preserve"> </w:t>
            </w:r>
          </w:p>
          <w:p w14:paraId="21F97185" w14:textId="77777777" w:rsidR="005143AB" w:rsidRDefault="0001256D" w:rsidP="00E9250B">
            <w:pPr>
              <w:rPr>
                <w:sz w:val="22"/>
                <w:szCs w:val="22"/>
              </w:rPr>
            </w:pPr>
            <w:r w:rsidRPr="00487B0F">
              <w:rPr>
                <w:sz w:val="22"/>
                <w:szCs w:val="22"/>
              </w:rPr>
              <w:t xml:space="preserve">Į šį skaičių įeina šie daugiabučiai namai: </w:t>
            </w:r>
          </w:p>
          <w:p w14:paraId="1C3FD445" w14:textId="1FCAB553" w:rsidR="005143AB" w:rsidRDefault="0001256D" w:rsidP="00E9250B">
            <w:pPr>
              <w:rPr>
                <w:sz w:val="22"/>
                <w:szCs w:val="22"/>
              </w:rPr>
            </w:pPr>
            <w:r w:rsidRPr="00487B0F">
              <w:rPr>
                <w:sz w:val="22"/>
                <w:szCs w:val="22"/>
              </w:rPr>
              <w:t>kurių gyventojai Lietuvos Respublikos šilumos ūkio įstatymo nustatyta tvarka pasirinko aprūpinimo karštu vandeniu būdą (centralizuotai paruošto karšto vandens arba šilumos karštam vandeniui ruošti pirkimas iš AB</w:t>
            </w:r>
            <w:r w:rsidR="005143AB">
              <w:rPr>
                <w:sz w:val="22"/>
                <w:szCs w:val="22"/>
              </w:rPr>
              <w:t xml:space="preserve"> </w:t>
            </w:r>
            <w:r w:rsidRPr="00487B0F">
              <w:rPr>
                <w:sz w:val="22"/>
                <w:szCs w:val="22"/>
              </w:rPr>
              <w:t xml:space="preserve">„Kauno energija“, kaip karšto vandens arba šilumos tiekėjo) ir šį pasirinkimą įformino teisės aktų nustatyta tvarka; </w:t>
            </w:r>
          </w:p>
          <w:p w14:paraId="6AD01956" w14:textId="77777777" w:rsidR="005143AB" w:rsidRDefault="0001256D" w:rsidP="00E9250B">
            <w:pPr>
              <w:rPr>
                <w:sz w:val="22"/>
                <w:szCs w:val="22"/>
              </w:rPr>
            </w:pPr>
            <w:r w:rsidRPr="00487B0F">
              <w:rPr>
                <w:sz w:val="22"/>
                <w:szCs w:val="22"/>
              </w:rPr>
              <w:t xml:space="preserve">kurių gyventojai Šilumos ūkio įstatymo nustatyta tvarka ir terminais nepasirinko apsirūpinimo karštu vandeniu būdo arba karšto vandens tiekėjo; </w:t>
            </w:r>
          </w:p>
          <w:p w14:paraId="703ECBF3" w14:textId="79BBAB8C" w:rsidR="0001256D" w:rsidRPr="00487B0F" w:rsidRDefault="0001256D" w:rsidP="00E9250B">
            <w:pPr>
              <w:rPr>
                <w:sz w:val="22"/>
                <w:szCs w:val="22"/>
              </w:rPr>
            </w:pPr>
            <w:r w:rsidRPr="00487B0F">
              <w:rPr>
                <w:sz w:val="22"/>
                <w:szCs w:val="22"/>
              </w:rPr>
              <w:t>kurių gyventojai Šilumos ūkio įstatymo nustatyta tvarka pasirinko apsirūpinimo karštu vandeniu būdą, bet jo tinkamai neįgyvendino pagal galiojusių teisės aktų reikalavimus</w:t>
            </w:r>
          </w:p>
        </w:tc>
        <w:tc>
          <w:tcPr>
            <w:tcW w:w="1289" w:type="dxa"/>
            <w:shd w:val="clear" w:color="000000" w:fill="FFFFFF"/>
          </w:tcPr>
          <w:p w14:paraId="342312B4" w14:textId="77777777" w:rsidR="0001256D" w:rsidRPr="00C20D37" w:rsidRDefault="0001256D" w:rsidP="00E9250B">
            <w:pPr>
              <w:jc w:val="center"/>
            </w:pPr>
            <w:r w:rsidRPr="00662A38">
              <w:t>150</w:t>
            </w:r>
          </w:p>
        </w:tc>
        <w:tc>
          <w:tcPr>
            <w:tcW w:w="1309" w:type="dxa"/>
            <w:shd w:val="clear" w:color="000000" w:fill="FFFFFF"/>
          </w:tcPr>
          <w:p w14:paraId="40914CBF" w14:textId="77777777" w:rsidR="0001256D" w:rsidRPr="00C20D37" w:rsidRDefault="0001256D" w:rsidP="00E9250B">
            <w:pPr>
              <w:jc w:val="center"/>
            </w:pPr>
            <w:r w:rsidRPr="00662A38">
              <w:t>239</w:t>
            </w:r>
          </w:p>
        </w:tc>
        <w:tc>
          <w:tcPr>
            <w:tcW w:w="3511" w:type="dxa"/>
            <w:noWrap/>
            <w:hideMark/>
          </w:tcPr>
          <w:p w14:paraId="213A0E8F" w14:textId="77777777" w:rsidR="0001256D" w:rsidRPr="00C20D37" w:rsidRDefault="0001256D" w:rsidP="00E9250B">
            <w:r w:rsidRPr="00C20D37">
              <w:t> </w:t>
            </w:r>
          </w:p>
        </w:tc>
      </w:tr>
      <w:tr w:rsidR="0001256D" w:rsidRPr="00C20D37" w14:paraId="6E2B13AF" w14:textId="77777777" w:rsidTr="00E9250B">
        <w:trPr>
          <w:trHeight w:val="432"/>
        </w:trPr>
        <w:tc>
          <w:tcPr>
            <w:tcW w:w="9493" w:type="dxa"/>
            <w:gridSpan w:val="5"/>
            <w:hideMark/>
          </w:tcPr>
          <w:p w14:paraId="6FE63924" w14:textId="77777777" w:rsidR="0001256D" w:rsidRPr="007B2868" w:rsidRDefault="0001256D" w:rsidP="00E9250B">
            <w:pPr>
              <w:rPr>
                <w:b/>
                <w:bCs/>
              </w:rPr>
            </w:pPr>
            <w:r w:rsidRPr="007B2868">
              <w:rPr>
                <w:b/>
                <w:bCs/>
              </w:rPr>
              <w:t>Finansinių lūkesčių vertinimo rodikliai:</w:t>
            </w:r>
            <w:r w:rsidRPr="007B2868">
              <w:t> </w:t>
            </w:r>
          </w:p>
        </w:tc>
      </w:tr>
      <w:tr w:rsidR="0001256D" w:rsidRPr="00C20D37" w14:paraId="7AB305D4" w14:textId="77777777" w:rsidTr="00E9250B">
        <w:trPr>
          <w:trHeight w:val="945"/>
        </w:trPr>
        <w:tc>
          <w:tcPr>
            <w:tcW w:w="557" w:type="dxa"/>
            <w:shd w:val="clear" w:color="000000" w:fill="FFFFFF"/>
            <w:hideMark/>
          </w:tcPr>
          <w:p w14:paraId="059F194A" w14:textId="42217D2C" w:rsidR="0001256D" w:rsidRPr="00C20D37" w:rsidRDefault="00901D17" w:rsidP="00E9250B">
            <w:pPr>
              <w:jc w:val="center"/>
            </w:pPr>
            <w:r>
              <w:t>5.</w:t>
            </w:r>
          </w:p>
        </w:tc>
        <w:tc>
          <w:tcPr>
            <w:tcW w:w="2827" w:type="dxa"/>
            <w:shd w:val="clear" w:color="000000" w:fill="FFFFFF"/>
            <w:hideMark/>
          </w:tcPr>
          <w:p w14:paraId="4399D0F9" w14:textId="77777777" w:rsidR="0001256D" w:rsidRPr="00C20D37" w:rsidRDefault="0001256D" w:rsidP="00E9250B">
            <w:r w:rsidRPr="00C20D37">
              <w:t>EBITDA marža, proc.</w:t>
            </w:r>
            <w:r w:rsidRPr="00C20D37">
              <w:br/>
            </w:r>
            <w:r w:rsidRPr="00C20D37">
              <w:rPr>
                <w:i/>
                <w:iCs/>
              </w:rPr>
              <w:t>((EBIT+Nusidėvėjimo ir amortizacijos sąnaudos)/pardavimo pajamos) x 100</w:t>
            </w:r>
            <w:r>
              <w:rPr>
                <w:i/>
                <w:iCs/>
              </w:rPr>
              <w:t>)</w:t>
            </w:r>
          </w:p>
        </w:tc>
        <w:tc>
          <w:tcPr>
            <w:tcW w:w="1289" w:type="dxa"/>
            <w:shd w:val="clear" w:color="000000" w:fill="FFFFFF"/>
          </w:tcPr>
          <w:p w14:paraId="7EF2B6EC" w14:textId="77777777" w:rsidR="0001256D" w:rsidRPr="00C20D37" w:rsidRDefault="0001256D" w:rsidP="00E9250B">
            <w:pPr>
              <w:jc w:val="center"/>
            </w:pPr>
            <w:r>
              <w:t>18,2</w:t>
            </w:r>
          </w:p>
        </w:tc>
        <w:tc>
          <w:tcPr>
            <w:tcW w:w="1309" w:type="dxa"/>
            <w:shd w:val="clear" w:color="000000" w:fill="FFFFFF"/>
          </w:tcPr>
          <w:p w14:paraId="40606D1A" w14:textId="77777777" w:rsidR="0001256D" w:rsidRPr="00C20D37" w:rsidRDefault="0001256D" w:rsidP="00E9250B">
            <w:pPr>
              <w:jc w:val="center"/>
            </w:pPr>
            <w:r>
              <w:t>27,7</w:t>
            </w:r>
          </w:p>
        </w:tc>
        <w:tc>
          <w:tcPr>
            <w:tcW w:w="3511" w:type="dxa"/>
            <w:shd w:val="clear" w:color="000000" w:fill="FFFFFF"/>
            <w:hideMark/>
          </w:tcPr>
          <w:p w14:paraId="4E46518A" w14:textId="77777777" w:rsidR="0001256D" w:rsidRPr="00C20D37" w:rsidRDefault="0001256D" w:rsidP="00E9250B">
            <w:r w:rsidRPr="00C20D37">
              <w:t> </w:t>
            </w:r>
          </w:p>
        </w:tc>
      </w:tr>
      <w:tr w:rsidR="0001256D" w:rsidRPr="00C20D37" w14:paraId="7391FEAF" w14:textId="77777777" w:rsidTr="00E9250B">
        <w:trPr>
          <w:trHeight w:val="2133"/>
        </w:trPr>
        <w:tc>
          <w:tcPr>
            <w:tcW w:w="557" w:type="dxa"/>
            <w:shd w:val="clear" w:color="000000" w:fill="FFFFFF"/>
            <w:hideMark/>
          </w:tcPr>
          <w:p w14:paraId="40F38908" w14:textId="5CECCA8A" w:rsidR="0001256D" w:rsidRPr="00C20D37" w:rsidRDefault="00901D17" w:rsidP="00E9250B">
            <w:pPr>
              <w:jc w:val="center"/>
            </w:pPr>
            <w:r>
              <w:lastRenderedPageBreak/>
              <w:t>6.</w:t>
            </w:r>
          </w:p>
        </w:tc>
        <w:tc>
          <w:tcPr>
            <w:tcW w:w="2827" w:type="dxa"/>
            <w:shd w:val="clear" w:color="000000" w:fill="FFFFFF"/>
            <w:hideMark/>
          </w:tcPr>
          <w:p w14:paraId="7173CB53" w14:textId="77777777" w:rsidR="005143AB" w:rsidRDefault="0001256D" w:rsidP="00E9250B">
            <w:r w:rsidRPr="00C20D37">
              <w:t>Ilgalaikių skolų ir nuosavybės rodiklis, koef.</w:t>
            </w:r>
            <w:r w:rsidR="005143AB">
              <w:t xml:space="preserve"> </w:t>
            </w:r>
          </w:p>
          <w:p w14:paraId="59DCCADA" w14:textId="00477F15" w:rsidR="0001256D" w:rsidRPr="00C20D37" w:rsidRDefault="0001256D" w:rsidP="00E9250B">
            <w:r w:rsidRPr="00C20D37">
              <w:rPr>
                <w:i/>
                <w:iCs/>
              </w:rPr>
              <w:t>(Po vienerių metų mokėtinos sumos ir kiti ilgalaikiai įsipareigojimai)/(Nuosavas kapitalas)</w:t>
            </w:r>
          </w:p>
        </w:tc>
        <w:tc>
          <w:tcPr>
            <w:tcW w:w="1289" w:type="dxa"/>
            <w:shd w:val="clear" w:color="000000" w:fill="FFFFFF"/>
          </w:tcPr>
          <w:p w14:paraId="065EE9F6" w14:textId="77777777" w:rsidR="0001256D" w:rsidRPr="00C20D37" w:rsidRDefault="0001256D" w:rsidP="00E9250B">
            <w:pPr>
              <w:jc w:val="center"/>
            </w:pPr>
            <w:r w:rsidRPr="008D1CD6">
              <w:t>&lt; 0,7</w:t>
            </w:r>
          </w:p>
        </w:tc>
        <w:tc>
          <w:tcPr>
            <w:tcW w:w="1309" w:type="dxa"/>
            <w:shd w:val="clear" w:color="000000" w:fill="FFFFFF"/>
          </w:tcPr>
          <w:p w14:paraId="024230E7" w14:textId="77777777" w:rsidR="0001256D" w:rsidRPr="00C20D37" w:rsidRDefault="0001256D" w:rsidP="00E9250B">
            <w:pPr>
              <w:jc w:val="center"/>
            </w:pPr>
            <w:r>
              <w:t>0,48</w:t>
            </w:r>
          </w:p>
        </w:tc>
        <w:tc>
          <w:tcPr>
            <w:tcW w:w="3511" w:type="dxa"/>
            <w:noWrap/>
            <w:hideMark/>
          </w:tcPr>
          <w:p w14:paraId="405AB9AD" w14:textId="77777777" w:rsidR="0001256D" w:rsidRPr="00C20D37" w:rsidRDefault="0001256D" w:rsidP="00E9250B">
            <w:r w:rsidRPr="00C20D37">
              <w:t> </w:t>
            </w:r>
          </w:p>
        </w:tc>
      </w:tr>
      <w:tr w:rsidR="0001256D" w:rsidRPr="00C20D37" w14:paraId="2884B669" w14:textId="77777777" w:rsidTr="00E9250B">
        <w:trPr>
          <w:trHeight w:val="2674"/>
        </w:trPr>
        <w:tc>
          <w:tcPr>
            <w:tcW w:w="557" w:type="dxa"/>
            <w:shd w:val="clear" w:color="000000" w:fill="FFFFFF"/>
            <w:hideMark/>
          </w:tcPr>
          <w:p w14:paraId="42E47270" w14:textId="0786F00F" w:rsidR="0001256D" w:rsidRPr="00C20D37" w:rsidRDefault="00901D17" w:rsidP="00E9250B">
            <w:pPr>
              <w:jc w:val="center"/>
            </w:pPr>
            <w:r>
              <w:t>7.</w:t>
            </w:r>
          </w:p>
        </w:tc>
        <w:tc>
          <w:tcPr>
            <w:tcW w:w="2827" w:type="dxa"/>
            <w:shd w:val="clear" w:color="000000" w:fill="FFFFFF"/>
            <w:hideMark/>
          </w:tcPr>
          <w:p w14:paraId="012D9764" w14:textId="77777777" w:rsidR="005143AB" w:rsidRDefault="0001256D" w:rsidP="00E9250B">
            <w:r w:rsidRPr="00C20D37">
              <w:t>Nuosavo kapitalo grąža, siekiant užtikrinti dividendų akcininkams mokėjimą, proc.</w:t>
            </w:r>
            <w:r w:rsidR="005143AB">
              <w:t xml:space="preserve"> </w:t>
            </w:r>
          </w:p>
          <w:p w14:paraId="51071E0F" w14:textId="75A8C290" w:rsidR="0001256D" w:rsidRPr="00C20D37" w:rsidRDefault="0001256D" w:rsidP="00E9250B">
            <w:r w:rsidRPr="00C20D37">
              <w:rPr>
                <w:i/>
                <w:iCs/>
              </w:rPr>
              <w:t>(Grynasis pelnas (nuostoliai))/(Nuosavo kapitalo laikotarpio pradžioje ir pabaigoje vidurkis) × 100</w:t>
            </w:r>
          </w:p>
        </w:tc>
        <w:tc>
          <w:tcPr>
            <w:tcW w:w="1289" w:type="dxa"/>
          </w:tcPr>
          <w:p w14:paraId="19190A75" w14:textId="77777777" w:rsidR="0001256D" w:rsidRPr="00C20D37" w:rsidRDefault="0001256D" w:rsidP="00E9250B">
            <w:pPr>
              <w:jc w:val="center"/>
            </w:pPr>
            <w:r w:rsidRPr="008D1CD6">
              <w:t>&gt; 5</w:t>
            </w:r>
          </w:p>
        </w:tc>
        <w:tc>
          <w:tcPr>
            <w:tcW w:w="1309" w:type="dxa"/>
            <w:shd w:val="clear" w:color="000000" w:fill="FFFFFF"/>
          </w:tcPr>
          <w:p w14:paraId="70B2D848" w14:textId="77777777" w:rsidR="0001256D" w:rsidRPr="00C20D37" w:rsidRDefault="0001256D" w:rsidP="00E9250B">
            <w:pPr>
              <w:jc w:val="center"/>
            </w:pPr>
            <w:r>
              <w:t>15,63</w:t>
            </w:r>
          </w:p>
        </w:tc>
        <w:tc>
          <w:tcPr>
            <w:tcW w:w="3511" w:type="dxa"/>
            <w:shd w:val="clear" w:color="000000" w:fill="FFFFFF"/>
            <w:hideMark/>
          </w:tcPr>
          <w:p w14:paraId="182041B0" w14:textId="77777777" w:rsidR="0001256D" w:rsidRPr="00C20D37" w:rsidRDefault="0001256D" w:rsidP="00E9250B">
            <w:pPr>
              <w:jc w:val="center"/>
            </w:pPr>
            <w:r w:rsidRPr="00C20D37">
              <w:t> </w:t>
            </w:r>
          </w:p>
        </w:tc>
      </w:tr>
      <w:tr w:rsidR="0001256D" w:rsidRPr="00C20D37" w14:paraId="05AC6EF5" w14:textId="77777777" w:rsidTr="00E9250B">
        <w:trPr>
          <w:trHeight w:val="2400"/>
        </w:trPr>
        <w:tc>
          <w:tcPr>
            <w:tcW w:w="557" w:type="dxa"/>
            <w:shd w:val="clear" w:color="000000" w:fill="FFFFFF"/>
            <w:hideMark/>
          </w:tcPr>
          <w:p w14:paraId="065699D6" w14:textId="3715FF15" w:rsidR="0001256D" w:rsidRPr="00C20D37" w:rsidRDefault="00901D17" w:rsidP="00E9250B">
            <w:pPr>
              <w:jc w:val="center"/>
            </w:pPr>
            <w:r>
              <w:t>8.</w:t>
            </w:r>
          </w:p>
        </w:tc>
        <w:tc>
          <w:tcPr>
            <w:tcW w:w="2827" w:type="dxa"/>
            <w:shd w:val="clear" w:color="000000" w:fill="FFFFFF"/>
            <w:hideMark/>
          </w:tcPr>
          <w:p w14:paraId="1CBC357D" w14:textId="77777777" w:rsidR="006100D7" w:rsidRDefault="0001256D" w:rsidP="00E9250B">
            <w:r w:rsidRPr="00C20D37">
              <w:t>Veiklos sąnaudų lygis, proc.</w:t>
            </w:r>
            <w:r w:rsidR="006100D7">
              <w:t xml:space="preserve"> </w:t>
            </w:r>
          </w:p>
          <w:p w14:paraId="4358695B" w14:textId="0B63E4EC" w:rsidR="0001256D" w:rsidRPr="00C20D37" w:rsidRDefault="0001256D" w:rsidP="00E9250B">
            <w:r w:rsidRPr="00C20D37">
              <w:rPr>
                <w:i/>
                <w:iCs/>
              </w:rPr>
              <w:t>(Veiklos sąnaudos (Pardavimo sąn</w:t>
            </w:r>
            <w:r>
              <w:rPr>
                <w:i/>
                <w:iCs/>
              </w:rPr>
              <w:t>audos</w:t>
            </w:r>
            <w:r w:rsidRPr="00C20D37">
              <w:rPr>
                <w:i/>
                <w:iCs/>
              </w:rPr>
              <w:t>+Bendrosios ir administracinės sąn</w:t>
            </w:r>
            <w:r>
              <w:rPr>
                <w:i/>
                <w:iCs/>
              </w:rPr>
              <w:t>audos</w:t>
            </w:r>
            <w:r w:rsidRPr="00C20D37">
              <w:rPr>
                <w:i/>
                <w:iCs/>
              </w:rPr>
              <w:t>))/(Pardavimo pajamos)</w:t>
            </w:r>
          </w:p>
        </w:tc>
        <w:tc>
          <w:tcPr>
            <w:tcW w:w="1289" w:type="dxa"/>
            <w:shd w:val="clear" w:color="000000" w:fill="FFFFFF"/>
          </w:tcPr>
          <w:p w14:paraId="31CE8DE5" w14:textId="77777777" w:rsidR="0001256D" w:rsidRPr="00C20D37" w:rsidRDefault="0001256D" w:rsidP="00E9250B">
            <w:pPr>
              <w:jc w:val="center"/>
            </w:pPr>
            <w:r w:rsidRPr="008D1CD6">
              <w:t>&lt; 5</w:t>
            </w:r>
          </w:p>
        </w:tc>
        <w:tc>
          <w:tcPr>
            <w:tcW w:w="1309" w:type="dxa"/>
            <w:shd w:val="clear" w:color="000000" w:fill="FFFFFF"/>
          </w:tcPr>
          <w:p w14:paraId="5C2648C1" w14:textId="77777777" w:rsidR="0001256D" w:rsidRPr="00C20D37" w:rsidRDefault="0001256D" w:rsidP="00E9250B">
            <w:pPr>
              <w:jc w:val="center"/>
            </w:pPr>
            <w:r>
              <w:t>5,05</w:t>
            </w:r>
          </w:p>
        </w:tc>
        <w:tc>
          <w:tcPr>
            <w:tcW w:w="3511" w:type="dxa"/>
            <w:shd w:val="clear" w:color="000000" w:fill="FFFFFF"/>
          </w:tcPr>
          <w:p w14:paraId="43C207A7" w14:textId="7F58AA02" w:rsidR="0001256D" w:rsidRPr="00C20D37" w:rsidRDefault="0001256D" w:rsidP="00901D17">
            <w:r w:rsidRPr="0056554E">
              <w:t>Rodiklio reikšm</w:t>
            </w:r>
            <w:r w:rsidR="005143AB">
              <w:t>ei į</w:t>
            </w:r>
            <w:r w:rsidR="00901D17">
              <w:t xml:space="preserve">takos turi </w:t>
            </w:r>
            <w:r w:rsidRPr="0056554E">
              <w:t>energetikos išteklių ir perkamos šilumos kainos, kuri</w:t>
            </w:r>
            <w:r w:rsidR="00901D17">
              <w:t>oms</w:t>
            </w:r>
            <w:r w:rsidRPr="0056554E">
              <w:t xml:space="preserve"> bendrovė negali</w:t>
            </w:r>
            <w:r w:rsidR="00901D17">
              <w:t xml:space="preserve"> daryti</w:t>
            </w:r>
            <w:r w:rsidRPr="0056554E">
              <w:t xml:space="preserve"> įtako</w:t>
            </w:r>
            <w:r w:rsidR="00901D17">
              <w:t>s</w:t>
            </w:r>
          </w:p>
        </w:tc>
      </w:tr>
    </w:tbl>
    <w:p w14:paraId="432965F3" w14:textId="77777777" w:rsidR="0001256D" w:rsidRPr="00C20D37" w:rsidRDefault="0001256D" w:rsidP="0001256D"/>
    <w:p w14:paraId="2638F6EB" w14:textId="77777777" w:rsidR="0001256D" w:rsidRPr="00C20D37" w:rsidRDefault="0001256D" w:rsidP="0001256D">
      <w:pPr>
        <w:jc w:val="center"/>
        <w:rPr>
          <w:b/>
          <w:bCs/>
        </w:rPr>
      </w:pPr>
      <w:r w:rsidRPr="00893114">
        <w:rPr>
          <w:b/>
          <w:bCs/>
        </w:rPr>
        <w:t>UAB „Kauno švara“ 2025 metų finansinių ir nefinansinių lūkesčių vertinimo rodiklių vertinimas</w:t>
      </w:r>
      <w:r w:rsidRPr="00C20D37">
        <w:rPr>
          <w:b/>
          <w:bCs/>
        </w:rPr>
        <w:t xml:space="preserve"> </w:t>
      </w:r>
    </w:p>
    <w:p w14:paraId="72654E77" w14:textId="77777777" w:rsidR="0001256D" w:rsidRPr="00901D17" w:rsidRDefault="0001256D" w:rsidP="0001256D">
      <w:pPr>
        <w:rPr>
          <w:b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959"/>
        <w:gridCol w:w="1266"/>
        <w:gridCol w:w="1276"/>
        <w:gridCol w:w="3544"/>
        <w:gridCol w:w="15"/>
      </w:tblGrid>
      <w:tr w:rsidR="0001256D" w:rsidRPr="00C20D37" w14:paraId="7D599863" w14:textId="77777777" w:rsidTr="00E9250B">
        <w:trPr>
          <w:gridAfter w:val="1"/>
          <w:wAfter w:w="15" w:type="dxa"/>
          <w:trHeight w:val="1275"/>
          <w:tblHeader/>
        </w:trPr>
        <w:tc>
          <w:tcPr>
            <w:tcW w:w="580" w:type="dxa"/>
            <w:vAlign w:val="center"/>
            <w:hideMark/>
          </w:tcPr>
          <w:p w14:paraId="338014CE" w14:textId="77777777" w:rsidR="0001256D" w:rsidRPr="00C20D37" w:rsidRDefault="0001256D" w:rsidP="00E9250B">
            <w:pPr>
              <w:jc w:val="center"/>
            </w:pPr>
            <w:r w:rsidRPr="00C20D37">
              <w:t>Eil. Nr.</w:t>
            </w:r>
          </w:p>
        </w:tc>
        <w:tc>
          <w:tcPr>
            <w:tcW w:w="2959" w:type="dxa"/>
            <w:vAlign w:val="center"/>
            <w:hideMark/>
          </w:tcPr>
          <w:p w14:paraId="53AAFA20" w14:textId="77777777" w:rsidR="0001256D" w:rsidRPr="00C20D37" w:rsidRDefault="0001256D" w:rsidP="00E9250B">
            <w:pPr>
              <w:jc w:val="center"/>
            </w:pPr>
            <w:r w:rsidRPr="00C20D37">
              <w:t>Rodiklis (pavadinimas, skaičiavimo būdas, mato vien</w:t>
            </w:r>
            <w:r>
              <w:t>e</w:t>
            </w:r>
            <w:r w:rsidRPr="00C20D37">
              <w:t>tas)</w:t>
            </w:r>
          </w:p>
        </w:tc>
        <w:tc>
          <w:tcPr>
            <w:tcW w:w="1266" w:type="dxa"/>
            <w:vAlign w:val="center"/>
            <w:hideMark/>
          </w:tcPr>
          <w:p w14:paraId="614A8EEA" w14:textId="77777777" w:rsidR="0001256D" w:rsidRPr="00C20D37" w:rsidRDefault="0001256D" w:rsidP="00E9250B">
            <w:pPr>
              <w:jc w:val="center"/>
            </w:pPr>
            <w:r w:rsidRPr="00C20D37">
              <w:t>202</w:t>
            </w:r>
            <w:r>
              <w:t>5</w:t>
            </w:r>
            <w:r w:rsidRPr="00C20D37">
              <w:t xml:space="preserve"> m. planuota rodiklio reikšmė</w:t>
            </w:r>
          </w:p>
        </w:tc>
        <w:tc>
          <w:tcPr>
            <w:tcW w:w="1276" w:type="dxa"/>
            <w:vAlign w:val="center"/>
            <w:hideMark/>
          </w:tcPr>
          <w:p w14:paraId="0459996D" w14:textId="77777777" w:rsidR="0001256D" w:rsidRPr="00C20D37" w:rsidRDefault="0001256D" w:rsidP="00E9250B">
            <w:pPr>
              <w:jc w:val="center"/>
            </w:pPr>
            <w:r w:rsidRPr="00C20D37">
              <w:t>202</w:t>
            </w:r>
            <w:r>
              <w:t>5</w:t>
            </w:r>
            <w:r w:rsidRPr="00C20D37">
              <w:t xml:space="preserve"> m. pasiekta rodiklio reikšmė</w:t>
            </w:r>
          </w:p>
        </w:tc>
        <w:tc>
          <w:tcPr>
            <w:tcW w:w="3544" w:type="dxa"/>
            <w:vAlign w:val="center"/>
            <w:hideMark/>
          </w:tcPr>
          <w:p w14:paraId="7C5FAC15" w14:textId="77777777" w:rsidR="0001256D" w:rsidRPr="00C20D37" w:rsidRDefault="0001256D" w:rsidP="00E9250B">
            <w:pPr>
              <w:jc w:val="center"/>
            </w:pPr>
            <w:r w:rsidRPr="00C20D37">
              <w:t>Informacija apie vykdymą</w:t>
            </w:r>
          </w:p>
        </w:tc>
      </w:tr>
      <w:tr w:rsidR="0001256D" w:rsidRPr="00C20D37" w14:paraId="0DF49FD6" w14:textId="77777777" w:rsidTr="00E9250B">
        <w:trPr>
          <w:trHeight w:val="463"/>
        </w:trPr>
        <w:tc>
          <w:tcPr>
            <w:tcW w:w="9640" w:type="dxa"/>
            <w:gridSpan w:val="6"/>
            <w:hideMark/>
          </w:tcPr>
          <w:p w14:paraId="71380A6B" w14:textId="77777777" w:rsidR="0001256D" w:rsidRPr="00C20D37" w:rsidRDefault="0001256D" w:rsidP="00E9250B">
            <w:pPr>
              <w:rPr>
                <w:b/>
                <w:bCs/>
              </w:rPr>
            </w:pPr>
            <w:r w:rsidRPr="00C20D37">
              <w:rPr>
                <w:b/>
                <w:bCs/>
              </w:rPr>
              <w:t>Nefinansinių lūkesčių vertinimo rodikliai:</w:t>
            </w:r>
          </w:p>
        </w:tc>
      </w:tr>
      <w:tr w:rsidR="0001256D" w:rsidRPr="00C20D37" w14:paraId="02D3D8D8" w14:textId="77777777" w:rsidTr="00E9250B">
        <w:trPr>
          <w:gridAfter w:val="1"/>
          <w:wAfter w:w="15" w:type="dxa"/>
          <w:trHeight w:val="1917"/>
        </w:trPr>
        <w:tc>
          <w:tcPr>
            <w:tcW w:w="580" w:type="dxa"/>
            <w:hideMark/>
          </w:tcPr>
          <w:p w14:paraId="7CA49D0B" w14:textId="77777777" w:rsidR="0001256D" w:rsidRPr="00C20D37" w:rsidRDefault="0001256D" w:rsidP="00E9250B">
            <w:pPr>
              <w:jc w:val="center"/>
            </w:pPr>
            <w:r w:rsidRPr="00C20D37">
              <w:t>1</w:t>
            </w:r>
          </w:p>
        </w:tc>
        <w:tc>
          <w:tcPr>
            <w:tcW w:w="2959" w:type="dxa"/>
            <w:hideMark/>
          </w:tcPr>
          <w:p w14:paraId="5229BA10" w14:textId="36D6249B" w:rsidR="0001256D" w:rsidRPr="00C20D37" w:rsidRDefault="0001256D" w:rsidP="00893114">
            <w:r w:rsidRPr="00C20D37">
              <w:t>Atskirai Kauno mieste surinktų žaliųjų atliekų kiekis, t</w:t>
            </w:r>
          </w:p>
        </w:tc>
        <w:tc>
          <w:tcPr>
            <w:tcW w:w="1266" w:type="dxa"/>
          </w:tcPr>
          <w:p w14:paraId="25D3D673" w14:textId="58293441" w:rsidR="0001256D" w:rsidRPr="00C20D37" w:rsidRDefault="0001256D" w:rsidP="00E9250B">
            <w:pPr>
              <w:jc w:val="center"/>
            </w:pPr>
            <w:r>
              <w:t>5</w:t>
            </w:r>
            <w:r w:rsidR="00CE0688">
              <w:t xml:space="preserve"> </w:t>
            </w:r>
            <w:r>
              <w:t>500</w:t>
            </w:r>
          </w:p>
        </w:tc>
        <w:tc>
          <w:tcPr>
            <w:tcW w:w="1276" w:type="dxa"/>
          </w:tcPr>
          <w:p w14:paraId="4AD6BD10" w14:textId="44D42658" w:rsidR="0001256D" w:rsidRPr="00C20D37" w:rsidRDefault="0001256D" w:rsidP="00E9250B">
            <w:pPr>
              <w:jc w:val="center"/>
            </w:pPr>
            <w:r>
              <w:t>5</w:t>
            </w:r>
            <w:r w:rsidR="00CE0688">
              <w:t xml:space="preserve"> </w:t>
            </w:r>
            <w:r>
              <w:t>382,8</w:t>
            </w:r>
          </w:p>
        </w:tc>
        <w:tc>
          <w:tcPr>
            <w:tcW w:w="3544" w:type="dxa"/>
            <w:noWrap/>
          </w:tcPr>
          <w:p w14:paraId="2B1FED00" w14:textId="7883B12A" w:rsidR="0001256D" w:rsidRPr="00C20D37" w:rsidRDefault="0001256D" w:rsidP="00E9250B">
            <w:r w:rsidRPr="00E915B1">
              <w:t xml:space="preserve">Populiarėja vejos pjovimo robotai, todėl mažiau susidaro žaliųjų atliekų, pradėtos dalinti kompostinės dėžės, </w:t>
            </w:r>
            <w:r>
              <w:t xml:space="preserve">gyventojai patys kompostuoja, dėl to </w:t>
            </w:r>
            <w:r w:rsidRPr="00E915B1">
              <w:t>taip pat maž</w:t>
            </w:r>
            <w:r>
              <w:t>ėj</w:t>
            </w:r>
            <w:r w:rsidRPr="00E915B1">
              <w:t>a žaliųjų atliekų kiek</w:t>
            </w:r>
            <w:r>
              <w:t>is</w:t>
            </w:r>
          </w:p>
        </w:tc>
      </w:tr>
      <w:tr w:rsidR="0001256D" w:rsidRPr="00C20D37" w14:paraId="44EB27E5" w14:textId="77777777" w:rsidTr="00E9250B">
        <w:trPr>
          <w:gridAfter w:val="1"/>
          <w:wAfter w:w="15" w:type="dxa"/>
          <w:trHeight w:val="315"/>
        </w:trPr>
        <w:tc>
          <w:tcPr>
            <w:tcW w:w="580" w:type="dxa"/>
            <w:hideMark/>
          </w:tcPr>
          <w:p w14:paraId="143280A8" w14:textId="77777777" w:rsidR="0001256D" w:rsidRPr="00C20D37" w:rsidRDefault="0001256D" w:rsidP="00E9250B">
            <w:pPr>
              <w:jc w:val="center"/>
            </w:pPr>
            <w:r w:rsidRPr="00C20D37">
              <w:t>2</w:t>
            </w:r>
          </w:p>
        </w:tc>
        <w:tc>
          <w:tcPr>
            <w:tcW w:w="2959" w:type="dxa"/>
            <w:hideMark/>
          </w:tcPr>
          <w:p w14:paraId="707E6A9F" w14:textId="20161D0D" w:rsidR="0001256D" w:rsidRPr="00C20D37" w:rsidRDefault="0001256D" w:rsidP="00893114">
            <w:r w:rsidRPr="00C20D37">
              <w:t>Atskirai Kauno mieste surinktų maisto atliekų kiekis, t</w:t>
            </w:r>
          </w:p>
        </w:tc>
        <w:tc>
          <w:tcPr>
            <w:tcW w:w="1266" w:type="dxa"/>
          </w:tcPr>
          <w:p w14:paraId="3CCD5271" w14:textId="3FC68A5D" w:rsidR="0001256D" w:rsidRPr="00C20D37" w:rsidRDefault="0001256D" w:rsidP="00E9250B">
            <w:pPr>
              <w:jc w:val="center"/>
            </w:pPr>
            <w:r>
              <w:t>2</w:t>
            </w:r>
            <w:r w:rsidR="00CE0688">
              <w:t xml:space="preserve"> </w:t>
            </w:r>
            <w:r>
              <w:t>400</w:t>
            </w:r>
          </w:p>
        </w:tc>
        <w:tc>
          <w:tcPr>
            <w:tcW w:w="1276" w:type="dxa"/>
          </w:tcPr>
          <w:p w14:paraId="2BE09C7B" w14:textId="19CFE8F8" w:rsidR="0001256D" w:rsidRPr="00C20D37" w:rsidRDefault="0001256D" w:rsidP="00E9250B">
            <w:pPr>
              <w:jc w:val="center"/>
            </w:pPr>
            <w:r>
              <w:t>2</w:t>
            </w:r>
            <w:r w:rsidR="00CE0688">
              <w:t xml:space="preserve"> </w:t>
            </w:r>
            <w:r>
              <w:t>426,91</w:t>
            </w:r>
          </w:p>
        </w:tc>
        <w:tc>
          <w:tcPr>
            <w:tcW w:w="3544" w:type="dxa"/>
            <w:noWrap/>
          </w:tcPr>
          <w:p w14:paraId="62DFF5F2" w14:textId="77777777" w:rsidR="0001256D" w:rsidRPr="00C20D37" w:rsidRDefault="0001256D" w:rsidP="00E9250B"/>
        </w:tc>
      </w:tr>
      <w:tr w:rsidR="0001256D" w:rsidRPr="00C20D37" w14:paraId="5DEE6BEF" w14:textId="77777777" w:rsidTr="00E9250B">
        <w:trPr>
          <w:gridAfter w:val="1"/>
          <w:wAfter w:w="15" w:type="dxa"/>
          <w:trHeight w:val="1254"/>
        </w:trPr>
        <w:tc>
          <w:tcPr>
            <w:tcW w:w="580" w:type="dxa"/>
            <w:hideMark/>
          </w:tcPr>
          <w:p w14:paraId="0C665403" w14:textId="77777777" w:rsidR="0001256D" w:rsidRPr="00C20D37" w:rsidRDefault="0001256D" w:rsidP="00E9250B">
            <w:pPr>
              <w:jc w:val="center"/>
            </w:pPr>
            <w:r w:rsidRPr="00C20D37">
              <w:lastRenderedPageBreak/>
              <w:t>3</w:t>
            </w:r>
          </w:p>
        </w:tc>
        <w:tc>
          <w:tcPr>
            <w:tcW w:w="2959" w:type="dxa"/>
            <w:hideMark/>
          </w:tcPr>
          <w:p w14:paraId="4CB1A612" w14:textId="6DEEDEE9" w:rsidR="0001256D" w:rsidRPr="00C20D37" w:rsidRDefault="0001256D" w:rsidP="00893114">
            <w:r w:rsidRPr="00C20D37">
              <w:t>Atskirai Kauno mieste surinktų pakuočių, pakuočių atliekų ir antrinių žaliavų kiekis, t</w:t>
            </w:r>
          </w:p>
        </w:tc>
        <w:tc>
          <w:tcPr>
            <w:tcW w:w="1266" w:type="dxa"/>
          </w:tcPr>
          <w:p w14:paraId="563CD61B" w14:textId="3EB6E914" w:rsidR="0001256D" w:rsidRPr="00C20D37" w:rsidRDefault="0001256D" w:rsidP="00E9250B">
            <w:pPr>
              <w:jc w:val="center"/>
            </w:pPr>
            <w:r>
              <w:t>16</w:t>
            </w:r>
            <w:r w:rsidR="00CE0688">
              <w:t xml:space="preserve"> </w:t>
            </w:r>
            <w:r>
              <w:t>000</w:t>
            </w:r>
          </w:p>
        </w:tc>
        <w:tc>
          <w:tcPr>
            <w:tcW w:w="1276" w:type="dxa"/>
          </w:tcPr>
          <w:p w14:paraId="76EEB447" w14:textId="0A186F33" w:rsidR="0001256D" w:rsidRPr="00C20D37" w:rsidRDefault="0001256D" w:rsidP="00E9250B">
            <w:pPr>
              <w:jc w:val="center"/>
            </w:pPr>
            <w:r>
              <w:t>16</w:t>
            </w:r>
            <w:r w:rsidR="00CE0688">
              <w:t xml:space="preserve"> </w:t>
            </w:r>
            <w:r>
              <w:t>251,2</w:t>
            </w:r>
          </w:p>
        </w:tc>
        <w:tc>
          <w:tcPr>
            <w:tcW w:w="3544" w:type="dxa"/>
            <w:noWrap/>
          </w:tcPr>
          <w:p w14:paraId="3E870C44" w14:textId="77777777" w:rsidR="0001256D" w:rsidRPr="00C20D37" w:rsidRDefault="0001256D" w:rsidP="00E9250B"/>
        </w:tc>
      </w:tr>
      <w:tr w:rsidR="0001256D" w:rsidRPr="00C20D37" w14:paraId="337906F1" w14:textId="77777777" w:rsidTr="00E9250B">
        <w:trPr>
          <w:gridAfter w:val="1"/>
          <w:wAfter w:w="15" w:type="dxa"/>
          <w:trHeight w:val="1260"/>
        </w:trPr>
        <w:tc>
          <w:tcPr>
            <w:tcW w:w="580" w:type="dxa"/>
            <w:hideMark/>
          </w:tcPr>
          <w:p w14:paraId="1EAFAADC" w14:textId="77777777" w:rsidR="0001256D" w:rsidRPr="00C20D37" w:rsidRDefault="0001256D" w:rsidP="00E9250B">
            <w:pPr>
              <w:jc w:val="center"/>
            </w:pPr>
            <w:r w:rsidRPr="00C20D37">
              <w:t>4</w:t>
            </w:r>
          </w:p>
        </w:tc>
        <w:tc>
          <w:tcPr>
            <w:tcW w:w="2959" w:type="dxa"/>
            <w:hideMark/>
          </w:tcPr>
          <w:p w14:paraId="543A7723" w14:textId="77777777" w:rsidR="0001256D" w:rsidRPr="00C20D37" w:rsidRDefault="0001256D" w:rsidP="00E9250B">
            <w:r w:rsidRPr="00C20D37">
              <w:t>Kauno miesto komunaliniame atliekų sraute susidariusių ir atskirojo rūšiuojamojo surinkimo būdu Bendrovės surinktų atliekų dalis nuo visų Kauno mieste Bendrovės surinktų komunalinių atliekų kiekio, proc.</w:t>
            </w:r>
          </w:p>
        </w:tc>
        <w:tc>
          <w:tcPr>
            <w:tcW w:w="1266" w:type="dxa"/>
          </w:tcPr>
          <w:p w14:paraId="61F962EA" w14:textId="77777777" w:rsidR="0001256D" w:rsidRPr="00C20D37" w:rsidRDefault="0001256D" w:rsidP="00E9250B">
            <w:pPr>
              <w:jc w:val="center"/>
            </w:pPr>
            <w:r>
              <w:t>24</w:t>
            </w:r>
          </w:p>
        </w:tc>
        <w:tc>
          <w:tcPr>
            <w:tcW w:w="1276" w:type="dxa"/>
          </w:tcPr>
          <w:p w14:paraId="375485BF" w14:textId="77777777" w:rsidR="0001256D" w:rsidRPr="00C20D37" w:rsidRDefault="0001256D" w:rsidP="00E9250B">
            <w:pPr>
              <w:jc w:val="center"/>
            </w:pPr>
            <w:r>
              <w:t>25,94</w:t>
            </w:r>
          </w:p>
        </w:tc>
        <w:tc>
          <w:tcPr>
            <w:tcW w:w="3544" w:type="dxa"/>
            <w:noWrap/>
          </w:tcPr>
          <w:p w14:paraId="409BC8F4" w14:textId="77777777" w:rsidR="0001256D" w:rsidRPr="00C20D37" w:rsidRDefault="0001256D" w:rsidP="00E9250B"/>
        </w:tc>
      </w:tr>
      <w:tr w:rsidR="0001256D" w:rsidRPr="00C20D37" w14:paraId="7CF22B48" w14:textId="77777777" w:rsidTr="00E9250B">
        <w:trPr>
          <w:trHeight w:val="511"/>
        </w:trPr>
        <w:tc>
          <w:tcPr>
            <w:tcW w:w="9640" w:type="dxa"/>
            <w:gridSpan w:val="6"/>
            <w:hideMark/>
          </w:tcPr>
          <w:p w14:paraId="450C1E46" w14:textId="77777777" w:rsidR="0001256D" w:rsidRPr="00C20D37" w:rsidRDefault="0001256D" w:rsidP="00E9250B">
            <w:pPr>
              <w:rPr>
                <w:b/>
                <w:bCs/>
              </w:rPr>
            </w:pPr>
            <w:r w:rsidRPr="00C20D37">
              <w:rPr>
                <w:b/>
                <w:bCs/>
              </w:rPr>
              <w:t>Finansinių lūkesčių vertinimo rodikliai:</w:t>
            </w:r>
          </w:p>
        </w:tc>
      </w:tr>
      <w:tr w:rsidR="0001256D" w:rsidRPr="00C20D37" w14:paraId="1D7C57C0" w14:textId="77777777" w:rsidTr="00E9250B">
        <w:trPr>
          <w:gridAfter w:val="1"/>
          <w:wAfter w:w="15" w:type="dxa"/>
          <w:trHeight w:val="930"/>
        </w:trPr>
        <w:tc>
          <w:tcPr>
            <w:tcW w:w="580" w:type="dxa"/>
            <w:shd w:val="clear" w:color="000000" w:fill="FFFFFF"/>
            <w:hideMark/>
          </w:tcPr>
          <w:p w14:paraId="717370C6" w14:textId="77777777" w:rsidR="0001256D" w:rsidRPr="00C20D37" w:rsidRDefault="0001256D" w:rsidP="00E9250B">
            <w:pPr>
              <w:jc w:val="center"/>
            </w:pPr>
            <w:r w:rsidRPr="00C20D37">
              <w:t>1</w:t>
            </w:r>
          </w:p>
        </w:tc>
        <w:tc>
          <w:tcPr>
            <w:tcW w:w="2959" w:type="dxa"/>
            <w:hideMark/>
          </w:tcPr>
          <w:p w14:paraId="74BA5370" w14:textId="77777777" w:rsidR="0001256D" w:rsidRPr="00C20D37" w:rsidRDefault="0001256D" w:rsidP="00E9250B">
            <w:r w:rsidRPr="00C20D37">
              <w:t>EBITDA marža, proc.</w:t>
            </w:r>
            <w:r w:rsidRPr="00C20D37">
              <w:br/>
            </w:r>
            <w:r w:rsidRPr="00C20D37">
              <w:rPr>
                <w:i/>
                <w:iCs/>
              </w:rPr>
              <w:t>(EBIT+Nusidėvėjimo ir amortizacijos sąnaudos)/(pardavimo pajamos) x 100</w:t>
            </w:r>
            <w:r>
              <w:rPr>
                <w:i/>
                <w:iCs/>
              </w:rPr>
              <w:t>)</w:t>
            </w:r>
          </w:p>
        </w:tc>
        <w:tc>
          <w:tcPr>
            <w:tcW w:w="1266" w:type="dxa"/>
          </w:tcPr>
          <w:p w14:paraId="2B1FE51A" w14:textId="77777777" w:rsidR="0001256D" w:rsidRPr="00C20D37" w:rsidRDefault="0001256D" w:rsidP="00E9250B">
            <w:pPr>
              <w:jc w:val="center"/>
            </w:pPr>
            <w:r>
              <w:t>16</w:t>
            </w:r>
          </w:p>
        </w:tc>
        <w:tc>
          <w:tcPr>
            <w:tcW w:w="1276" w:type="dxa"/>
            <w:shd w:val="clear" w:color="000000" w:fill="FFFFFF"/>
          </w:tcPr>
          <w:p w14:paraId="01A4E234" w14:textId="77777777" w:rsidR="0001256D" w:rsidRPr="00C20D37" w:rsidRDefault="0001256D" w:rsidP="00E9250B">
            <w:pPr>
              <w:jc w:val="center"/>
            </w:pPr>
            <w:r>
              <w:t>17,18</w:t>
            </w:r>
          </w:p>
        </w:tc>
        <w:tc>
          <w:tcPr>
            <w:tcW w:w="3544" w:type="dxa"/>
          </w:tcPr>
          <w:p w14:paraId="2D868A82" w14:textId="77777777" w:rsidR="0001256D" w:rsidRPr="00C20D37" w:rsidRDefault="0001256D" w:rsidP="00E9250B"/>
        </w:tc>
      </w:tr>
      <w:tr w:rsidR="0001256D" w:rsidRPr="00C20D37" w14:paraId="48A2FE95" w14:textId="77777777" w:rsidTr="00E9250B">
        <w:trPr>
          <w:gridAfter w:val="1"/>
          <w:wAfter w:w="15" w:type="dxa"/>
          <w:trHeight w:val="945"/>
        </w:trPr>
        <w:tc>
          <w:tcPr>
            <w:tcW w:w="580" w:type="dxa"/>
            <w:shd w:val="clear" w:color="000000" w:fill="FFFFFF"/>
            <w:hideMark/>
          </w:tcPr>
          <w:p w14:paraId="463F1A68" w14:textId="77777777" w:rsidR="0001256D" w:rsidRPr="00C20D37" w:rsidRDefault="0001256D" w:rsidP="00E9250B">
            <w:pPr>
              <w:jc w:val="center"/>
            </w:pPr>
            <w:r w:rsidRPr="00C20D37">
              <w:t>2</w:t>
            </w:r>
          </w:p>
        </w:tc>
        <w:tc>
          <w:tcPr>
            <w:tcW w:w="2959" w:type="dxa"/>
            <w:hideMark/>
          </w:tcPr>
          <w:p w14:paraId="7DE4EC12" w14:textId="77777777" w:rsidR="0001256D" w:rsidRPr="00C20D37" w:rsidRDefault="0001256D" w:rsidP="00E9250B">
            <w:r w:rsidRPr="00C20D37">
              <w:t>Ilgalaikių skolų ir nuosavybės rodiklis, koef.</w:t>
            </w:r>
            <w:r w:rsidRPr="00C20D37">
              <w:br/>
            </w:r>
            <w:r w:rsidRPr="00C20D37">
              <w:rPr>
                <w:i/>
                <w:iCs/>
              </w:rPr>
              <w:t>(Po vienerių metų mokėtinos sumos ir kiti ilgalaikiai įsipareigojimai)/(Nuosavas kapitalas)</w:t>
            </w:r>
          </w:p>
        </w:tc>
        <w:tc>
          <w:tcPr>
            <w:tcW w:w="1266" w:type="dxa"/>
          </w:tcPr>
          <w:p w14:paraId="5241606E" w14:textId="77777777" w:rsidR="0001256D" w:rsidRPr="00C20D37" w:rsidRDefault="0001256D" w:rsidP="00E9250B">
            <w:pPr>
              <w:jc w:val="center"/>
            </w:pPr>
            <w:r>
              <w:t>&lt;0,5</w:t>
            </w:r>
          </w:p>
        </w:tc>
        <w:tc>
          <w:tcPr>
            <w:tcW w:w="1276" w:type="dxa"/>
            <w:shd w:val="clear" w:color="000000" w:fill="FFFFFF"/>
          </w:tcPr>
          <w:p w14:paraId="311D3966" w14:textId="77777777" w:rsidR="0001256D" w:rsidRPr="00C20D37" w:rsidRDefault="0001256D" w:rsidP="00E9250B">
            <w:pPr>
              <w:jc w:val="center"/>
            </w:pPr>
            <w:r>
              <w:t>0,18</w:t>
            </w:r>
          </w:p>
        </w:tc>
        <w:tc>
          <w:tcPr>
            <w:tcW w:w="3544" w:type="dxa"/>
            <w:noWrap/>
          </w:tcPr>
          <w:p w14:paraId="492FC4F0" w14:textId="77777777" w:rsidR="0001256D" w:rsidRPr="00C20D37" w:rsidRDefault="0001256D" w:rsidP="00E9250B"/>
        </w:tc>
      </w:tr>
      <w:tr w:rsidR="0001256D" w:rsidRPr="00C20D37" w14:paraId="0F818885" w14:textId="77777777" w:rsidTr="00E9250B">
        <w:trPr>
          <w:gridAfter w:val="1"/>
          <w:wAfter w:w="15" w:type="dxa"/>
          <w:trHeight w:val="1260"/>
        </w:trPr>
        <w:tc>
          <w:tcPr>
            <w:tcW w:w="580" w:type="dxa"/>
            <w:shd w:val="clear" w:color="000000" w:fill="FFFFFF"/>
            <w:hideMark/>
          </w:tcPr>
          <w:p w14:paraId="300D7A57" w14:textId="77777777" w:rsidR="0001256D" w:rsidRPr="00C20D37" w:rsidRDefault="0001256D" w:rsidP="00E9250B">
            <w:pPr>
              <w:jc w:val="center"/>
            </w:pPr>
            <w:r w:rsidRPr="00C20D37">
              <w:t>3</w:t>
            </w:r>
          </w:p>
        </w:tc>
        <w:tc>
          <w:tcPr>
            <w:tcW w:w="2959" w:type="dxa"/>
            <w:hideMark/>
          </w:tcPr>
          <w:p w14:paraId="101B17C7" w14:textId="77777777" w:rsidR="0001256D" w:rsidRPr="00C20D37" w:rsidRDefault="0001256D" w:rsidP="00E9250B">
            <w:r w:rsidRPr="00C20D37">
              <w:t>Nuosavo kapitalo grąža, siekiant užtikrinti dividendų akcininkams mokėjimą, koef.</w:t>
            </w:r>
            <w:r w:rsidRPr="00C20D37">
              <w:br/>
            </w:r>
            <w:r w:rsidRPr="00C20D37">
              <w:rPr>
                <w:i/>
                <w:iCs/>
              </w:rPr>
              <w:t>(Grynasis pelnas (nuostoliai))/(Nuosavo kapitalo laikotarpio pradžioje ir pabaigoje vidurkis) × 100</w:t>
            </w:r>
          </w:p>
        </w:tc>
        <w:tc>
          <w:tcPr>
            <w:tcW w:w="1266" w:type="dxa"/>
          </w:tcPr>
          <w:p w14:paraId="7A6BDB4C" w14:textId="77777777" w:rsidR="0001256D" w:rsidRPr="00C20D37" w:rsidRDefault="0001256D" w:rsidP="00E9250B">
            <w:pPr>
              <w:jc w:val="center"/>
            </w:pPr>
            <w:r>
              <w:t>&gt;8</w:t>
            </w:r>
          </w:p>
        </w:tc>
        <w:tc>
          <w:tcPr>
            <w:tcW w:w="1276" w:type="dxa"/>
            <w:shd w:val="clear" w:color="000000" w:fill="FFFFFF"/>
          </w:tcPr>
          <w:p w14:paraId="16C8E0AF" w14:textId="77777777" w:rsidR="0001256D" w:rsidRPr="00C20D37" w:rsidRDefault="0001256D" w:rsidP="00E9250B">
            <w:pPr>
              <w:jc w:val="center"/>
            </w:pPr>
            <w:r>
              <w:t>10,44</w:t>
            </w:r>
          </w:p>
        </w:tc>
        <w:tc>
          <w:tcPr>
            <w:tcW w:w="3544" w:type="dxa"/>
          </w:tcPr>
          <w:p w14:paraId="3360469B" w14:textId="77777777" w:rsidR="0001256D" w:rsidRPr="00C20D37" w:rsidRDefault="0001256D" w:rsidP="00E9250B"/>
        </w:tc>
      </w:tr>
      <w:tr w:rsidR="0001256D" w:rsidRPr="00C20D37" w14:paraId="3377CB4F" w14:textId="77777777" w:rsidTr="00E9250B">
        <w:trPr>
          <w:gridAfter w:val="1"/>
          <w:wAfter w:w="15" w:type="dxa"/>
          <w:trHeight w:val="687"/>
        </w:trPr>
        <w:tc>
          <w:tcPr>
            <w:tcW w:w="580" w:type="dxa"/>
            <w:shd w:val="clear" w:color="000000" w:fill="FFFFFF"/>
            <w:hideMark/>
          </w:tcPr>
          <w:p w14:paraId="775F127B" w14:textId="77777777" w:rsidR="0001256D" w:rsidRPr="00C20D37" w:rsidRDefault="0001256D" w:rsidP="00E9250B">
            <w:pPr>
              <w:jc w:val="center"/>
            </w:pPr>
            <w:r w:rsidRPr="00C20D37">
              <w:t>4</w:t>
            </w:r>
          </w:p>
        </w:tc>
        <w:tc>
          <w:tcPr>
            <w:tcW w:w="2959" w:type="dxa"/>
            <w:hideMark/>
          </w:tcPr>
          <w:p w14:paraId="1554F36B" w14:textId="77777777" w:rsidR="0001256D" w:rsidRPr="00C20D37" w:rsidRDefault="0001256D" w:rsidP="00E9250B">
            <w:r w:rsidRPr="00C20D37">
              <w:t xml:space="preserve">Veiklos sąnaudų lygis, proc. </w:t>
            </w:r>
            <w:r w:rsidRPr="00C20D37">
              <w:br w:type="page"/>
            </w:r>
            <w:r w:rsidRPr="00C20D37">
              <w:rPr>
                <w:i/>
                <w:iCs/>
              </w:rPr>
              <w:t>(Veiklos sąnaudos (Pardavimo sąn.+Bendrosios ir administracinės sąn.))/(Pardavimo pajamos)</w:t>
            </w:r>
          </w:p>
        </w:tc>
        <w:tc>
          <w:tcPr>
            <w:tcW w:w="1266" w:type="dxa"/>
          </w:tcPr>
          <w:p w14:paraId="770B17B9" w14:textId="77777777" w:rsidR="0001256D" w:rsidRPr="00C20D37" w:rsidRDefault="0001256D" w:rsidP="00E9250B">
            <w:pPr>
              <w:jc w:val="center"/>
            </w:pPr>
            <w:r>
              <w:t>&lt;10</w:t>
            </w:r>
          </w:p>
        </w:tc>
        <w:tc>
          <w:tcPr>
            <w:tcW w:w="1276" w:type="dxa"/>
            <w:shd w:val="clear" w:color="000000" w:fill="FFFFFF"/>
          </w:tcPr>
          <w:p w14:paraId="7F9A1BD3" w14:textId="77777777" w:rsidR="0001256D" w:rsidRPr="00C20D37" w:rsidRDefault="0001256D" w:rsidP="00E9250B">
            <w:pPr>
              <w:jc w:val="center"/>
            </w:pPr>
            <w:r>
              <w:t>6,21</w:t>
            </w:r>
          </w:p>
        </w:tc>
        <w:tc>
          <w:tcPr>
            <w:tcW w:w="3544" w:type="dxa"/>
            <w:noWrap/>
          </w:tcPr>
          <w:p w14:paraId="562A6529" w14:textId="77777777" w:rsidR="0001256D" w:rsidRPr="00C20D37" w:rsidRDefault="0001256D" w:rsidP="00E9250B"/>
        </w:tc>
      </w:tr>
      <w:tr w:rsidR="0001256D" w:rsidRPr="00C20D37" w14:paraId="7BCC2A71" w14:textId="77777777" w:rsidTr="00E9250B">
        <w:trPr>
          <w:gridAfter w:val="1"/>
          <w:wAfter w:w="15" w:type="dxa"/>
          <w:trHeight w:val="1290"/>
        </w:trPr>
        <w:tc>
          <w:tcPr>
            <w:tcW w:w="580" w:type="dxa"/>
            <w:shd w:val="clear" w:color="000000" w:fill="FFFFFF"/>
            <w:hideMark/>
          </w:tcPr>
          <w:p w14:paraId="15BF6161" w14:textId="77777777" w:rsidR="0001256D" w:rsidRPr="00C20D37" w:rsidRDefault="0001256D" w:rsidP="00E9250B">
            <w:pPr>
              <w:jc w:val="center"/>
            </w:pPr>
            <w:r w:rsidRPr="00C20D37">
              <w:lastRenderedPageBreak/>
              <w:t>5</w:t>
            </w:r>
          </w:p>
        </w:tc>
        <w:tc>
          <w:tcPr>
            <w:tcW w:w="2959" w:type="dxa"/>
            <w:hideMark/>
          </w:tcPr>
          <w:p w14:paraId="6A078B3F" w14:textId="77777777" w:rsidR="0001256D" w:rsidRPr="00C20D37" w:rsidRDefault="0001256D" w:rsidP="00E9250B">
            <w:r w:rsidRPr="00C20D37">
              <w:t>Pardavimų savikainos lygis, proc.</w:t>
            </w:r>
            <w:r w:rsidRPr="00C20D37">
              <w:br/>
            </w:r>
            <w:r w:rsidRPr="00C20D37">
              <w:rPr>
                <w:i/>
                <w:iCs/>
              </w:rPr>
              <w:t>(Pardavimo savikaina/(Pardavimo pajamos) x 100</w:t>
            </w:r>
          </w:p>
        </w:tc>
        <w:tc>
          <w:tcPr>
            <w:tcW w:w="1266" w:type="dxa"/>
          </w:tcPr>
          <w:p w14:paraId="3E75D4E4" w14:textId="77777777" w:rsidR="0001256D" w:rsidRPr="00C20D37" w:rsidRDefault="0001256D" w:rsidP="00E9250B">
            <w:pPr>
              <w:jc w:val="center"/>
            </w:pPr>
            <w:r>
              <w:t>&lt;90</w:t>
            </w:r>
          </w:p>
        </w:tc>
        <w:tc>
          <w:tcPr>
            <w:tcW w:w="1276" w:type="dxa"/>
            <w:shd w:val="clear" w:color="000000" w:fill="FFFFFF"/>
          </w:tcPr>
          <w:p w14:paraId="497502F9" w14:textId="77777777" w:rsidR="0001256D" w:rsidRPr="00C20D37" w:rsidRDefault="0001256D" w:rsidP="00E9250B">
            <w:pPr>
              <w:jc w:val="center"/>
            </w:pPr>
            <w:r>
              <w:t>88,85</w:t>
            </w:r>
          </w:p>
        </w:tc>
        <w:tc>
          <w:tcPr>
            <w:tcW w:w="3544" w:type="dxa"/>
          </w:tcPr>
          <w:p w14:paraId="28FFE3A0" w14:textId="77777777" w:rsidR="0001256D" w:rsidRPr="00C20D37" w:rsidRDefault="0001256D" w:rsidP="00E9250B"/>
        </w:tc>
      </w:tr>
    </w:tbl>
    <w:p w14:paraId="62852F87" w14:textId="77777777" w:rsidR="0001256D" w:rsidRPr="00C20D37" w:rsidRDefault="0001256D" w:rsidP="0001256D"/>
    <w:p w14:paraId="2A7D3F43" w14:textId="4278E546" w:rsidR="0001256D" w:rsidRPr="00C20D37" w:rsidRDefault="0001256D" w:rsidP="0001256D">
      <w:pPr>
        <w:jc w:val="center"/>
        <w:rPr>
          <w:b/>
          <w:bCs/>
        </w:rPr>
      </w:pPr>
      <w:r w:rsidRPr="00C20D37">
        <w:rPr>
          <w:b/>
          <w:bCs/>
        </w:rPr>
        <w:t>UAB „Kauno vandenys“ 202</w:t>
      </w:r>
      <w:r>
        <w:rPr>
          <w:b/>
          <w:bCs/>
        </w:rPr>
        <w:t>5</w:t>
      </w:r>
      <w:r w:rsidRPr="00C20D37">
        <w:rPr>
          <w:b/>
          <w:bCs/>
        </w:rPr>
        <w:t xml:space="preserve"> metų finansinių ir nefinansinių lūkesčių vertinimo rodiklių vertinimas</w:t>
      </w:r>
      <w:r w:rsidR="00893114">
        <w:rPr>
          <w:b/>
          <w:bCs/>
        </w:rPr>
        <w:t xml:space="preserve"> </w:t>
      </w:r>
    </w:p>
    <w:p w14:paraId="21F0B26D" w14:textId="77777777" w:rsidR="0001256D" w:rsidRPr="00C20D37" w:rsidRDefault="0001256D" w:rsidP="0001256D"/>
    <w:tbl>
      <w:tblPr>
        <w:tblW w:w="9493" w:type="dxa"/>
        <w:tblLook w:val="04A0" w:firstRow="1" w:lastRow="0" w:firstColumn="1" w:lastColumn="0" w:noHBand="0" w:noVBand="1"/>
      </w:tblPr>
      <w:tblGrid>
        <w:gridCol w:w="563"/>
        <w:gridCol w:w="2834"/>
        <w:gridCol w:w="1276"/>
        <w:gridCol w:w="1276"/>
        <w:gridCol w:w="3544"/>
      </w:tblGrid>
      <w:tr w:rsidR="0001256D" w:rsidRPr="00C20D37" w14:paraId="01E45AD9" w14:textId="77777777" w:rsidTr="00893114">
        <w:trPr>
          <w:trHeight w:val="1575"/>
          <w:tblHeader/>
        </w:trPr>
        <w:tc>
          <w:tcPr>
            <w:tcW w:w="563" w:type="dxa"/>
            <w:tcBorders>
              <w:top w:val="single" w:sz="4" w:space="0" w:color="auto"/>
              <w:left w:val="single" w:sz="4" w:space="0" w:color="auto"/>
              <w:bottom w:val="single" w:sz="4" w:space="0" w:color="auto"/>
              <w:right w:val="single" w:sz="4" w:space="0" w:color="auto"/>
            </w:tcBorders>
            <w:vAlign w:val="center"/>
            <w:hideMark/>
          </w:tcPr>
          <w:p w14:paraId="29F9C535" w14:textId="77777777" w:rsidR="0001256D" w:rsidRPr="00C20D37" w:rsidRDefault="0001256D" w:rsidP="00E9250B">
            <w:pPr>
              <w:jc w:val="center"/>
            </w:pPr>
            <w:r w:rsidRPr="00C20D37">
              <w:t>Eil. Nr.</w:t>
            </w:r>
          </w:p>
        </w:tc>
        <w:tc>
          <w:tcPr>
            <w:tcW w:w="2834" w:type="dxa"/>
            <w:tcBorders>
              <w:top w:val="single" w:sz="4" w:space="0" w:color="auto"/>
              <w:left w:val="nil"/>
              <w:bottom w:val="single" w:sz="4" w:space="0" w:color="auto"/>
              <w:right w:val="single" w:sz="4" w:space="0" w:color="auto"/>
            </w:tcBorders>
            <w:vAlign w:val="center"/>
            <w:hideMark/>
          </w:tcPr>
          <w:p w14:paraId="6E0F5246" w14:textId="77777777" w:rsidR="0001256D" w:rsidRPr="00C20D37" w:rsidRDefault="0001256D" w:rsidP="00E9250B">
            <w:pPr>
              <w:jc w:val="center"/>
            </w:pPr>
            <w:r w:rsidRPr="00C20D37">
              <w:t>Rodiklis (pavadinimas, skaičiavimo būdas, mato vienetas)</w:t>
            </w:r>
          </w:p>
        </w:tc>
        <w:tc>
          <w:tcPr>
            <w:tcW w:w="1276" w:type="dxa"/>
            <w:tcBorders>
              <w:top w:val="single" w:sz="4" w:space="0" w:color="auto"/>
              <w:left w:val="nil"/>
              <w:bottom w:val="single" w:sz="4" w:space="0" w:color="auto"/>
              <w:right w:val="single" w:sz="4" w:space="0" w:color="auto"/>
            </w:tcBorders>
            <w:vAlign w:val="center"/>
            <w:hideMark/>
          </w:tcPr>
          <w:p w14:paraId="5CD44755" w14:textId="77777777" w:rsidR="0001256D" w:rsidRPr="00C20D37" w:rsidRDefault="0001256D" w:rsidP="00E9250B">
            <w:pPr>
              <w:jc w:val="center"/>
            </w:pPr>
            <w:r w:rsidRPr="00C20D37">
              <w:t>202</w:t>
            </w:r>
            <w:r>
              <w:t>5</w:t>
            </w:r>
            <w:r w:rsidRPr="00C20D37">
              <w:t xml:space="preserve"> m. planuota rodiklio reikšmė</w:t>
            </w:r>
          </w:p>
        </w:tc>
        <w:tc>
          <w:tcPr>
            <w:tcW w:w="1276" w:type="dxa"/>
            <w:tcBorders>
              <w:top w:val="single" w:sz="4" w:space="0" w:color="auto"/>
              <w:left w:val="nil"/>
              <w:bottom w:val="single" w:sz="4" w:space="0" w:color="auto"/>
              <w:right w:val="single" w:sz="4" w:space="0" w:color="auto"/>
            </w:tcBorders>
            <w:vAlign w:val="center"/>
            <w:hideMark/>
          </w:tcPr>
          <w:p w14:paraId="56C1641D" w14:textId="77777777" w:rsidR="0001256D" w:rsidRPr="00C20D37" w:rsidRDefault="0001256D" w:rsidP="00E9250B">
            <w:pPr>
              <w:jc w:val="center"/>
            </w:pPr>
            <w:r w:rsidRPr="00C20D37">
              <w:t>202</w:t>
            </w:r>
            <w:r>
              <w:t>5</w:t>
            </w:r>
            <w:r w:rsidRPr="00C20D37">
              <w:t xml:space="preserve"> m. pasiekta rodiklio reikšmė</w:t>
            </w:r>
          </w:p>
        </w:tc>
        <w:tc>
          <w:tcPr>
            <w:tcW w:w="3544" w:type="dxa"/>
            <w:tcBorders>
              <w:top w:val="single" w:sz="4" w:space="0" w:color="auto"/>
              <w:left w:val="nil"/>
              <w:bottom w:val="single" w:sz="4" w:space="0" w:color="auto"/>
              <w:right w:val="single" w:sz="4" w:space="0" w:color="auto"/>
            </w:tcBorders>
            <w:vAlign w:val="center"/>
            <w:hideMark/>
          </w:tcPr>
          <w:p w14:paraId="542A9D60" w14:textId="77777777" w:rsidR="0001256D" w:rsidRPr="00C20D37" w:rsidRDefault="0001256D" w:rsidP="00E9250B">
            <w:pPr>
              <w:jc w:val="center"/>
            </w:pPr>
            <w:r w:rsidRPr="00C20D37">
              <w:t>Informacija apie vykdymą</w:t>
            </w:r>
          </w:p>
        </w:tc>
      </w:tr>
      <w:tr w:rsidR="0001256D" w:rsidRPr="00C20D37" w14:paraId="69A109B9" w14:textId="77777777" w:rsidTr="00E9250B">
        <w:trPr>
          <w:trHeight w:val="465"/>
        </w:trPr>
        <w:tc>
          <w:tcPr>
            <w:tcW w:w="9493" w:type="dxa"/>
            <w:gridSpan w:val="5"/>
            <w:tcBorders>
              <w:top w:val="single" w:sz="4" w:space="0" w:color="auto"/>
              <w:left w:val="single" w:sz="4" w:space="0" w:color="auto"/>
              <w:bottom w:val="single" w:sz="4" w:space="0" w:color="auto"/>
              <w:right w:val="single" w:sz="4" w:space="0" w:color="auto"/>
            </w:tcBorders>
            <w:hideMark/>
          </w:tcPr>
          <w:p w14:paraId="307DEAAF" w14:textId="0C6469CB" w:rsidR="0001256D" w:rsidRPr="00C20D37" w:rsidRDefault="0001256D" w:rsidP="00893114">
            <w:r w:rsidRPr="00C20D37">
              <w:rPr>
                <w:b/>
                <w:bCs/>
              </w:rPr>
              <w:t>Nefinansinių lūkesčių vertinimo rodikliai</w:t>
            </w:r>
            <w:r w:rsidRPr="00C20D37">
              <w:t> </w:t>
            </w:r>
          </w:p>
        </w:tc>
      </w:tr>
      <w:tr w:rsidR="0001256D" w:rsidRPr="00C20D37" w14:paraId="480363C7" w14:textId="77777777" w:rsidTr="00E9250B">
        <w:trPr>
          <w:trHeight w:val="1910"/>
        </w:trPr>
        <w:tc>
          <w:tcPr>
            <w:tcW w:w="563" w:type="dxa"/>
            <w:tcBorders>
              <w:top w:val="single" w:sz="4" w:space="0" w:color="auto"/>
              <w:left w:val="single" w:sz="4" w:space="0" w:color="auto"/>
              <w:bottom w:val="single" w:sz="4" w:space="0" w:color="auto"/>
              <w:right w:val="single" w:sz="4" w:space="0" w:color="auto"/>
            </w:tcBorders>
            <w:hideMark/>
          </w:tcPr>
          <w:p w14:paraId="61FF005B" w14:textId="3FBD7A24" w:rsidR="0001256D" w:rsidRPr="00C20D37" w:rsidRDefault="0001256D" w:rsidP="00E9250B">
            <w:pPr>
              <w:jc w:val="center"/>
            </w:pPr>
            <w:r w:rsidRPr="00C20D37">
              <w:t>1</w:t>
            </w:r>
            <w:r w:rsidR="00893114">
              <w:t>.</w:t>
            </w:r>
          </w:p>
        </w:tc>
        <w:tc>
          <w:tcPr>
            <w:tcW w:w="2834" w:type="dxa"/>
            <w:tcBorders>
              <w:top w:val="single" w:sz="4" w:space="0" w:color="auto"/>
              <w:left w:val="single" w:sz="4" w:space="0" w:color="auto"/>
              <w:bottom w:val="single" w:sz="4" w:space="0" w:color="auto"/>
              <w:right w:val="single" w:sz="4" w:space="0" w:color="auto"/>
            </w:tcBorders>
            <w:hideMark/>
          </w:tcPr>
          <w:p w14:paraId="7B6A96EF" w14:textId="77777777" w:rsidR="0001256D" w:rsidRDefault="0001256D" w:rsidP="00E9250B">
            <w:r w:rsidRPr="00C20D37">
              <w:t>Prisijungusių prie nuotekų tinklų gyventojų skaičiaus santykis su visais gyventojais, turinčiais galimybę prisijungti prie šių tinklų, proc.</w:t>
            </w:r>
          </w:p>
          <w:p w14:paraId="0EBD9075" w14:textId="57D0AC30" w:rsidR="00893114" w:rsidRPr="00C20D37" w:rsidRDefault="00893114" w:rsidP="00E9250B"/>
        </w:tc>
        <w:tc>
          <w:tcPr>
            <w:tcW w:w="1276" w:type="dxa"/>
            <w:tcBorders>
              <w:top w:val="single" w:sz="4" w:space="0" w:color="auto"/>
              <w:left w:val="single" w:sz="4" w:space="0" w:color="auto"/>
              <w:bottom w:val="single" w:sz="4" w:space="0" w:color="auto"/>
              <w:right w:val="single" w:sz="4" w:space="0" w:color="auto"/>
            </w:tcBorders>
          </w:tcPr>
          <w:p w14:paraId="195B937A" w14:textId="77777777" w:rsidR="0001256D" w:rsidRPr="00C20D37" w:rsidRDefault="0001256D" w:rsidP="00E9250B">
            <w:pPr>
              <w:jc w:val="center"/>
            </w:pPr>
            <w:r w:rsidRPr="00B50854">
              <w:t>97,9</w:t>
            </w:r>
            <w:r>
              <w:t>0</w:t>
            </w:r>
          </w:p>
        </w:tc>
        <w:tc>
          <w:tcPr>
            <w:tcW w:w="1276" w:type="dxa"/>
            <w:tcBorders>
              <w:top w:val="single" w:sz="4" w:space="0" w:color="auto"/>
              <w:left w:val="single" w:sz="4" w:space="0" w:color="auto"/>
              <w:bottom w:val="single" w:sz="4" w:space="0" w:color="auto"/>
              <w:right w:val="single" w:sz="4" w:space="0" w:color="auto"/>
            </w:tcBorders>
          </w:tcPr>
          <w:p w14:paraId="693560EC" w14:textId="77777777" w:rsidR="0001256D" w:rsidRPr="00C20D37" w:rsidRDefault="0001256D" w:rsidP="00E9250B">
            <w:pPr>
              <w:jc w:val="center"/>
            </w:pPr>
            <w:r w:rsidRPr="00B50854">
              <w:t>99,04</w:t>
            </w:r>
          </w:p>
        </w:tc>
        <w:tc>
          <w:tcPr>
            <w:tcW w:w="3544" w:type="dxa"/>
            <w:tcBorders>
              <w:top w:val="single" w:sz="4" w:space="0" w:color="auto"/>
              <w:left w:val="single" w:sz="4" w:space="0" w:color="auto"/>
              <w:bottom w:val="single" w:sz="4" w:space="0" w:color="auto"/>
              <w:right w:val="single" w:sz="4" w:space="0" w:color="auto"/>
            </w:tcBorders>
            <w:noWrap/>
            <w:hideMark/>
          </w:tcPr>
          <w:p w14:paraId="3FD42104" w14:textId="6F30899F" w:rsidR="0001256D" w:rsidRPr="00C20D37" w:rsidRDefault="0001256D" w:rsidP="00E9250B">
            <w:r w:rsidRPr="00BD1D61">
              <w:t>Iš 174 933 vnt. namų ūkių, kuriems suteikta prisijungimo galimybė, prie nuotekų tinklų prisijungė 173 251 vnt. namų ūkių</w:t>
            </w:r>
          </w:p>
        </w:tc>
      </w:tr>
      <w:tr w:rsidR="0001256D" w:rsidRPr="00C20D37" w14:paraId="4FD395C6" w14:textId="77777777" w:rsidTr="00E9250B">
        <w:trPr>
          <w:trHeight w:val="1555"/>
        </w:trPr>
        <w:tc>
          <w:tcPr>
            <w:tcW w:w="563" w:type="dxa"/>
            <w:tcBorders>
              <w:top w:val="single" w:sz="4" w:space="0" w:color="auto"/>
              <w:left w:val="single" w:sz="4" w:space="0" w:color="auto"/>
              <w:bottom w:val="single" w:sz="4" w:space="0" w:color="auto"/>
              <w:right w:val="single" w:sz="4" w:space="0" w:color="auto"/>
            </w:tcBorders>
            <w:hideMark/>
          </w:tcPr>
          <w:p w14:paraId="4517B484" w14:textId="02B0603D" w:rsidR="0001256D" w:rsidRPr="00C20D37" w:rsidRDefault="0001256D" w:rsidP="00E9250B">
            <w:pPr>
              <w:jc w:val="center"/>
            </w:pPr>
            <w:r w:rsidRPr="00C20D37">
              <w:t>2</w:t>
            </w:r>
            <w:r w:rsidR="00893114">
              <w:t>.</w:t>
            </w:r>
          </w:p>
        </w:tc>
        <w:tc>
          <w:tcPr>
            <w:tcW w:w="2834" w:type="dxa"/>
            <w:tcBorders>
              <w:top w:val="single" w:sz="4" w:space="0" w:color="auto"/>
              <w:left w:val="single" w:sz="4" w:space="0" w:color="auto"/>
              <w:bottom w:val="single" w:sz="4" w:space="0" w:color="auto"/>
              <w:right w:val="single" w:sz="4" w:space="0" w:color="auto"/>
            </w:tcBorders>
            <w:hideMark/>
          </w:tcPr>
          <w:p w14:paraId="35AFC0EF" w14:textId="77777777" w:rsidR="0001256D" w:rsidRDefault="0001256D" w:rsidP="00E9250B">
            <w:r w:rsidRPr="00C20D37">
              <w:t>Paviršinių nuotekų tinklų, atskirtų nuo buitinių nuotekų tinklų, ilgio santykis su visu mišrių nuotekų tinklo ilgiu, proc.</w:t>
            </w:r>
          </w:p>
          <w:p w14:paraId="39750305" w14:textId="7C431CAB" w:rsidR="00893114" w:rsidRPr="00C20D37" w:rsidRDefault="00893114" w:rsidP="00E9250B"/>
        </w:tc>
        <w:tc>
          <w:tcPr>
            <w:tcW w:w="1276" w:type="dxa"/>
            <w:tcBorders>
              <w:top w:val="single" w:sz="4" w:space="0" w:color="auto"/>
              <w:left w:val="single" w:sz="4" w:space="0" w:color="auto"/>
              <w:bottom w:val="single" w:sz="4" w:space="0" w:color="auto"/>
              <w:right w:val="single" w:sz="4" w:space="0" w:color="auto"/>
            </w:tcBorders>
          </w:tcPr>
          <w:p w14:paraId="5901B334" w14:textId="78AE472D" w:rsidR="0001256D" w:rsidRPr="00C20D37" w:rsidRDefault="0001256D" w:rsidP="00893114">
            <w:pPr>
              <w:jc w:val="center"/>
            </w:pPr>
            <w:r w:rsidRPr="007A68C2">
              <w:t>86</w:t>
            </w:r>
            <w:r w:rsidR="00893114">
              <w:t xml:space="preserve"> </w:t>
            </w:r>
          </w:p>
        </w:tc>
        <w:tc>
          <w:tcPr>
            <w:tcW w:w="1276" w:type="dxa"/>
            <w:tcBorders>
              <w:top w:val="single" w:sz="4" w:space="0" w:color="auto"/>
              <w:left w:val="single" w:sz="4" w:space="0" w:color="auto"/>
              <w:bottom w:val="single" w:sz="4" w:space="0" w:color="auto"/>
              <w:right w:val="single" w:sz="4" w:space="0" w:color="auto"/>
            </w:tcBorders>
          </w:tcPr>
          <w:p w14:paraId="3144AA4F" w14:textId="77777777" w:rsidR="0001256D" w:rsidRPr="00C20D37" w:rsidRDefault="0001256D" w:rsidP="00E9250B">
            <w:pPr>
              <w:jc w:val="center"/>
            </w:pPr>
            <w:r w:rsidRPr="007A68C2">
              <w:t>91,3</w:t>
            </w:r>
            <w:r>
              <w:t>0</w:t>
            </w:r>
          </w:p>
        </w:tc>
        <w:tc>
          <w:tcPr>
            <w:tcW w:w="3544" w:type="dxa"/>
            <w:tcBorders>
              <w:top w:val="single" w:sz="4" w:space="0" w:color="auto"/>
              <w:left w:val="single" w:sz="4" w:space="0" w:color="auto"/>
              <w:bottom w:val="single" w:sz="4" w:space="0" w:color="auto"/>
              <w:right w:val="single" w:sz="4" w:space="0" w:color="auto"/>
            </w:tcBorders>
            <w:noWrap/>
          </w:tcPr>
          <w:p w14:paraId="32465910" w14:textId="341C9239" w:rsidR="0001256D" w:rsidRPr="00C20D37" w:rsidRDefault="0001256D" w:rsidP="00E9250B">
            <w:r w:rsidRPr="00BD1D61">
              <w:t>Iš 24,44 km mišrių nuotekų tinklų atskirta 22,31 km paviršinių nuotekų tinklų</w:t>
            </w:r>
          </w:p>
        </w:tc>
      </w:tr>
      <w:tr w:rsidR="0001256D" w:rsidRPr="00C20D37" w14:paraId="23AF7B4F" w14:textId="77777777" w:rsidTr="00E9250B">
        <w:trPr>
          <w:trHeight w:val="945"/>
        </w:trPr>
        <w:tc>
          <w:tcPr>
            <w:tcW w:w="563" w:type="dxa"/>
            <w:tcBorders>
              <w:top w:val="single" w:sz="4" w:space="0" w:color="auto"/>
              <w:left w:val="single" w:sz="4" w:space="0" w:color="auto"/>
              <w:bottom w:val="single" w:sz="4" w:space="0" w:color="auto"/>
              <w:right w:val="single" w:sz="4" w:space="0" w:color="auto"/>
            </w:tcBorders>
            <w:hideMark/>
          </w:tcPr>
          <w:p w14:paraId="0325BA67" w14:textId="5C350E19" w:rsidR="0001256D" w:rsidRPr="00C20D37" w:rsidRDefault="0001256D" w:rsidP="00E9250B">
            <w:pPr>
              <w:jc w:val="center"/>
            </w:pPr>
            <w:r w:rsidRPr="00C20D37">
              <w:t>3</w:t>
            </w:r>
            <w:r w:rsidR="00893114">
              <w:t>.</w:t>
            </w:r>
          </w:p>
        </w:tc>
        <w:tc>
          <w:tcPr>
            <w:tcW w:w="2834" w:type="dxa"/>
            <w:tcBorders>
              <w:top w:val="single" w:sz="4" w:space="0" w:color="auto"/>
              <w:left w:val="single" w:sz="4" w:space="0" w:color="auto"/>
              <w:bottom w:val="single" w:sz="4" w:space="0" w:color="auto"/>
              <w:right w:val="single" w:sz="4" w:space="0" w:color="auto"/>
            </w:tcBorders>
            <w:hideMark/>
          </w:tcPr>
          <w:p w14:paraId="117132D5" w14:textId="77777777" w:rsidR="0001256D" w:rsidRDefault="0001256D" w:rsidP="00E9250B">
            <w:r w:rsidRPr="00C20D37">
              <w:t>Po susisiekimo komunikacijų kapitalinio remonto ar rekonstravimo darbų 5 metų garantinių darbų laikotarpyje avarinių situacijų skaičius, vnt.</w:t>
            </w:r>
          </w:p>
          <w:p w14:paraId="596CC35B" w14:textId="0E7AA0A2" w:rsidR="00893114" w:rsidRPr="00C20D37" w:rsidRDefault="00893114" w:rsidP="00E9250B"/>
        </w:tc>
        <w:tc>
          <w:tcPr>
            <w:tcW w:w="1276" w:type="dxa"/>
            <w:tcBorders>
              <w:top w:val="single" w:sz="4" w:space="0" w:color="auto"/>
              <w:left w:val="single" w:sz="4" w:space="0" w:color="auto"/>
              <w:bottom w:val="single" w:sz="4" w:space="0" w:color="auto"/>
              <w:right w:val="single" w:sz="4" w:space="0" w:color="auto"/>
            </w:tcBorders>
          </w:tcPr>
          <w:p w14:paraId="3C8F4DE8" w14:textId="77777777" w:rsidR="0001256D" w:rsidRPr="00C20D37" w:rsidRDefault="0001256D" w:rsidP="00E9250B">
            <w:pPr>
              <w:jc w:val="center"/>
            </w:pPr>
            <w:r>
              <w:t>0</w:t>
            </w:r>
          </w:p>
        </w:tc>
        <w:tc>
          <w:tcPr>
            <w:tcW w:w="1276" w:type="dxa"/>
            <w:tcBorders>
              <w:top w:val="single" w:sz="4" w:space="0" w:color="auto"/>
              <w:left w:val="single" w:sz="4" w:space="0" w:color="auto"/>
              <w:bottom w:val="single" w:sz="4" w:space="0" w:color="auto"/>
              <w:right w:val="single" w:sz="4" w:space="0" w:color="auto"/>
            </w:tcBorders>
          </w:tcPr>
          <w:p w14:paraId="60AC9193" w14:textId="77777777" w:rsidR="0001256D" w:rsidRPr="00C20D37" w:rsidRDefault="0001256D" w:rsidP="00E9250B">
            <w:pPr>
              <w:jc w:val="center"/>
            </w:pPr>
            <w:r>
              <w:t>1</w:t>
            </w:r>
          </w:p>
        </w:tc>
        <w:tc>
          <w:tcPr>
            <w:tcW w:w="3544" w:type="dxa"/>
            <w:tcBorders>
              <w:top w:val="single" w:sz="4" w:space="0" w:color="auto"/>
              <w:left w:val="single" w:sz="4" w:space="0" w:color="auto"/>
              <w:bottom w:val="single" w:sz="4" w:space="0" w:color="auto"/>
              <w:right w:val="single" w:sz="4" w:space="0" w:color="auto"/>
            </w:tcBorders>
          </w:tcPr>
          <w:p w14:paraId="57599B81" w14:textId="64D46C62" w:rsidR="0001256D" w:rsidRPr="00C20D37" w:rsidRDefault="0001256D" w:rsidP="00893114">
            <w:r w:rsidRPr="00AC458E">
              <w:t>Avarija įvyko 2025 m</w:t>
            </w:r>
            <w:r w:rsidR="00893114">
              <w:t xml:space="preserve">. </w:t>
            </w:r>
            <w:r w:rsidRPr="00AC458E">
              <w:t>I pusm. Romainių g.</w:t>
            </w:r>
          </w:p>
        </w:tc>
      </w:tr>
      <w:tr w:rsidR="0001256D" w:rsidRPr="00C20D37" w14:paraId="580F8E88" w14:textId="77777777" w:rsidTr="00E9250B">
        <w:trPr>
          <w:trHeight w:val="4484"/>
        </w:trPr>
        <w:tc>
          <w:tcPr>
            <w:tcW w:w="563" w:type="dxa"/>
            <w:tcBorders>
              <w:top w:val="single" w:sz="4" w:space="0" w:color="auto"/>
              <w:left w:val="single" w:sz="4" w:space="0" w:color="auto"/>
              <w:bottom w:val="single" w:sz="4" w:space="0" w:color="auto"/>
              <w:right w:val="single" w:sz="4" w:space="0" w:color="auto"/>
            </w:tcBorders>
            <w:hideMark/>
          </w:tcPr>
          <w:p w14:paraId="1E1A3834" w14:textId="4830FF14" w:rsidR="0001256D" w:rsidRPr="00C20D37" w:rsidRDefault="0001256D" w:rsidP="00E9250B">
            <w:pPr>
              <w:jc w:val="center"/>
            </w:pPr>
            <w:r w:rsidRPr="00C20D37">
              <w:lastRenderedPageBreak/>
              <w:t>4</w:t>
            </w:r>
            <w:r w:rsidR="00893114">
              <w:t>.</w:t>
            </w:r>
          </w:p>
        </w:tc>
        <w:tc>
          <w:tcPr>
            <w:tcW w:w="2834" w:type="dxa"/>
            <w:tcBorders>
              <w:top w:val="single" w:sz="4" w:space="0" w:color="auto"/>
              <w:left w:val="single" w:sz="4" w:space="0" w:color="auto"/>
              <w:bottom w:val="single" w:sz="4" w:space="0" w:color="auto"/>
              <w:right w:val="single" w:sz="4" w:space="0" w:color="auto"/>
            </w:tcBorders>
            <w:noWrap/>
            <w:hideMark/>
          </w:tcPr>
          <w:p w14:paraId="6EEAE6B3" w14:textId="77777777" w:rsidR="0001256D" w:rsidRPr="004C7C03" w:rsidRDefault="0001256D" w:rsidP="00E9250B">
            <w:r w:rsidRPr="004C7C03">
              <w:t>Vartotojų nusiskundimų dėl tiekiamo vandens kokybės lygio (nusiskundimų lygis) pokytis, proc.</w:t>
            </w:r>
          </w:p>
          <w:p w14:paraId="44A149A1" w14:textId="77777777" w:rsidR="0001256D" w:rsidRDefault="0001256D" w:rsidP="00E9250B">
            <w:pPr>
              <w:rPr>
                <w:i/>
                <w:iCs/>
              </w:rPr>
            </w:pPr>
            <w:r w:rsidRPr="0012405C">
              <w:rPr>
                <w:i/>
                <w:iCs/>
              </w:rPr>
              <w:t>((nusiskundimų lygis</w:t>
            </w:r>
            <w:r w:rsidRPr="0012405C">
              <w:rPr>
                <w:i/>
                <w:iCs/>
                <w:vertAlign w:val="subscript"/>
              </w:rPr>
              <w:t>n</w:t>
            </w:r>
            <w:r w:rsidRPr="0012405C">
              <w:rPr>
                <w:i/>
                <w:iCs/>
              </w:rPr>
              <w:t xml:space="preserve"> – nusiskundimų lygis</w:t>
            </w:r>
            <w:r w:rsidRPr="0012405C">
              <w:rPr>
                <w:i/>
                <w:iCs/>
                <w:vertAlign w:val="subscript"/>
              </w:rPr>
              <w:t>n-1)</w:t>
            </w:r>
            <w:r w:rsidRPr="0012405C">
              <w:rPr>
                <w:i/>
                <w:iCs/>
              </w:rPr>
              <w:t>/</w:t>
            </w:r>
          </w:p>
          <w:p w14:paraId="7A926ED7" w14:textId="77777777" w:rsidR="0001256D" w:rsidRDefault="0001256D" w:rsidP="00E9250B">
            <w:pPr>
              <w:rPr>
                <w:i/>
                <w:iCs/>
              </w:rPr>
            </w:pPr>
            <w:r w:rsidRPr="0012405C">
              <w:rPr>
                <w:i/>
                <w:iCs/>
              </w:rPr>
              <w:t>nusiskundimų lygis</w:t>
            </w:r>
            <w:r w:rsidRPr="0012405C">
              <w:rPr>
                <w:i/>
                <w:iCs/>
                <w:vertAlign w:val="subscript"/>
              </w:rPr>
              <w:t>n-1</w:t>
            </w:r>
            <w:r w:rsidRPr="0012405C">
              <w:rPr>
                <w:i/>
                <w:iCs/>
              </w:rPr>
              <w:t>)*100</w:t>
            </w:r>
          </w:p>
          <w:p w14:paraId="5EB327A3" w14:textId="77777777" w:rsidR="0001256D" w:rsidRPr="008C115C" w:rsidRDefault="0001256D" w:rsidP="00E9250B">
            <w:pPr>
              <w:rPr>
                <w:i/>
                <w:iCs/>
              </w:rPr>
            </w:pPr>
            <w:r w:rsidRPr="008C115C">
              <w:rPr>
                <w:i/>
                <w:iCs/>
              </w:rPr>
              <w:t>n – finansiniai metai;</w:t>
            </w:r>
          </w:p>
          <w:p w14:paraId="1A048A09" w14:textId="77777777" w:rsidR="0001256D" w:rsidRPr="008C115C" w:rsidRDefault="0001256D" w:rsidP="00E9250B">
            <w:pPr>
              <w:rPr>
                <w:i/>
                <w:iCs/>
              </w:rPr>
            </w:pPr>
            <w:r w:rsidRPr="008C115C">
              <w:rPr>
                <w:i/>
                <w:iCs/>
              </w:rPr>
              <w:t xml:space="preserve">n </w:t>
            </w:r>
            <w:r>
              <w:rPr>
                <w:i/>
                <w:iCs/>
              </w:rPr>
              <w:t>-</w:t>
            </w:r>
            <w:r w:rsidRPr="008C115C">
              <w:rPr>
                <w:i/>
                <w:iCs/>
              </w:rPr>
              <w:t xml:space="preserve"> 1 – praėję finansiniai metai;</w:t>
            </w:r>
          </w:p>
          <w:p w14:paraId="3B302B60" w14:textId="77777777" w:rsidR="0001256D" w:rsidRPr="008C115C" w:rsidRDefault="0001256D" w:rsidP="00E9250B">
            <w:pPr>
              <w:rPr>
                <w:i/>
                <w:iCs/>
              </w:rPr>
            </w:pPr>
            <w:r w:rsidRPr="008C115C">
              <w:rPr>
                <w:i/>
                <w:iCs/>
              </w:rPr>
              <w:t>nusiskundimų lygis:</w:t>
            </w:r>
          </w:p>
          <w:p w14:paraId="41FCCCE1" w14:textId="77777777" w:rsidR="0001256D" w:rsidRDefault="0001256D" w:rsidP="00E9250B">
            <w:pPr>
              <w:rPr>
                <w:i/>
                <w:iCs/>
              </w:rPr>
            </w:pPr>
            <w:r w:rsidRPr="008C115C">
              <w:rPr>
                <w:i/>
                <w:iCs/>
              </w:rPr>
              <w:t>(vartotojų nusiskundimų dėl tieki</w:t>
            </w:r>
            <w:r>
              <w:rPr>
                <w:i/>
                <w:iCs/>
              </w:rPr>
              <w:t>a</w:t>
            </w:r>
            <w:r w:rsidRPr="008C115C">
              <w:rPr>
                <w:i/>
                <w:iCs/>
              </w:rPr>
              <w:t>mo vandens kokybės skaičius/</w:t>
            </w:r>
          </w:p>
          <w:p w14:paraId="1A4CA6C3" w14:textId="77777777" w:rsidR="0001256D" w:rsidRPr="00C20D37" w:rsidRDefault="0001256D" w:rsidP="00E9250B">
            <w:r w:rsidRPr="008C115C">
              <w:rPr>
                <w:i/>
                <w:iCs/>
              </w:rPr>
              <w:t>analogiškų vartotojų nusiskundimų per praeitus 3 metus skaičiaus vidurkis)*100</w:t>
            </w:r>
          </w:p>
        </w:tc>
        <w:tc>
          <w:tcPr>
            <w:tcW w:w="1276" w:type="dxa"/>
            <w:tcBorders>
              <w:top w:val="single" w:sz="4" w:space="0" w:color="auto"/>
              <w:left w:val="single" w:sz="4" w:space="0" w:color="auto"/>
              <w:bottom w:val="single" w:sz="4" w:space="0" w:color="auto"/>
              <w:right w:val="single" w:sz="4" w:space="0" w:color="auto"/>
            </w:tcBorders>
          </w:tcPr>
          <w:p w14:paraId="09A64436" w14:textId="77777777" w:rsidR="0001256D" w:rsidRPr="00C20D37" w:rsidRDefault="0001256D" w:rsidP="00E9250B">
            <w:pPr>
              <w:jc w:val="center"/>
            </w:pPr>
            <w:r w:rsidRPr="007F2DD9">
              <w:t>≤ 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A937607" w14:textId="77777777" w:rsidR="0001256D" w:rsidRPr="00C20D37" w:rsidRDefault="0001256D" w:rsidP="00E9250B">
            <w:pPr>
              <w:jc w:val="center"/>
            </w:pPr>
            <w:r w:rsidRPr="007F2DD9">
              <w:t>118,48</w:t>
            </w:r>
          </w:p>
        </w:tc>
        <w:tc>
          <w:tcPr>
            <w:tcW w:w="3544" w:type="dxa"/>
            <w:tcBorders>
              <w:top w:val="single" w:sz="4" w:space="0" w:color="auto"/>
              <w:left w:val="single" w:sz="4" w:space="0" w:color="auto"/>
              <w:bottom w:val="single" w:sz="4" w:space="0" w:color="auto"/>
              <w:right w:val="single" w:sz="4" w:space="0" w:color="auto"/>
            </w:tcBorders>
          </w:tcPr>
          <w:p w14:paraId="1623BD0B" w14:textId="77777777" w:rsidR="0001256D" w:rsidRPr="007F2DD9" w:rsidRDefault="0001256D" w:rsidP="00E9250B">
            <w:r w:rsidRPr="007F2DD9">
              <w:t xml:space="preserve">Nusiskundimų skaičius 2025 m. </w:t>
            </w:r>
            <w:r w:rsidRPr="008C115C">
              <w:rPr>
                <w:i/>
                <w:iCs/>
              </w:rPr>
              <w:t>–</w:t>
            </w:r>
            <w:r w:rsidRPr="007F2DD9">
              <w:t xml:space="preserve"> 63, 2022-2024 m. nusiskundimų skaičiaus vidurkis </w:t>
            </w:r>
            <w:r w:rsidRPr="008C115C">
              <w:rPr>
                <w:i/>
                <w:iCs/>
              </w:rPr>
              <w:t>–</w:t>
            </w:r>
            <w:r w:rsidRPr="007F2DD9">
              <w:t xml:space="preserve"> 43. Nusiskundimų lygis 2025 metais </w:t>
            </w:r>
            <w:r w:rsidRPr="008C115C">
              <w:rPr>
                <w:i/>
                <w:iCs/>
              </w:rPr>
              <w:t>–</w:t>
            </w:r>
            <w:r w:rsidRPr="007F2DD9">
              <w:t>146,51 proc. (&gt; nei 100 proc., nusiskundimų daugėja)</w:t>
            </w:r>
          </w:p>
          <w:p w14:paraId="741801F2" w14:textId="396936C5" w:rsidR="0001256D" w:rsidRPr="00C20D37" w:rsidRDefault="0001256D" w:rsidP="00893114">
            <w:r w:rsidRPr="007F2DD9">
              <w:t xml:space="preserve">Nusiskundimų skaičius 2024 m. </w:t>
            </w:r>
            <w:r w:rsidRPr="008C115C">
              <w:rPr>
                <w:i/>
                <w:iCs/>
              </w:rPr>
              <w:t>–</w:t>
            </w:r>
            <w:r w:rsidRPr="007F2DD9">
              <w:t xml:space="preserve"> 38, 2021</w:t>
            </w:r>
            <w:r w:rsidR="00893114">
              <w:t>–</w:t>
            </w:r>
            <w:r w:rsidRPr="007F2DD9">
              <w:t xml:space="preserve">2023 m. nusiskundimų skaičiaus vidurkis </w:t>
            </w:r>
            <w:r w:rsidRPr="008C115C">
              <w:rPr>
                <w:i/>
                <w:iCs/>
              </w:rPr>
              <w:t>–</w:t>
            </w:r>
            <w:r>
              <w:rPr>
                <w:i/>
                <w:iCs/>
              </w:rPr>
              <w:t xml:space="preserve"> </w:t>
            </w:r>
            <w:r w:rsidRPr="007F2DD9">
              <w:t xml:space="preserve">57. Nusiskundimų lygis 2024 metais </w:t>
            </w:r>
            <w:r w:rsidRPr="008C115C">
              <w:rPr>
                <w:i/>
                <w:iCs/>
              </w:rPr>
              <w:t>–</w:t>
            </w:r>
            <w:r w:rsidRPr="007F2DD9">
              <w:t xml:space="preserve"> 67,06 proc. (&lt; nei 100 proc., nusiskundimų mažėjo)</w:t>
            </w:r>
          </w:p>
        </w:tc>
      </w:tr>
      <w:tr w:rsidR="0001256D" w:rsidRPr="00C20D37" w14:paraId="0F6AAAAC" w14:textId="77777777" w:rsidTr="00E9250B">
        <w:trPr>
          <w:trHeight w:val="5003"/>
        </w:trPr>
        <w:tc>
          <w:tcPr>
            <w:tcW w:w="563" w:type="dxa"/>
            <w:tcBorders>
              <w:top w:val="single" w:sz="4" w:space="0" w:color="auto"/>
              <w:left w:val="single" w:sz="4" w:space="0" w:color="auto"/>
              <w:bottom w:val="single" w:sz="4" w:space="0" w:color="auto"/>
              <w:right w:val="single" w:sz="4" w:space="0" w:color="auto"/>
            </w:tcBorders>
            <w:hideMark/>
          </w:tcPr>
          <w:p w14:paraId="67DBEDB7" w14:textId="26FA3E7F" w:rsidR="0001256D" w:rsidRPr="00C20D37" w:rsidRDefault="0001256D" w:rsidP="00E9250B">
            <w:pPr>
              <w:jc w:val="center"/>
            </w:pPr>
            <w:r w:rsidRPr="00C20D37">
              <w:t>5</w:t>
            </w:r>
            <w:r w:rsidR="00893114">
              <w:t>.</w:t>
            </w:r>
          </w:p>
        </w:tc>
        <w:tc>
          <w:tcPr>
            <w:tcW w:w="2834" w:type="dxa"/>
            <w:tcBorders>
              <w:top w:val="single" w:sz="4" w:space="0" w:color="auto"/>
              <w:left w:val="single" w:sz="4" w:space="0" w:color="auto"/>
              <w:bottom w:val="single" w:sz="4" w:space="0" w:color="auto"/>
              <w:right w:val="single" w:sz="4" w:space="0" w:color="auto"/>
            </w:tcBorders>
            <w:hideMark/>
          </w:tcPr>
          <w:p w14:paraId="7B3B7E69" w14:textId="2E7BB432" w:rsidR="0001256D" w:rsidRPr="00C20D37" w:rsidRDefault="0001256D" w:rsidP="00893114">
            <w:pPr>
              <w:spacing w:after="240"/>
            </w:pPr>
            <w:r w:rsidRPr="00C20D37">
              <w:t>Išduotų prisijungimo sąlygų paviršinių nuotekų infrastruktūros įrengimui tvariai valomose ir tvarkomose teritorijose* skaičiaus santykis su bendrai išduotų prisijungimo sąlygų paviršinių nuotekų infrastruktūros įrengimui skaičiumi, proc.</w:t>
            </w:r>
            <w:r w:rsidRPr="00C20D37">
              <w:br/>
            </w:r>
            <w:r w:rsidRPr="00C20D37">
              <w:rPr>
                <w:i/>
                <w:iCs/>
              </w:rPr>
              <w:t>*tvariai tvarkoma teritorija laikoma ta teritorij</w:t>
            </w:r>
            <w:r w:rsidR="00893114">
              <w:rPr>
                <w:i/>
                <w:iCs/>
              </w:rPr>
              <w:t>a</w:t>
            </w:r>
            <w:r w:rsidRPr="00C20D37">
              <w:rPr>
                <w:i/>
                <w:iCs/>
              </w:rPr>
              <w:t>, kurioje paviršinis lietaus vanduo yra užlaikomas ir vietoje infiltruojamas</w:t>
            </w:r>
          </w:p>
        </w:tc>
        <w:tc>
          <w:tcPr>
            <w:tcW w:w="1276" w:type="dxa"/>
            <w:tcBorders>
              <w:top w:val="single" w:sz="4" w:space="0" w:color="auto"/>
              <w:left w:val="single" w:sz="4" w:space="0" w:color="auto"/>
              <w:bottom w:val="single" w:sz="4" w:space="0" w:color="auto"/>
              <w:right w:val="single" w:sz="4" w:space="0" w:color="auto"/>
            </w:tcBorders>
          </w:tcPr>
          <w:p w14:paraId="346D88CB" w14:textId="77777777" w:rsidR="0001256D" w:rsidRPr="00C20D37" w:rsidRDefault="0001256D" w:rsidP="00E9250B">
            <w:pPr>
              <w:jc w:val="center"/>
            </w:pPr>
            <w:r>
              <w:t>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92596F4" w14:textId="77777777" w:rsidR="0001256D" w:rsidRPr="00C20D37" w:rsidRDefault="0001256D" w:rsidP="00E9250B">
            <w:pPr>
              <w:jc w:val="center"/>
            </w:pPr>
            <w:r w:rsidRPr="00F41C62">
              <w:t>16,98</w:t>
            </w:r>
          </w:p>
        </w:tc>
        <w:tc>
          <w:tcPr>
            <w:tcW w:w="3544" w:type="dxa"/>
            <w:tcBorders>
              <w:top w:val="single" w:sz="4" w:space="0" w:color="auto"/>
              <w:left w:val="single" w:sz="4" w:space="0" w:color="auto"/>
              <w:bottom w:val="single" w:sz="4" w:space="0" w:color="auto"/>
              <w:right w:val="single" w:sz="4" w:space="0" w:color="auto"/>
            </w:tcBorders>
            <w:noWrap/>
            <w:hideMark/>
          </w:tcPr>
          <w:p w14:paraId="62A5C5A8" w14:textId="77777777" w:rsidR="00893114" w:rsidRDefault="0001256D" w:rsidP="00893114">
            <w:r w:rsidRPr="00F41C62">
              <w:t>Iš 3823 išduotų sąlygų paviršinių tinklų infrastruktūr</w:t>
            </w:r>
            <w:r w:rsidR="00893114">
              <w:t xml:space="preserve">ai </w:t>
            </w:r>
            <w:r w:rsidRPr="00F41C62">
              <w:t>įreng</w:t>
            </w:r>
            <w:r w:rsidR="00893114">
              <w:t xml:space="preserve">ti </w:t>
            </w:r>
          </w:p>
          <w:p w14:paraId="621D0C38" w14:textId="334A7A3A" w:rsidR="0001256D" w:rsidRPr="00C20D37" w:rsidRDefault="0001256D" w:rsidP="00893114">
            <w:r w:rsidRPr="00F41C62">
              <w:t>649 yra tvariose teritorijose</w:t>
            </w:r>
          </w:p>
        </w:tc>
      </w:tr>
      <w:tr w:rsidR="0001256D" w:rsidRPr="00C20D37" w14:paraId="5CF04EB8" w14:textId="77777777" w:rsidTr="00E9250B">
        <w:trPr>
          <w:trHeight w:val="390"/>
        </w:trPr>
        <w:tc>
          <w:tcPr>
            <w:tcW w:w="9493" w:type="dxa"/>
            <w:gridSpan w:val="5"/>
            <w:tcBorders>
              <w:top w:val="single" w:sz="4" w:space="0" w:color="auto"/>
              <w:left w:val="single" w:sz="4" w:space="0" w:color="auto"/>
              <w:bottom w:val="single" w:sz="4" w:space="0" w:color="auto"/>
              <w:right w:val="single" w:sz="4" w:space="0" w:color="auto"/>
            </w:tcBorders>
            <w:hideMark/>
          </w:tcPr>
          <w:p w14:paraId="0A22324C" w14:textId="541416BE" w:rsidR="0001256D" w:rsidRPr="00C20D37" w:rsidRDefault="0001256D" w:rsidP="00893114">
            <w:pPr>
              <w:rPr>
                <w:b/>
                <w:bCs/>
              </w:rPr>
            </w:pPr>
            <w:r w:rsidRPr="00C20D37">
              <w:rPr>
                <w:b/>
                <w:bCs/>
              </w:rPr>
              <w:t> Finansinių lūkesčių vertinimo rodikliai</w:t>
            </w:r>
            <w:r w:rsidR="00893114">
              <w:rPr>
                <w:b/>
                <w:bCs/>
              </w:rPr>
              <w:t xml:space="preserve"> </w:t>
            </w:r>
          </w:p>
        </w:tc>
      </w:tr>
      <w:tr w:rsidR="0001256D" w:rsidRPr="00C20D37" w14:paraId="4D59DF81" w14:textId="77777777" w:rsidTr="00E9250B">
        <w:trPr>
          <w:trHeight w:val="1050"/>
        </w:trPr>
        <w:tc>
          <w:tcPr>
            <w:tcW w:w="563" w:type="dxa"/>
            <w:tcBorders>
              <w:top w:val="single" w:sz="4" w:space="0" w:color="auto"/>
              <w:left w:val="single" w:sz="4" w:space="0" w:color="auto"/>
              <w:bottom w:val="single" w:sz="4" w:space="0" w:color="auto"/>
              <w:right w:val="single" w:sz="4" w:space="0" w:color="auto"/>
            </w:tcBorders>
            <w:shd w:val="clear" w:color="000000" w:fill="FFFFFF"/>
            <w:hideMark/>
          </w:tcPr>
          <w:p w14:paraId="0A08E321" w14:textId="7F6FF13B" w:rsidR="0001256D" w:rsidRPr="00C20D37" w:rsidRDefault="00893114" w:rsidP="00E9250B">
            <w:pPr>
              <w:jc w:val="center"/>
            </w:pPr>
            <w:r>
              <w:t>6.</w:t>
            </w:r>
          </w:p>
        </w:tc>
        <w:tc>
          <w:tcPr>
            <w:tcW w:w="2834" w:type="dxa"/>
            <w:tcBorders>
              <w:top w:val="single" w:sz="4" w:space="0" w:color="auto"/>
              <w:left w:val="single" w:sz="4" w:space="0" w:color="auto"/>
              <w:bottom w:val="single" w:sz="4" w:space="0" w:color="auto"/>
              <w:right w:val="single" w:sz="4" w:space="0" w:color="auto"/>
            </w:tcBorders>
            <w:hideMark/>
          </w:tcPr>
          <w:p w14:paraId="11FE2D40" w14:textId="77777777" w:rsidR="0001256D" w:rsidRPr="00C20D37" w:rsidRDefault="0001256D" w:rsidP="00E9250B">
            <w:r w:rsidRPr="00C20D37">
              <w:t>EBITDA marža, proc.</w:t>
            </w:r>
            <w:r w:rsidRPr="00C20D37">
              <w:br/>
            </w:r>
            <w:r w:rsidRPr="00C20D37">
              <w:rPr>
                <w:i/>
                <w:iCs/>
              </w:rPr>
              <w:t>((EBIT+Nusidėvėjimo ir amortizacijos sąnaudos)/ pardavimo pajamos) x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F1AB5EF" w14:textId="77777777" w:rsidR="0001256D" w:rsidRPr="00C20D37" w:rsidRDefault="0001256D" w:rsidP="00E9250B">
            <w:pPr>
              <w:jc w:val="center"/>
            </w:pPr>
            <w:r w:rsidRPr="00F41C62">
              <w:t>37,5</w:t>
            </w:r>
            <w:r>
              <w:t>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EC268D1" w14:textId="77777777" w:rsidR="0001256D" w:rsidRPr="00C20D37" w:rsidRDefault="0001256D" w:rsidP="00E9250B">
            <w:pPr>
              <w:jc w:val="center"/>
            </w:pPr>
            <w:r w:rsidRPr="00F41C62">
              <w:t>44,84</w:t>
            </w:r>
          </w:p>
        </w:tc>
        <w:tc>
          <w:tcPr>
            <w:tcW w:w="3544" w:type="dxa"/>
            <w:tcBorders>
              <w:top w:val="single" w:sz="4" w:space="0" w:color="auto"/>
              <w:left w:val="single" w:sz="4" w:space="0" w:color="auto"/>
              <w:bottom w:val="single" w:sz="4" w:space="0" w:color="auto"/>
              <w:right w:val="single" w:sz="4" w:space="0" w:color="auto"/>
            </w:tcBorders>
            <w:noWrap/>
            <w:hideMark/>
          </w:tcPr>
          <w:p w14:paraId="233BEF59" w14:textId="77777777" w:rsidR="0001256D" w:rsidRPr="00C20D37" w:rsidRDefault="0001256D" w:rsidP="00E9250B">
            <w:r w:rsidRPr="00C20D37">
              <w:t> </w:t>
            </w:r>
          </w:p>
        </w:tc>
      </w:tr>
      <w:tr w:rsidR="0001256D" w:rsidRPr="00C20D37" w14:paraId="3777CE06" w14:textId="77777777" w:rsidTr="00E9250B">
        <w:trPr>
          <w:trHeight w:val="1110"/>
        </w:trPr>
        <w:tc>
          <w:tcPr>
            <w:tcW w:w="563" w:type="dxa"/>
            <w:tcBorders>
              <w:top w:val="single" w:sz="4" w:space="0" w:color="auto"/>
              <w:left w:val="single" w:sz="4" w:space="0" w:color="auto"/>
              <w:bottom w:val="single" w:sz="4" w:space="0" w:color="auto"/>
              <w:right w:val="single" w:sz="4" w:space="0" w:color="auto"/>
            </w:tcBorders>
            <w:shd w:val="clear" w:color="000000" w:fill="FFFFFF"/>
            <w:hideMark/>
          </w:tcPr>
          <w:p w14:paraId="0BE03E38" w14:textId="7A12CDEB" w:rsidR="0001256D" w:rsidRPr="00C20D37" w:rsidRDefault="00893114" w:rsidP="00E9250B">
            <w:pPr>
              <w:jc w:val="center"/>
            </w:pPr>
            <w:r>
              <w:lastRenderedPageBreak/>
              <w:t>7.</w:t>
            </w:r>
          </w:p>
        </w:tc>
        <w:tc>
          <w:tcPr>
            <w:tcW w:w="2834" w:type="dxa"/>
            <w:tcBorders>
              <w:top w:val="single" w:sz="4" w:space="0" w:color="auto"/>
              <w:left w:val="single" w:sz="4" w:space="0" w:color="auto"/>
              <w:bottom w:val="single" w:sz="4" w:space="0" w:color="auto"/>
              <w:right w:val="single" w:sz="4" w:space="0" w:color="auto"/>
            </w:tcBorders>
            <w:hideMark/>
          </w:tcPr>
          <w:p w14:paraId="34BFA277" w14:textId="77777777" w:rsidR="0001256D" w:rsidRPr="00C20D37" w:rsidRDefault="0001256D" w:rsidP="00E9250B">
            <w:r w:rsidRPr="00C20D37">
              <w:t>Ilgalaikių skolų ir nuosavybės rodiklis, koef.</w:t>
            </w:r>
            <w:r w:rsidRPr="00C20D37">
              <w:br/>
            </w:r>
            <w:r w:rsidRPr="00C20D37">
              <w:rPr>
                <w:i/>
                <w:iCs/>
              </w:rPr>
              <w:t>(Po vienų metų mokėtinos sumos ir kiti ilgalaikiai įsipareigojimai)/(Nuosavas kapitalas)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6C88AF2" w14:textId="77777777" w:rsidR="0001256D" w:rsidRPr="00C20D37" w:rsidRDefault="0001256D" w:rsidP="00E9250B">
            <w:pPr>
              <w:jc w:val="center"/>
            </w:pPr>
            <w:r w:rsidRPr="00150001">
              <w:t>&lt; 0,5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68725FA" w14:textId="77777777" w:rsidR="0001256D" w:rsidRPr="00C20D37" w:rsidRDefault="0001256D" w:rsidP="00E9250B">
            <w:pPr>
              <w:jc w:val="center"/>
            </w:pPr>
            <w:r>
              <w:t>0,24</w:t>
            </w:r>
          </w:p>
        </w:tc>
        <w:tc>
          <w:tcPr>
            <w:tcW w:w="3544" w:type="dxa"/>
            <w:tcBorders>
              <w:top w:val="single" w:sz="4" w:space="0" w:color="auto"/>
              <w:left w:val="single" w:sz="4" w:space="0" w:color="auto"/>
              <w:bottom w:val="single" w:sz="4" w:space="0" w:color="auto"/>
              <w:right w:val="single" w:sz="4" w:space="0" w:color="auto"/>
            </w:tcBorders>
            <w:noWrap/>
            <w:hideMark/>
          </w:tcPr>
          <w:p w14:paraId="49C8CD46" w14:textId="77777777" w:rsidR="0001256D" w:rsidRPr="00C20D37" w:rsidRDefault="0001256D" w:rsidP="00E9250B">
            <w:r w:rsidRPr="00C20D37">
              <w:t> </w:t>
            </w:r>
          </w:p>
        </w:tc>
      </w:tr>
      <w:tr w:rsidR="0001256D" w:rsidRPr="00C20D37" w14:paraId="3328EA5A" w14:textId="77777777" w:rsidTr="00E9250B">
        <w:trPr>
          <w:trHeight w:val="1305"/>
        </w:trPr>
        <w:tc>
          <w:tcPr>
            <w:tcW w:w="563" w:type="dxa"/>
            <w:tcBorders>
              <w:top w:val="single" w:sz="4" w:space="0" w:color="auto"/>
              <w:left w:val="single" w:sz="4" w:space="0" w:color="auto"/>
              <w:bottom w:val="single" w:sz="4" w:space="0" w:color="auto"/>
              <w:right w:val="single" w:sz="4" w:space="0" w:color="auto"/>
            </w:tcBorders>
            <w:shd w:val="clear" w:color="000000" w:fill="FFFFFF"/>
            <w:hideMark/>
          </w:tcPr>
          <w:p w14:paraId="0A277C9F" w14:textId="04C6303F" w:rsidR="0001256D" w:rsidRPr="00C20D37" w:rsidRDefault="00893114" w:rsidP="00E9250B">
            <w:pPr>
              <w:jc w:val="center"/>
            </w:pPr>
            <w:r>
              <w:t>8.</w:t>
            </w:r>
          </w:p>
        </w:tc>
        <w:tc>
          <w:tcPr>
            <w:tcW w:w="2834" w:type="dxa"/>
            <w:tcBorders>
              <w:top w:val="single" w:sz="4" w:space="0" w:color="auto"/>
              <w:left w:val="single" w:sz="4" w:space="0" w:color="auto"/>
              <w:bottom w:val="single" w:sz="4" w:space="0" w:color="auto"/>
              <w:right w:val="single" w:sz="4" w:space="0" w:color="auto"/>
            </w:tcBorders>
            <w:hideMark/>
          </w:tcPr>
          <w:p w14:paraId="27E49B55" w14:textId="77777777" w:rsidR="0001256D" w:rsidRPr="00C20D37" w:rsidRDefault="0001256D" w:rsidP="00E9250B">
            <w:r w:rsidRPr="00C20D37">
              <w:t>Nuosavo kapitalo grąža, siekiant užtikrinti dividendų akcininkams mokėjimą, proc.</w:t>
            </w:r>
            <w:r w:rsidRPr="00C20D37">
              <w:br/>
            </w:r>
            <w:r w:rsidRPr="00C20D37">
              <w:rPr>
                <w:i/>
                <w:iCs/>
              </w:rPr>
              <w:t>(Grynasis pelnas (nuostoliai))/(Nuosavo kapitalo laikotarpio pradžioje ir pabaigoje vidurkis) ×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827CEDE" w14:textId="77777777" w:rsidR="0001256D" w:rsidRPr="00C20D37" w:rsidRDefault="0001256D" w:rsidP="00E9250B">
            <w:pPr>
              <w:jc w:val="center"/>
            </w:pPr>
            <w:r w:rsidRPr="00150001">
              <w:t>&gt; 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A37DCF5" w14:textId="77777777" w:rsidR="0001256D" w:rsidRPr="00C20D37" w:rsidRDefault="0001256D" w:rsidP="00E9250B">
            <w:pPr>
              <w:jc w:val="center"/>
            </w:pPr>
            <w:r>
              <w:t>5,40</w:t>
            </w:r>
          </w:p>
        </w:tc>
        <w:tc>
          <w:tcPr>
            <w:tcW w:w="3544" w:type="dxa"/>
            <w:tcBorders>
              <w:top w:val="single" w:sz="4" w:space="0" w:color="auto"/>
              <w:left w:val="single" w:sz="4" w:space="0" w:color="auto"/>
              <w:bottom w:val="single" w:sz="4" w:space="0" w:color="auto"/>
              <w:right w:val="single" w:sz="4" w:space="0" w:color="auto"/>
            </w:tcBorders>
            <w:noWrap/>
            <w:hideMark/>
          </w:tcPr>
          <w:p w14:paraId="4C2499B1" w14:textId="77777777" w:rsidR="0001256D" w:rsidRPr="00C20D37" w:rsidRDefault="0001256D" w:rsidP="00E9250B"/>
        </w:tc>
      </w:tr>
      <w:tr w:rsidR="0001256D" w:rsidRPr="00C20D37" w14:paraId="4D21206E" w14:textId="77777777" w:rsidTr="00E9250B">
        <w:trPr>
          <w:trHeight w:val="1185"/>
        </w:trPr>
        <w:tc>
          <w:tcPr>
            <w:tcW w:w="563" w:type="dxa"/>
            <w:tcBorders>
              <w:top w:val="single" w:sz="4" w:space="0" w:color="auto"/>
              <w:left w:val="single" w:sz="4" w:space="0" w:color="auto"/>
              <w:bottom w:val="single" w:sz="4" w:space="0" w:color="auto"/>
              <w:right w:val="single" w:sz="4" w:space="0" w:color="auto"/>
            </w:tcBorders>
            <w:shd w:val="clear" w:color="000000" w:fill="FFFFFF"/>
            <w:hideMark/>
          </w:tcPr>
          <w:p w14:paraId="43B34A5F" w14:textId="51E58298" w:rsidR="0001256D" w:rsidRPr="00C20D37" w:rsidRDefault="00893114" w:rsidP="00E9250B">
            <w:pPr>
              <w:jc w:val="center"/>
            </w:pPr>
            <w:r>
              <w:t>9.</w:t>
            </w:r>
          </w:p>
        </w:tc>
        <w:tc>
          <w:tcPr>
            <w:tcW w:w="2834" w:type="dxa"/>
            <w:tcBorders>
              <w:top w:val="single" w:sz="4" w:space="0" w:color="auto"/>
              <w:left w:val="single" w:sz="4" w:space="0" w:color="auto"/>
              <w:bottom w:val="single" w:sz="4" w:space="0" w:color="auto"/>
              <w:right w:val="single" w:sz="4" w:space="0" w:color="auto"/>
            </w:tcBorders>
            <w:hideMark/>
          </w:tcPr>
          <w:p w14:paraId="503909E2" w14:textId="77777777" w:rsidR="0001256D" w:rsidRDefault="0001256D" w:rsidP="00E9250B">
            <w:pPr>
              <w:rPr>
                <w:i/>
                <w:iCs/>
              </w:rPr>
            </w:pPr>
            <w:r w:rsidRPr="00C20D37">
              <w:t>Veiklos sąnaudų lygis, proc.</w:t>
            </w:r>
            <w:r w:rsidRPr="00C20D37">
              <w:br/>
            </w:r>
            <w:r w:rsidRPr="00C20D37">
              <w:rPr>
                <w:i/>
                <w:iCs/>
              </w:rPr>
              <w:t>(Veiklos sąnaudos (Pardavimo sąn</w:t>
            </w:r>
            <w:r>
              <w:rPr>
                <w:i/>
                <w:iCs/>
              </w:rPr>
              <w:t>audos</w:t>
            </w:r>
            <w:r w:rsidRPr="00C20D37">
              <w:rPr>
                <w:i/>
                <w:iCs/>
              </w:rPr>
              <w:t>+</w:t>
            </w:r>
          </w:p>
          <w:p w14:paraId="373D081B" w14:textId="77777777" w:rsidR="0001256D" w:rsidRPr="00C20D37" w:rsidRDefault="0001256D" w:rsidP="00E9250B">
            <w:r w:rsidRPr="00C20D37">
              <w:rPr>
                <w:i/>
                <w:iCs/>
              </w:rPr>
              <w:t>Bendrosios ir administracinės sąn</w:t>
            </w:r>
            <w:r>
              <w:rPr>
                <w:i/>
                <w:iCs/>
              </w:rPr>
              <w:t>audos</w:t>
            </w:r>
            <w:r w:rsidRPr="00C20D37">
              <w:rPr>
                <w:i/>
                <w:iCs/>
              </w:rPr>
              <w:t>))/(Pardavimo pajamos)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6CC7F4" w14:textId="77777777" w:rsidR="0001256D" w:rsidRPr="00C20D37" w:rsidRDefault="0001256D" w:rsidP="00E9250B">
            <w:pPr>
              <w:jc w:val="center"/>
            </w:pPr>
            <w:r w:rsidRPr="00150001">
              <w:t>&lt; 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73FB4CE" w14:textId="77777777" w:rsidR="0001256D" w:rsidRPr="00C20D37" w:rsidRDefault="0001256D" w:rsidP="00E9250B">
            <w:pPr>
              <w:jc w:val="center"/>
            </w:pPr>
            <w:r>
              <w:t>3,51</w:t>
            </w:r>
          </w:p>
        </w:tc>
        <w:tc>
          <w:tcPr>
            <w:tcW w:w="3544" w:type="dxa"/>
            <w:tcBorders>
              <w:top w:val="single" w:sz="4" w:space="0" w:color="auto"/>
              <w:left w:val="single" w:sz="4" w:space="0" w:color="auto"/>
              <w:bottom w:val="single" w:sz="4" w:space="0" w:color="auto"/>
              <w:right w:val="single" w:sz="4" w:space="0" w:color="auto"/>
            </w:tcBorders>
            <w:noWrap/>
            <w:hideMark/>
          </w:tcPr>
          <w:p w14:paraId="42082285" w14:textId="77777777" w:rsidR="0001256D" w:rsidRPr="00C20D37" w:rsidRDefault="0001256D" w:rsidP="00E9250B">
            <w:r w:rsidRPr="00C20D37">
              <w:t> </w:t>
            </w:r>
          </w:p>
        </w:tc>
      </w:tr>
    </w:tbl>
    <w:p w14:paraId="0AE60D2E" w14:textId="77777777" w:rsidR="0001256D" w:rsidRPr="00893114" w:rsidRDefault="0001256D" w:rsidP="0001256D">
      <w:pPr>
        <w:rPr>
          <w:bCs/>
        </w:rPr>
      </w:pPr>
    </w:p>
    <w:p w14:paraId="369462CC" w14:textId="0C149A44" w:rsidR="0001256D" w:rsidRPr="00C20D37" w:rsidRDefault="0001256D" w:rsidP="0001256D">
      <w:pPr>
        <w:jc w:val="center"/>
        <w:rPr>
          <w:b/>
          <w:bCs/>
        </w:rPr>
      </w:pPr>
      <w:r w:rsidRPr="00C20D37">
        <w:rPr>
          <w:b/>
          <w:bCs/>
        </w:rPr>
        <w:t>UAB „Kauno autobusai“ 202</w:t>
      </w:r>
      <w:r>
        <w:rPr>
          <w:b/>
          <w:bCs/>
        </w:rPr>
        <w:t>5</w:t>
      </w:r>
      <w:r w:rsidRPr="00C20D37">
        <w:rPr>
          <w:b/>
          <w:bCs/>
        </w:rPr>
        <w:t xml:space="preserve"> metų finansinių ir nefinansinių lūkesčių vertinimo rodiklių vertinimas</w:t>
      </w:r>
      <w:r w:rsidR="00893114">
        <w:rPr>
          <w:b/>
          <w:bCs/>
        </w:rPr>
        <w:t xml:space="preserve"> </w:t>
      </w:r>
    </w:p>
    <w:p w14:paraId="759EF1B7" w14:textId="0AB58221" w:rsidR="0001256D" w:rsidRPr="00C20D37" w:rsidRDefault="0001256D" w:rsidP="0001256D"/>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846"/>
        <w:gridCol w:w="1276"/>
        <w:gridCol w:w="1276"/>
        <w:gridCol w:w="3544"/>
      </w:tblGrid>
      <w:tr w:rsidR="0001256D" w:rsidRPr="00C20D37" w14:paraId="3A1F1D5E" w14:textId="77777777" w:rsidTr="0059460C">
        <w:trPr>
          <w:trHeight w:val="1797"/>
          <w:tblHeader/>
        </w:trPr>
        <w:tc>
          <w:tcPr>
            <w:tcW w:w="551" w:type="dxa"/>
            <w:vAlign w:val="center"/>
            <w:hideMark/>
          </w:tcPr>
          <w:p w14:paraId="6DABEFDD" w14:textId="77777777" w:rsidR="0001256D" w:rsidRPr="00C20D37" w:rsidRDefault="0001256D" w:rsidP="00E9250B">
            <w:pPr>
              <w:jc w:val="center"/>
            </w:pPr>
            <w:r w:rsidRPr="00C20D37">
              <w:t>Eil. Nr.</w:t>
            </w:r>
          </w:p>
        </w:tc>
        <w:tc>
          <w:tcPr>
            <w:tcW w:w="2846" w:type="dxa"/>
            <w:vAlign w:val="center"/>
            <w:hideMark/>
          </w:tcPr>
          <w:p w14:paraId="781DF12F" w14:textId="77777777" w:rsidR="0001256D" w:rsidRPr="00C20D37" w:rsidRDefault="0001256D" w:rsidP="00E9250B">
            <w:pPr>
              <w:jc w:val="center"/>
            </w:pPr>
            <w:r w:rsidRPr="00C20D37">
              <w:t xml:space="preserve"> Rodiklis (pavadinimas, skaičiavimo būdas, mato vienetas)</w:t>
            </w:r>
          </w:p>
        </w:tc>
        <w:tc>
          <w:tcPr>
            <w:tcW w:w="1276" w:type="dxa"/>
            <w:vAlign w:val="center"/>
            <w:hideMark/>
          </w:tcPr>
          <w:p w14:paraId="2FBA9AAD" w14:textId="77777777" w:rsidR="0001256D" w:rsidRPr="00C20D37" w:rsidRDefault="0001256D" w:rsidP="00E9250B">
            <w:pPr>
              <w:jc w:val="center"/>
            </w:pPr>
            <w:r w:rsidRPr="00C20D37">
              <w:t>202</w:t>
            </w:r>
            <w:r>
              <w:t>5</w:t>
            </w:r>
            <w:r w:rsidRPr="00C20D37">
              <w:t xml:space="preserve"> m. planuota rodiklio reikšmė</w:t>
            </w:r>
          </w:p>
        </w:tc>
        <w:tc>
          <w:tcPr>
            <w:tcW w:w="1276" w:type="dxa"/>
            <w:vAlign w:val="center"/>
            <w:hideMark/>
          </w:tcPr>
          <w:p w14:paraId="24CCA967" w14:textId="77777777" w:rsidR="0001256D" w:rsidRPr="00C20D37" w:rsidRDefault="0001256D" w:rsidP="00E9250B">
            <w:pPr>
              <w:jc w:val="center"/>
            </w:pPr>
            <w:r w:rsidRPr="00C20D37">
              <w:t>202</w:t>
            </w:r>
            <w:r>
              <w:t>5</w:t>
            </w:r>
            <w:r w:rsidRPr="00C20D37">
              <w:t xml:space="preserve"> m. pasiekta rodiklio reikšmė</w:t>
            </w:r>
          </w:p>
        </w:tc>
        <w:tc>
          <w:tcPr>
            <w:tcW w:w="3544" w:type="dxa"/>
            <w:vAlign w:val="center"/>
            <w:hideMark/>
          </w:tcPr>
          <w:p w14:paraId="5A8BA3FE" w14:textId="77777777" w:rsidR="0001256D" w:rsidRPr="00C20D37" w:rsidRDefault="0001256D" w:rsidP="00E9250B">
            <w:pPr>
              <w:jc w:val="center"/>
            </w:pPr>
            <w:r w:rsidRPr="00C20D37">
              <w:t>Informacija apie vykdymą</w:t>
            </w:r>
          </w:p>
        </w:tc>
      </w:tr>
      <w:tr w:rsidR="0001256D" w:rsidRPr="00C20D37" w14:paraId="2F9A471D" w14:textId="77777777" w:rsidTr="00E9250B">
        <w:trPr>
          <w:trHeight w:val="300"/>
        </w:trPr>
        <w:tc>
          <w:tcPr>
            <w:tcW w:w="9493" w:type="dxa"/>
            <w:gridSpan w:val="5"/>
            <w:hideMark/>
          </w:tcPr>
          <w:p w14:paraId="56B66DAC" w14:textId="77777777" w:rsidR="0001256D" w:rsidRPr="00C20D37" w:rsidRDefault="0001256D" w:rsidP="00E9250B">
            <w:r w:rsidRPr="00C20D37">
              <w:rPr>
                <w:b/>
                <w:bCs/>
              </w:rPr>
              <w:t>Nefinansinių lūkesčių vertinimo rodikliai:</w:t>
            </w:r>
            <w:r w:rsidRPr="00C20D37">
              <w:t> </w:t>
            </w:r>
          </w:p>
        </w:tc>
      </w:tr>
      <w:tr w:rsidR="0001256D" w:rsidRPr="00C20D37" w14:paraId="037F2DC6" w14:textId="77777777" w:rsidTr="00E9250B">
        <w:trPr>
          <w:trHeight w:val="720"/>
        </w:trPr>
        <w:tc>
          <w:tcPr>
            <w:tcW w:w="551" w:type="dxa"/>
            <w:hideMark/>
          </w:tcPr>
          <w:p w14:paraId="4CA6DF07" w14:textId="418D01F6" w:rsidR="0001256D" w:rsidRPr="00C20D37" w:rsidRDefault="0001256D" w:rsidP="00E9250B">
            <w:pPr>
              <w:jc w:val="center"/>
            </w:pPr>
            <w:r w:rsidRPr="00C20D37">
              <w:t>1</w:t>
            </w:r>
            <w:r w:rsidR="00893114">
              <w:t>.</w:t>
            </w:r>
          </w:p>
        </w:tc>
        <w:tc>
          <w:tcPr>
            <w:tcW w:w="2846" w:type="dxa"/>
            <w:hideMark/>
          </w:tcPr>
          <w:p w14:paraId="38C6F1ED" w14:textId="77777777" w:rsidR="0001256D" w:rsidRPr="00C20D37" w:rsidRDefault="0001256D" w:rsidP="00E9250B">
            <w:r w:rsidRPr="00C20D37">
              <w:t>Pervežtų keleivių skaičius, mln.</w:t>
            </w:r>
          </w:p>
        </w:tc>
        <w:tc>
          <w:tcPr>
            <w:tcW w:w="1276" w:type="dxa"/>
          </w:tcPr>
          <w:p w14:paraId="433BD788" w14:textId="77777777" w:rsidR="0001256D" w:rsidRPr="00C20D37" w:rsidRDefault="0001256D" w:rsidP="00E9250B">
            <w:pPr>
              <w:jc w:val="center"/>
            </w:pPr>
            <w:r>
              <w:t>46</w:t>
            </w:r>
          </w:p>
        </w:tc>
        <w:tc>
          <w:tcPr>
            <w:tcW w:w="1276" w:type="dxa"/>
          </w:tcPr>
          <w:p w14:paraId="69C84C5A" w14:textId="77777777" w:rsidR="0001256D" w:rsidRPr="00C20D37" w:rsidRDefault="0001256D" w:rsidP="00E9250B">
            <w:pPr>
              <w:jc w:val="center"/>
            </w:pPr>
            <w:r>
              <w:t>46,8</w:t>
            </w:r>
          </w:p>
        </w:tc>
        <w:tc>
          <w:tcPr>
            <w:tcW w:w="3544" w:type="dxa"/>
            <w:noWrap/>
          </w:tcPr>
          <w:p w14:paraId="442611A1" w14:textId="77777777" w:rsidR="0001256D" w:rsidRPr="00C20D37" w:rsidRDefault="0001256D" w:rsidP="00E9250B"/>
        </w:tc>
      </w:tr>
      <w:tr w:rsidR="0001256D" w:rsidRPr="00C20D37" w14:paraId="675B8083" w14:textId="77777777" w:rsidTr="00E9250B">
        <w:trPr>
          <w:trHeight w:val="970"/>
        </w:trPr>
        <w:tc>
          <w:tcPr>
            <w:tcW w:w="551" w:type="dxa"/>
            <w:hideMark/>
          </w:tcPr>
          <w:p w14:paraId="410BC811" w14:textId="06633C26" w:rsidR="0001256D" w:rsidRPr="00C20D37" w:rsidRDefault="0001256D" w:rsidP="00E9250B">
            <w:pPr>
              <w:jc w:val="center"/>
            </w:pPr>
            <w:r w:rsidRPr="00C20D37">
              <w:t>2</w:t>
            </w:r>
            <w:r w:rsidR="00893114">
              <w:t>.</w:t>
            </w:r>
          </w:p>
        </w:tc>
        <w:tc>
          <w:tcPr>
            <w:tcW w:w="2846" w:type="dxa"/>
            <w:hideMark/>
          </w:tcPr>
          <w:p w14:paraId="7C07046C" w14:textId="77777777" w:rsidR="0001256D" w:rsidRPr="00C20D37" w:rsidRDefault="0001256D" w:rsidP="00E9250B">
            <w:r w:rsidRPr="00C20D37">
              <w:t>Bendras vidutinis viešojo transporto eksploatacinis greitis, km/h</w:t>
            </w:r>
          </w:p>
        </w:tc>
        <w:tc>
          <w:tcPr>
            <w:tcW w:w="1276" w:type="dxa"/>
          </w:tcPr>
          <w:p w14:paraId="344191AE" w14:textId="77777777" w:rsidR="0001256D" w:rsidRPr="00C20D37" w:rsidRDefault="0001256D" w:rsidP="00E9250B">
            <w:pPr>
              <w:jc w:val="center"/>
            </w:pPr>
            <w:r>
              <w:t>22</w:t>
            </w:r>
          </w:p>
        </w:tc>
        <w:tc>
          <w:tcPr>
            <w:tcW w:w="1276" w:type="dxa"/>
          </w:tcPr>
          <w:p w14:paraId="527E9029" w14:textId="77777777" w:rsidR="0001256D" w:rsidRPr="00C20D37" w:rsidRDefault="0001256D" w:rsidP="00E9250B">
            <w:pPr>
              <w:jc w:val="center"/>
            </w:pPr>
            <w:r>
              <w:t>22,04</w:t>
            </w:r>
          </w:p>
        </w:tc>
        <w:tc>
          <w:tcPr>
            <w:tcW w:w="3544" w:type="dxa"/>
            <w:noWrap/>
          </w:tcPr>
          <w:p w14:paraId="5C6D4777" w14:textId="77777777" w:rsidR="0001256D" w:rsidRPr="00C20D37" w:rsidRDefault="0001256D" w:rsidP="00E9250B"/>
        </w:tc>
      </w:tr>
      <w:tr w:rsidR="0001256D" w:rsidRPr="00C20D37" w14:paraId="0FCFF512" w14:textId="77777777" w:rsidTr="00E9250B">
        <w:trPr>
          <w:trHeight w:val="1933"/>
        </w:trPr>
        <w:tc>
          <w:tcPr>
            <w:tcW w:w="551" w:type="dxa"/>
            <w:hideMark/>
          </w:tcPr>
          <w:p w14:paraId="3C5E0B17" w14:textId="0F1D3FA4" w:rsidR="0001256D" w:rsidRPr="00C20D37" w:rsidRDefault="0001256D" w:rsidP="00E9250B">
            <w:pPr>
              <w:jc w:val="center"/>
            </w:pPr>
            <w:r w:rsidRPr="00C20D37">
              <w:lastRenderedPageBreak/>
              <w:t>3</w:t>
            </w:r>
            <w:r w:rsidR="00893114">
              <w:t>.</w:t>
            </w:r>
          </w:p>
        </w:tc>
        <w:tc>
          <w:tcPr>
            <w:tcW w:w="2846" w:type="dxa"/>
            <w:hideMark/>
          </w:tcPr>
          <w:p w14:paraId="7EDC419A" w14:textId="77777777" w:rsidR="0001256D" w:rsidRPr="00C20D37" w:rsidRDefault="0001256D" w:rsidP="00E9250B">
            <w:r w:rsidRPr="00C20D37">
              <w:t>Dėl Bendrovės kaltės (įrangos, infrastruktūros gedimų ir kt.) nutrauktų ir netinkamai įvykdytų reisų ridos dalis nuo visos nuvažiuotos ridos, proc.</w:t>
            </w:r>
          </w:p>
        </w:tc>
        <w:tc>
          <w:tcPr>
            <w:tcW w:w="1276" w:type="dxa"/>
          </w:tcPr>
          <w:p w14:paraId="62CD9F63" w14:textId="77777777" w:rsidR="0001256D" w:rsidRPr="00C20D37" w:rsidRDefault="0001256D" w:rsidP="00E9250B">
            <w:pPr>
              <w:jc w:val="center"/>
            </w:pPr>
            <w:r>
              <w:t>&lt;0,43</w:t>
            </w:r>
          </w:p>
        </w:tc>
        <w:tc>
          <w:tcPr>
            <w:tcW w:w="1276" w:type="dxa"/>
          </w:tcPr>
          <w:p w14:paraId="05688F48" w14:textId="77777777" w:rsidR="0001256D" w:rsidRPr="00C20D37" w:rsidRDefault="0001256D" w:rsidP="00E9250B">
            <w:pPr>
              <w:jc w:val="center"/>
            </w:pPr>
            <w:r>
              <w:t>0,16</w:t>
            </w:r>
          </w:p>
        </w:tc>
        <w:tc>
          <w:tcPr>
            <w:tcW w:w="3544" w:type="dxa"/>
          </w:tcPr>
          <w:p w14:paraId="174D695E" w14:textId="77777777" w:rsidR="0001256D" w:rsidRPr="00C20D37" w:rsidRDefault="0001256D" w:rsidP="00E9250B"/>
        </w:tc>
      </w:tr>
      <w:tr w:rsidR="0001256D" w:rsidRPr="00C20D37" w14:paraId="784A9B18" w14:textId="77777777" w:rsidTr="00E9250B">
        <w:trPr>
          <w:trHeight w:val="300"/>
        </w:trPr>
        <w:tc>
          <w:tcPr>
            <w:tcW w:w="9493" w:type="dxa"/>
            <w:gridSpan w:val="5"/>
            <w:hideMark/>
          </w:tcPr>
          <w:p w14:paraId="37F976AD" w14:textId="77777777" w:rsidR="0001256D" w:rsidRPr="00C20D37" w:rsidRDefault="0001256D" w:rsidP="00E9250B">
            <w:r w:rsidRPr="00C20D37">
              <w:rPr>
                <w:b/>
                <w:bCs/>
              </w:rPr>
              <w:t>Finansinių lūkesčių vertinimo rodikliai</w:t>
            </w:r>
            <w:r w:rsidRPr="00C20D37">
              <w:t>:</w:t>
            </w:r>
          </w:p>
        </w:tc>
      </w:tr>
      <w:tr w:rsidR="0001256D" w:rsidRPr="00C20D37" w14:paraId="633DB866" w14:textId="77777777" w:rsidTr="00E9250B">
        <w:trPr>
          <w:trHeight w:val="930"/>
        </w:trPr>
        <w:tc>
          <w:tcPr>
            <w:tcW w:w="551" w:type="dxa"/>
            <w:shd w:val="clear" w:color="000000" w:fill="FFFFFF"/>
            <w:hideMark/>
          </w:tcPr>
          <w:p w14:paraId="612CD629" w14:textId="1A6F0593" w:rsidR="0001256D" w:rsidRPr="00C20D37" w:rsidRDefault="00893114" w:rsidP="00E9250B">
            <w:pPr>
              <w:jc w:val="center"/>
            </w:pPr>
            <w:r>
              <w:t>4.</w:t>
            </w:r>
          </w:p>
        </w:tc>
        <w:tc>
          <w:tcPr>
            <w:tcW w:w="2846" w:type="dxa"/>
            <w:hideMark/>
          </w:tcPr>
          <w:p w14:paraId="1020D936" w14:textId="77777777" w:rsidR="0001256D" w:rsidRPr="00C20D37" w:rsidRDefault="0001256D" w:rsidP="00E9250B">
            <w:r w:rsidRPr="00C20D37">
              <w:t>EBITDA marža, proc.</w:t>
            </w:r>
            <w:r w:rsidRPr="00C20D37">
              <w:br/>
            </w:r>
            <w:r w:rsidRPr="00C20D37">
              <w:rPr>
                <w:i/>
                <w:iCs/>
              </w:rPr>
              <w:t>(EBIT+Nusidėvėjimo ir amortizacijos sąnaudos)/(pardavimo pajamos) x 100</w:t>
            </w:r>
          </w:p>
        </w:tc>
        <w:tc>
          <w:tcPr>
            <w:tcW w:w="1276" w:type="dxa"/>
          </w:tcPr>
          <w:p w14:paraId="573998D3" w14:textId="77777777" w:rsidR="0001256D" w:rsidRPr="00C20D37" w:rsidRDefault="0001256D" w:rsidP="00E9250B">
            <w:pPr>
              <w:jc w:val="center"/>
            </w:pPr>
            <w:r>
              <w:t>35</w:t>
            </w:r>
          </w:p>
        </w:tc>
        <w:tc>
          <w:tcPr>
            <w:tcW w:w="1276" w:type="dxa"/>
            <w:shd w:val="clear" w:color="000000" w:fill="FFFFFF"/>
          </w:tcPr>
          <w:p w14:paraId="57A8B6EF" w14:textId="77777777" w:rsidR="0001256D" w:rsidRPr="00C20D37" w:rsidRDefault="0001256D" w:rsidP="00E9250B">
            <w:pPr>
              <w:jc w:val="center"/>
            </w:pPr>
            <w:r>
              <w:t>32,6</w:t>
            </w:r>
          </w:p>
        </w:tc>
        <w:tc>
          <w:tcPr>
            <w:tcW w:w="3544" w:type="dxa"/>
            <w:noWrap/>
          </w:tcPr>
          <w:p w14:paraId="7E7ED852" w14:textId="4F1B71C7" w:rsidR="0001256D" w:rsidRPr="00C20D37" w:rsidRDefault="0001256D" w:rsidP="00E9250B">
            <w:r w:rsidRPr="006F7367">
              <w:t>Nevykdoma, dėl sumažėjusios EBITDA. Įtakojo mažesnis pelnas iki mokesčių ir mažesnės nusidėvėjimo ir amortizacijos sąnaudos bei palūkanos</w:t>
            </w:r>
          </w:p>
        </w:tc>
      </w:tr>
      <w:tr w:rsidR="0001256D" w:rsidRPr="00C20D37" w14:paraId="7975892F" w14:textId="77777777" w:rsidTr="00E9250B">
        <w:trPr>
          <w:trHeight w:val="945"/>
        </w:trPr>
        <w:tc>
          <w:tcPr>
            <w:tcW w:w="551" w:type="dxa"/>
            <w:shd w:val="clear" w:color="000000" w:fill="FFFFFF"/>
            <w:hideMark/>
          </w:tcPr>
          <w:p w14:paraId="51D80F93" w14:textId="0B8320DD" w:rsidR="0001256D" w:rsidRPr="00C20D37" w:rsidRDefault="00893114" w:rsidP="00E9250B">
            <w:pPr>
              <w:jc w:val="center"/>
            </w:pPr>
            <w:r>
              <w:t>5.</w:t>
            </w:r>
          </w:p>
        </w:tc>
        <w:tc>
          <w:tcPr>
            <w:tcW w:w="2846" w:type="dxa"/>
            <w:hideMark/>
          </w:tcPr>
          <w:p w14:paraId="68DA512B" w14:textId="77777777" w:rsidR="0001256D" w:rsidRPr="00C20D37" w:rsidRDefault="0001256D" w:rsidP="00E9250B">
            <w:r w:rsidRPr="00C20D37">
              <w:t>Ilgalaikių skolų ir nuosavybės rodiklis, koef.</w:t>
            </w:r>
            <w:r w:rsidRPr="00C20D37">
              <w:br/>
            </w:r>
            <w:r w:rsidRPr="00C20D37">
              <w:rPr>
                <w:i/>
                <w:iCs/>
              </w:rPr>
              <w:t>(Po vienerių metų mokėtinos sumos ir kiti ilgalaikiai įsipareigojimai)/(Nuosavas kapitalas)</w:t>
            </w:r>
          </w:p>
        </w:tc>
        <w:tc>
          <w:tcPr>
            <w:tcW w:w="1276" w:type="dxa"/>
          </w:tcPr>
          <w:p w14:paraId="1A68C580" w14:textId="77777777" w:rsidR="0001256D" w:rsidRPr="00C20D37" w:rsidRDefault="0001256D" w:rsidP="00E9250B">
            <w:pPr>
              <w:jc w:val="center"/>
            </w:pPr>
            <w:r>
              <w:t>&lt;2,7</w:t>
            </w:r>
          </w:p>
        </w:tc>
        <w:tc>
          <w:tcPr>
            <w:tcW w:w="1276" w:type="dxa"/>
            <w:shd w:val="clear" w:color="000000" w:fill="FFFFFF"/>
          </w:tcPr>
          <w:p w14:paraId="406D8209" w14:textId="77777777" w:rsidR="0001256D" w:rsidRPr="00C20D37" w:rsidRDefault="0001256D" w:rsidP="00E9250B">
            <w:pPr>
              <w:jc w:val="center"/>
            </w:pPr>
            <w:r>
              <w:t>1,38</w:t>
            </w:r>
          </w:p>
        </w:tc>
        <w:tc>
          <w:tcPr>
            <w:tcW w:w="3544" w:type="dxa"/>
            <w:noWrap/>
          </w:tcPr>
          <w:p w14:paraId="4422787F" w14:textId="77777777" w:rsidR="0001256D" w:rsidRPr="00C20D37" w:rsidRDefault="0001256D" w:rsidP="00E9250B"/>
        </w:tc>
      </w:tr>
      <w:tr w:rsidR="0001256D" w:rsidRPr="00C20D37" w14:paraId="325E4862" w14:textId="77777777" w:rsidTr="00E9250B">
        <w:trPr>
          <w:trHeight w:val="1260"/>
        </w:trPr>
        <w:tc>
          <w:tcPr>
            <w:tcW w:w="551" w:type="dxa"/>
            <w:shd w:val="clear" w:color="000000" w:fill="FFFFFF"/>
            <w:hideMark/>
          </w:tcPr>
          <w:p w14:paraId="2D1CC33E" w14:textId="5C5A6E32" w:rsidR="0001256D" w:rsidRPr="00C20D37" w:rsidRDefault="00893114" w:rsidP="00E9250B">
            <w:pPr>
              <w:jc w:val="center"/>
            </w:pPr>
            <w:r>
              <w:t>6.</w:t>
            </w:r>
          </w:p>
        </w:tc>
        <w:tc>
          <w:tcPr>
            <w:tcW w:w="2846" w:type="dxa"/>
            <w:hideMark/>
          </w:tcPr>
          <w:p w14:paraId="437ADC0B" w14:textId="77777777" w:rsidR="0001256D" w:rsidRPr="00C20D37" w:rsidRDefault="0001256D" w:rsidP="00E9250B">
            <w:r w:rsidRPr="00C20D37">
              <w:t>Pardavimų savikainos rodiklis, Eur/km</w:t>
            </w:r>
            <w:r w:rsidRPr="00C20D37">
              <w:br/>
            </w:r>
            <w:r w:rsidRPr="00C20D37">
              <w:rPr>
                <w:i/>
                <w:iCs/>
              </w:rPr>
              <w:t>(Pardavimo savikaina-(Kuro sąn.+Vairuotojų DU sąn.+Nusidėvėjimo ir amortizacijos sąn.))/(Bendra reguliarių maršrutų rida)</w:t>
            </w:r>
          </w:p>
        </w:tc>
        <w:tc>
          <w:tcPr>
            <w:tcW w:w="1276" w:type="dxa"/>
          </w:tcPr>
          <w:p w14:paraId="5B586684" w14:textId="77777777" w:rsidR="0001256D" w:rsidRPr="00C20D37" w:rsidRDefault="0001256D" w:rsidP="00E9250B">
            <w:pPr>
              <w:jc w:val="center"/>
            </w:pPr>
            <w:r>
              <w:t>0,52</w:t>
            </w:r>
          </w:p>
        </w:tc>
        <w:tc>
          <w:tcPr>
            <w:tcW w:w="1276" w:type="dxa"/>
            <w:shd w:val="clear" w:color="000000" w:fill="FFFFFF"/>
          </w:tcPr>
          <w:p w14:paraId="6961AB98" w14:textId="77777777" w:rsidR="0001256D" w:rsidRPr="00C20D37" w:rsidRDefault="0001256D" w:rsidP="00E9250B">
            <w:pPr>
              <w:jc w:val="center"/>
            </w:pPr>
            <w:r>
              <w:t>0,55</w:t>
            </w:r>
          </w:p>
        </w:tc>
        <w:tc>
          <w:tcPr>
            <w:tcW w:w="3544" w:type="dxa"/>
          </w:tcPr>
          <w:p w14:paraId="6300D7A9" w14:textId="6AE8B54F" w:rsidR="0001256D" w:rsidRPr="00C20D37" w:rsidRDefault="0001256D" w:rsidP="00E9250B">
            <w:r>
              <w:t xml:space="preserve">Įtakojo </w:t>
            </w:r>
            <w:r w:rsidRPr="006A36F2">
              <w:t>išaugusi pardavimo savikain</w:t>
            </w:r>
            <w:r>
              <w:t>a</w:t>
            </w:r>
            <w:r w:rsidRPr="006A36F2">
              <w:t xml:space="preserve"> (didėjo darbo užmokestis darbuotojams, atsarginių dalių sąnaudos, kito turto sąnaudos (telefonų, spec. rūbų)</w:t>
            </w:r>
          </w:p>
        </w:tc>
      </w:tr>
      <w:tr w:rsidR="0001256D" w:rsidRPr="00C20D37" w14:paraId="7F0E5669" w14:textId="77777777" w:rsidTr="00E9250B">
        <w:trPr>
          <w:trHeight w:val="960"/>
        </w:trPr>
        <w:tc>
          <w:tcPr>
            <w:tcW w:w="551" w:type="dxa"/>
            <w:shd w:val="clear" w:color="000000" w:fill="FFFFFF"/>
            <w:hideMark/>
          </w:tcPr>
          <w:p w14:paraId="660BB735" w14:textId="29C26E25" w:rsidR="0001256D" w:rsidRPr="00C20D37" w:rsidRDefault="00893114" w:rsidP="00E9250B">
            <w:pPr>
              <w:jc w:val="center"/>
            </w:pPr>
            <w:r>
              <w:t>7.</w:t>
            </w:r>
          </w:p>
        </w:tc>
        <w:tc>
          <w:tcPr>
            <w:tcW w:w="2846" w:type="dxa"/>
            <w:hideMark/>
          </w:tcPr>
          <w:p w14:paraId="6A8063C3" w14:textId="77777777" w:rsidR="0001256D" w:rsidRPr="00C20D37" w:rsidRDefault="0001256D" w:rsidP="00E9250B">
            <w:r w:rsidRPr="00C20D37">
              <w:t>Veiklos sąnaudų lygis, proc.</w:t>
            </w:r>
            <w:r w:rsidRPr="00C20D37">
              <w:br/>
            </w:r>
            <w:r w:rsidRPr="00C20D37">
              <w:rPr>
                <w:i/>
                <w:iCs/>
              </w:rPr>
              <w:t>(Veiklos sąnaudos (Pardavimo sąn.+Bendrosios ir administracinės sąn.))/(Pardavimo pajamos)</w:t>
            </w:r>
          </w:p>
        </w:tc>
        <w:tc>
          <w:tcPr>
            <w:tcW w:w="1276" w:type="dxa"/>
          </w:tcPr>
          <w:p w14:paraId="5A80252D" w14:textId="77777777" w:rsidR="0001256D" w:rsidRPr="00C20D37" w:rsidRDefault="0001256D" w:rsidP="00E9250B">
            <w:pPr>
              <w:jc w:val="center"/>
            </w:pPr>
            <w:r>
              <w:t>&lt;8</w:t>
            </w:r>
          </w:p>
        </w:tc>
        <w:tc>
          <w:tcPr>
            <w:tcW w:w="1276" w:type="dxa"/>
            <w:shd w:val="clear" w:color="000000" w:fill="FFFFFF"/>
          </w:tcPr>
          <w:p w14:paraId="011F1A6D" w14:textId="77777777" w:rsidR="0001256D" w:rsidRPr="00C20D37" w:rsidRDefault="0001256D" w:rsidP="00E9250B">
            <w:pPr>
              <w:jc w:val="center"/>
            </w:pPr>
            <w:r>
              <w:t>8,07</w:t>
            </w:r>
          </w:p>
        </w:tc>
        <w:tc>
          <w:tcPr>
            <w:tcW w:w="3544" w:type="dxa"/>
            <w:noWrap/>
          </w:tcPr>
          <w:p w14:paraId="21456A5E" w14:textId="02F09736" w:rsidR="0001256D" w:rsidRPr="00C20D37" w:rsidRDefault="0001256D" w:rsidP="00E9250B">
            <w:r w:rsidRPr="006A36F2">
              <w:t>Nevykdoma dėl sumažėjusių pardavimo pajamų (pajamų sumažėjimą lėmė pasikeitusi tran</w:t>
            </w:r>
            <w:r w:rsidR="00CB1901">
              <w:t>s</w:t>
            </w:r>
            <w:r w:rsidRPr="006A36F2">
              <w:t xml:space="preserve">porto lengvata moksleiviams ir studentams nuo 2025 m. balandžio 1 d. </w:t>
            </w:r>
            <w:r>
              <w:t>(lengvata nuo 50 % padidėjo iki 80</w:t>
            </w:r>
            <w:r>
              <w:rPr>
                <w:lang w:val="en-US"/>
              </w:rPr>
              <w:t>%).</w:t>
            </w:r>
            <w:r w:rsidRPr="006A36F2">
              <w:t xml:space="preserve"> Taip pat sumažėjo kompensacijos</w:t>
            </w:r>
          </w:p>
        </w:tc>
      </w:tr>
    </w:tbl>
    <w:p w14:paraId="641603AC" w14:textId="58166C77" w:rsidR="0001256D" w:rsidRDefault="0001256D" w:rsidP="0001256D">
      <w:pPr>
        <w:rPr>
          <w:bCs/>
        </w:rPr>
      </w:pPr>
    </w:p>
    <w:p w14:paraId="6F4C0751" w14:textId="4ABB74A0" w:rsidR="00893114" w:rsidRDefault="00893114" w:rsidP="0001256D">
      <w:pPr>
        <w:rPr>
          <w:bCs/>
        </w:rPr>
      </w:pPr>
    </w:p>
    <w:p w14:paraId="1475EF5A" w14:textId="595626CD" w:rsidR="00893114" w:rsidRDefault="00893114" w:rsidP="0001256D">
      <w:pPr>
        <w:rPr>
          <w:bCs/>
        </w:rPr>
      </w:pPr>
    </w:p>
    <w:p w14:paraId="591B6E2C" w14:textId="1BEB7100" w:rsidR="00893114" w:rsidRDefault="00893114" w:rsidP="0001256D">
      <w:pPr>
        <w:rPr>
          <w:bCs/>
        </w:rPr>
      </w:pPr>
    </w:p>
    <w:p w14:paraId="325ACABE" w14:textId="22152D61" w:rsidR="00893114" w:rsidRDefault="00893114" w:rsidP="0001256D">
      <w:pPr>
        <w:rPr>
          <w:bCs/>
        </w:rPr>
      </w:pPr>
    </w:p>
    <w:p w14:paraId="6DA67BCD" w14:textId="77777777" w:rsidR="0059460C" w:rsidRDefault="0059460C" w:rsidP="0001256D">
      <w:pPr>
        <w:jc w:val="center"/>
        <w:rPr>
          <w:b/>
          <w:bCs/>
        </w:rPr>
      </w:pPr>
    </w:p>
    <w:p w14:paraId="3B97D9F1" w14:textId="4E1DF0AA" w:rsidR="0001256D" w:rsidRPr="00C20D37" w:rsidRDefault="0001256D" w:rsidP="0001256D">
      <w:pPr>
        <w:jc w:val="center"/>
        <w:rPr>
          <w:b/>
          <w:bCs/>
        </w:rPr>
      </w:pPr>
      <w:r w:rsidRPr="00C20D37">
        <w:rPr>
          <w:b/>
          <w:bCs/>
        </w:rPr>
        <w:lastRenderedPageBreak/>
        <w:t>UAB „Kauno gatvių apšvietimas“ 202</w:t>
      </w:r>
      <w:r>
        <w:rPr>
          <w:b/>
          <w:bCs/>
        </w:rPr>
        <w:t>5</w:t>
      </w:r>
      <w:r w:rsidRPr="00C20D37">
        <w:rPr>
          <w:b/>
          <w:bCs/>
        </w:rPr>
        <w:t xml:space="preserve"> metų finansinių ir nefinansinių lūkesčių vertinimo rodiklių vertinimas </w:t>
      </w:r>
    </w:p>
    <w:p w14:paraId="4B90C113" w14:textId="77777777" w:rsidR="0001256D" w:rsidRPr="00C20D37" w:rsidRDefault="0001256D" w:rsidP="0001256D"/>
    <w:tbl>
      <w:tblPr>
        <w:tblW w:w="9488" w:type="dxa"/>
        <w:tblLook w:val="04A0" w:firstRow="1" w:lastRow="0" w:firstColumn="1" w:lastColumn="0" w:noHBand="0" w:noVBand="1"/>
      </w:tblPr>
      <w:tblGrid>
        <w:gridCol w:w="516"/>
        <w:gridCol w:w="2876"/>
        <w:gridCol w:w="1276"/>
        <w:gridCol w:w="1276"/>
        <w:gridCol w:w="3544"/>
      </w:tblGrid>
      <w:tr w:rsidR="0001256D" w:rsidRPr="00C20D37" w14:paraId="68055094" w14:textId="77777777" w:rsidTr="00E9250B">
        <w:trPr>
          <w:trHeight w:val="315"/>
          <w:tblHeader/>
        </w:trPr>
        <w:tc>
          <w:tcPr>
            <w:tcW w:w="516" w:type="dxa"/>
            <w:tcBorders>
              <w:top w:val="single" w:sz="4" w:space="0" w:color="auto"/>
              <w:left w:val="single" w:sz="4" w:space="0" w:color="auto"/>
              <w:bottom w:val="single" w:sz="4" w:space="0" w:color="auto"/>
              <w:right w:val="single" w:sz="4" w:space="0" w:color="auto"/>
            </w:tcBorders>
            <w:vAlign w:val="center"/>
            <w:hideMark/>
          </w:tcPr>
          <w:p w14:paraId="0B4BDD88" w14:textId="77777777" w:rsidR="0001256D" w:rsidRPr="00C20D37" w:rsidRDefault="0001256D" w:rsidP="00E9250B">
            <w:pPr>
              <w:jc w:val="center"/>
            </w:pPr>
            <w:r w:rsidRPr="00C20D37">
              <w:t>Eil. Nr.</w:t>
            </w:r>
          </w:p>
        </w:tc>
        <w:tc>
          <w:tcPr>
            <w:tcW w:w="2876" w:type="dxa"/>
            <w:tcBorders>
              <w:top w:val="single" w:sz="4" w:space="0" w:color="auto"/>
              <w:left w:val="nil"/>
              <w:bottom w:val="single" w:sz="4" w:space="0" w:color="auto"/>
              <w:right w:val="single" w:sz="4" w:space="0" w:color="auto"/>
            </w:tcBorders>
            <w:vAlign w:val="center"/>
            <w:hideMark/>
          </w:tcPr>
          <w:p w14:paraId="787E65E5" w14:textId="77777777" w:rsidR="0001256D" w:rsidRPr="00C20D37" w:rsidRDefault="0001256D" w:rsidP="00E9250B">
            <w:pPr>
              <w:jc w:val="center"/>
            </w:pPr>
            <w:r w:rsidRPr="00C20D37">
              <w:t xml:space="preserve"> Rodiklis (pavadinimas, skaičiavimo būdas, mato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180AF0" w14:textId="77777777" w:rsidR="0001256D" w:rsidRPr="00C20D37" w:rsidRDefault="0001256D" w:rsidP="00E9250B">
            <w:pPr>
              <w:jc w:val="center"/>
            </w:pPr>
            <w:r w:rsidRPr="00C20D37">
              <w:t>202</w:t>
            </w:r>
            <w:r>
              <w:t>5</w:t>
            </w:r>
            <w:r w:rsidRPr="00C20D37">
              <w:t xml:space="preserve"> m. planuota rodiklio reikšmė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685FB2" w14:textId="77777777" w:rsidR="0001256D" w:rsidRPr="00C20D37" w:rsidRDefault="0001256D" w:rsidP="00E9250B">
            <w:pPr>
              <w:jc w:val="center"/>
            </w:pPr>
            <w:r w:rsidRPr="00C20D37">
              <w:t>202</w:t>
            </w:r>
            <w:r>
              <w:t>5</w:t>
            </w:r>
            <w:r w:rsidRPr="00C20D37">
              <w:t xml:space="preserve"> m. pasiekta rodiklio reikšmė</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42C0695" w14:textId="77777777" w:rsidR="0001256D" w:rsidRPr="00C20D37" w:rsidRDefault="0001256D" w:rsidP="00E9250B">
            <w:pPr>
              <w:jc w:val="center"/>
            </w:pPr>
            <w:r w:rsidRPr="00C20D37">
              <w:t>Informacija apie vykdymą</w:t>
            </w:r>
          </w:p>
        </w:tc>
      </w:tr>
      <w:tr w:rsidR="0001256D" w:rsidRPr="00C20D37" w14:paraId="7328FB35" w14:textId="77777777" w:rsidTr="00E9250B">
        <w:trPr>
          <w:trHeight w:val="300"/>
        </w:trPr>
        <w:tc>
          <w:tcPr>
            <w:tcW w:w="9488" w:type="dxa"/>
            <w:gridSpan w:val="5"/>
            <w:tcBorders>
              <w:top w:val="single" w:sz="4" w:space="0" w:color="auto"/>
              <w:left w:val="single" w:sz="4" w:space="0" w:color="auto"/>
              <w:bottom w:val="single" w:sz="4" w:space="0" w:color="auto"/>
              <w:right w:val="single" w:sz="4" w:space="0" w:color="auto"/>
            </w:tcBorders>
            <w:hideMark/>
          </w:tcPr>
          <w:p w14:paraId="2EF11E6D" w14:textId="77777777" w:rsidR="0001256D" w:rsidRPr="00C20D37" w:rsidRDefault="0001256D" w:rsidP="00E9250B">
            <w:pPr>
              <w:rPr>
                <w:b/>
                <w:bCs/>
              </w:rPr>
            </w:pPr>
            <w:r w:rsidRPr="00C20D37">
              <w:rPr>
                <w:b/>
                <w:bCs/>
              </w:rPr>
              <w:t>Nefinansinių lūkesčių vertinimo rodikliai:</w:t>
            </w:r>
          </w:p>
        </w:tc>
      </w:tr>
      <w:tr w:rsidR="0001256D" w:rsidRPr="00C20D37" w14:paraId="6B399953" w14:textId="77777777" w:rsidTr="00E9250B">
        <w:trPr>
          <w:trHeight w:val="945"/>
        </w:trPr>
        <w:tc>
          <w:tcPr>
            <w:tcW w:w="516" w:type="dxa"/>
            <w:tcBorders>
              <w:top w:val="single" w:sz="4" w:space="0" w:color="auto"/>
              <w:left w:val="single" w:sz="4" w:space="0" w:color="auto"/>
              <w:bottom w:val="single" w:sz="4" w:space="0" w:color="auto"/>
              <w:right w:val="nil"/>
            </w:tcBorders>
            <w:hideMark/>
          </w:tcPr>
          <w:p w14:paraId="063A28A1" w14:textId="1ED15E72" w:rsidR="0001256D" w:rsidRPr="00C20D37" w:rsidRDefault="0001256D" w:rsidP="00E9250B">
            <w:pPr>
              <w:jc w:val="center"/>
            </w:pPr>
            <w:r w:rsidRPr="00C20D37">
              <w:t>1</w:t>
            </w:r>
            <w:r w:rsidR="00893114">
              <w:t>.</w:t>
            </w:r>
          </w:p>
        </w:tc>
        <w:tc>
          <w:tcPr>
            <w:tcW w:w="2876" w:type="dxa"/>
            <w:tcBorders>
              <w:top w:val="single" w:sz="4" w:space="0" w:color="auto"/>
              <w:left w:val="single" w:sz="4" w:space="0" w:color="auto"/>
              <w:bottom w:val="single" w:sz="4" w:space="0" w:color="auto"/>
              <w:right w:val="single" w:sz="4" w:space="0" w:color="auto"/>
            </w:tcBorders>
            <w:hideMark/>
          </w:tcPr>
          <w:p w14:paraId="00354C15" w14:textId="77777777" w:rsidR="0001256D" w:rsidRPr="00C20D37" w:rsidRDefault="0001256D" w:rsidP="00E9250B">
            <w:r w:rsidRPr="00C20D37">
              <w:t>Vidutinio metinio elektros suvartojimo miesto gatvėms ir viešosioms erdvėms apšviesti mažėjimas lyginant su prieš tai buvusių metų faktu, proc.</w:t>
            </w:r>
          </w:p>
        </w:tc>
        <w:tc>
          <w:tcPr>
            <w:tcW w:w="1276" w:type="dxa"/>
            <w:tcBorders>
              <w:top w:val="single" w:sz="4" w:space="0" w:color="auto"/>
              <w:left w:val="single" w:sz="4" w:space="0" w:color="auto"/>
              <w:bottom w:val="single" w:sz="4" w:space="0" w:color="auto"/>
              <w:right w:val="single" w:sz="4" w:space="0" w:color="auto"/>
            </w:tcBorders>
          </w:tcPr>
          <w:p w14:paraId="17B47FD2" w14:textId="77777777" w:rsidR="0001256D" w:rsidRPr="00C20D37" w:rsidRDefault="0001256D" w:rsidP="00E9250B">
            <w:pPr>
              <w:jc w:val="center"/>
            </w:pPr>
            <w:r>
              <w:t>2</w:t>
            </w:r>
          </w:p>
        </w:tc>
        <w:tc>
          <w:tcPr>
            <w:tcW w:w="1276" w:type="dxa"/>
            <w:tcBorders>
              <w:top w:val="single" w:sz="4" w:space="0" w:color="auto"/>
              <w:left w:val="single" w:sz="4" w:space="0" w:color="auto"/>
              <w:bottom w:val="single" w:sz="4" w:space="0" w:color="auto"/>
              <w:right w:val="single" w:sz="4" w:space="0" w:color="auto"/>
            </w:tcBorders>
          </w:tcPr>
          <w:p w14:paraId="02986BFE" w14:textId="77777777" w:rsidR="0001256D" w:rsidRPr="00C20D37" w:rsidRDefault="0001256D" w:rsidP="00E9250B">
            <w:pPr>
              <w:jc w:val="center"/>
            </w:pPr>
            <w:r>
              <w:t>1,13</w:t>
            </w:r>
          </w:p>
        </w:tc>
        <w:tc>
          <w:tcPr>
            <w:tcW w:w="3544" w:type="dxa"/>
            <w:tcBorders>
              <w:top w:val="single" w:sz="4" w:space="0" w:color="auto"/>
              <w:left w:val="single" w:sz="4" w:space="0" w:color="auto"/>
              <w:bottom w:val="single" w:sz="4" w:space="0" w:color="auto"/>
              <w:right w:val="single" w:sz="4" w:space="0" w:color="auto"/>
            </w:tcBorders>
            <w:noWrap/>
            <w:hideMark/>
          </w:tcPr>
          <w:p w14:paraId="2C73A2CF" w14:textId="6992EA38" w:rsidR="0001256D" w:rsidRPr="00C20D37" w:rsidRDefault="0001256D" w:rsidP="00E9250B">
            <w:r w:rsidRPr="00667D10">
              <w:t xml:space="preserve">Suvartojimo rodiklis nepasiektas dėl papildomų el. šaltinių pajungtų nuo gatvių apšvietimo </w:t>
            </w:r>
            <w:r>
              <w:t>(</w:t>
            </w:r>
            <w:r w:rsidRPr="00667D10">
              <w:t>kaip šventinis apšvietimas</w:t>
            </w:r>
            <w:r>
              <w:t>)</w:t>
            </w:r>
          </w:p>
        </w:tc>
      </w:tr>
      <w:tr w:rsidR="0001256D" w:rsidRPr="00C20D37" w14:paraId="316B7774" w14:textId="77777777" w:rsidTr="00E9250B">
        <w:trPr>
          <w:trHeight w:val="1260"/>
        </w:trPr>
        <w:tc>
          <w:tcPr>
            <w:tcW w:w="516" w:type="dxa"/>
            <w:tcBorders>
              <w:top w:val="single" w:sz="4" w:space="0" w:color="auto"/>
              <w:left w:val="single" w:sz="4" w:space="0" w:color="auto"/>
              <w:bottom w:val="single" w:sz="4" w:space="0" w:color="auto"/>
              <w:right w:val="nil"/>
            </w:tcBorders>
            <w:hideMark/>
          </w:tcPr>
          <w:p w14:paraId="1BBBFC07" w14:textId="31B6BA4C" w:rsidR="0001256D" w:rsidRPr="00C20D37" w:rsidRDefault="0001256D" w:rsidP="00E9250B">
            <w:pPr>
              <w:jc w:val="center"/>
            </w:pPr>
            <w:r w:rsidRPr="00C20D37">
              <w:t>2</w:t>
            </w:r>
            <w:r w:rsidR="00893114">
              <w:t>.</w:t>
            </w:r>
          </w:p>
        </w:tc>
        <w:tc>
          <w:tcPr>
            <w:tcW w:w="2876" w:type="dxa"/>
            <w:tcBorders>
              <w:top w:val="single" w:sz="4" w:space="0" w:color="auto"/>
              <w:left w:val="single" w:sz="4" w:space="0" w:color="auto"/>
              <w:bottom w:val="single" w:sz="4" w:space="0" w:color="auto"/>
              <w:right w:val="single" w:sz="4" w:space="0" w:color="auto"/>
            </w:tcBorders>
            <w:hideMark/>
          </w:tcPr>
          <w:p w14:paraId="15C065F2" w14:textId="77777777" w:rsidR="0001256D" w:rsidRPr="00C20D37" w:rsidRDefault="0001256D" w:rsidP="00E9250B">
            <w:r w:rsidRPr="00C20D37">
              <w:t>Vidutinio greičio didėjimas kelio atkarpose fiksuojamose „Srautis“ sistemoje, vakarinio ir rytinio piko metu lyginant su prieš tai buvusių metų faktu, proc.</w:t>
            </w:r>
          </w:p>
        </w:tc>
        <w:tc>
          <w:tcPr>
            <w:tcW w:w="1276" w:type="dxa"/>
            <w:tcBorders>
              <w:top w:val="single" w:sz="4" w:space="0" w:color="auto"/>
              <w:left w:val="single" w:sz="4" w:space="0" w:color="auto"/>
              <w:bottom w:val="single" w:sz="4" w:space="0" w:color="auto"/>
              <w:right w:val="single" w:sz="4" w:space="0" w:color="auto"/>
            </w:tcBorders>
          </w:tcPr>
          <w:p w14:paraId="1113C0BF" w14:textId="77777777" w:rsidR="0001256D" w:rsidRPr="00C20D37" w:rsidRDefault="0001256D" w:rsidP="00E9250B">
            <w:pPr>
              <w:jc w:val="center"/>
            </w:pPr>
            <w:r>
              <w:t>1</w:t>
            </w:r>
          </w:p>
        </w:tc>
        <w:tc>
          <w:tcPr>
            <w:tcW w:w="1276" w:type="dxa"/>
            <w:tcBorders>
              <w:top w:val="single" w:sz="4" w:space="0" w:color="auto"/>
              <w:left w:val="single" w:sz="4" w:space="0" w:color="auto"/>
              <w:bottom w:val="single" w:sz="4" w:space="0" w:color="auto"/>
              <w:right w:val="single" w:sz="4" w:space="0" w:color="auto"/>
            </w:tcBorders>
          </w:tcPr>
          <w:p w14:paraId="3DD60BF8" w14:textId="77777777" w:rsidR="0001256D" w:rsidRPr="00C20D37" w:rsidRDefault="0001256D" w:rsidP="00E9250B">
            <w:pPr>
              <w:jc w:val="center"/>
            </w:pPr>
            <w:r>
              <w:t>1,12</w:t>
            </w:r>
          </w:p>
        </w:tc>
        <w:tc>
          <w:tcPr>
            <w:tcW w:w="3544" w:type="dxa"/>
            <w:tcBorders>
              <w:top w:val="single" w:sz="4" w:space="0" w:color="auto"/>
              <w:left w:val="single" w:sz="4" w:space="0" w:color="auto"/>
              <w:bottom w:val="single" w:sz="4" w:space="0" w:color="auto"/>
              <w:right w:val="single" w:sz="4" w:space="0" w:color="auto"/>
            </w:tcBorders>
            <w:noWrap/>
            <w:hideMark/>
          </w:tcPr>
          <w:p w14:paraId="579605DB" w14:textId="77777777" w:rsidR="0001256D" w:rsidRPr="00C20D37" w:rsidRDefault="0001256D" w:rsidP="00E9250B">
            <w:r w:rsidRPr="00C20D37">
              <w:t> </w:t>
            </w:r>
          </w:p>
        </w:tc>
      </w:tr>
      <w:tr w:rsidR="0001256D" w:rsidRPr="00C20D37" w14:paraId="407A8072" w14:textId="77777777" w:rsidTr="00E9250B">
        <w:trPr>
          <w:trHeight w:val="945"/>
        </w:trPr>
        <w:tc>
          <w:tcPr>
            <w:tcW w:w="516" w:type="dxa"/>
            <w:tcBorders>
              <w:top w:val="single" w:sz="4" w:space="0" w:color="auto"/>
              <w:left w:val="single" w:sz="4" w:space="0" w:color="auto"/>
              <w:bottom w:val="single" w:sz="4" w:space="0" w:color="auto"/>
              <w:right w:val="nil"/>
            </w:tcBorders>
            <w:hideMark/>
          </w:tcPr>
          <w:p w14:paraId="02D26F44" w14:textId="70C09DC0" w:rsidR="0001256D" w:rsidRPr="00C20D37" w:rsidRDefault="0001256D" w:rsidP="00E9250B">
            <w:pPr>
              <w:jc w:val="center"/>
            </w:pPr>
            <w:r w:rsidRPr="00C20D37">
              <w:t>3</w:t>
            </w:r>
            <w:r w:rsidR="00893114">
              <w:t>.</w:t>
            </w:r>
          </w:p>
        </w:tc>
        <w:tc>
          <w:tcPr>
            <w:tcW w:w="2876" w:type="dxa"/>
            <w:tcBorders>
              <w:top w:val="single" w:sz="4" w:space="0" w:color="auto"/>
              <w:left w:val="single" w:sz="4" w:space="0" w:color="auto"/>
              <w:bottom w:val="single" w:sz="4" w:space="0" w:color="auto"/>
              <w:right w:val="single" w:sz="4" w:space="0" w:color="auto"/>
            </w:tcBorders>
            <w:hideMark/>
          </w:tcPr>
          <w:p w14:paraId="5E033A2D" w14:textId="77777777" w:rsidR="0001256D" w:rsidRPr="00C20D37" w:rsidRDefault="0001256D" w:rsidP="00E9250B">
            <w:r w:rsidRPr="00C20D37">
              <w:t>Laiku suteiktų paslaugų procentas, skaičiuojant nuo užsakyme nustatyto paslaugos atlikimo termino dienos, proc.</w:t>
            </w:r>
          </w:p>
        </w:tc>
        <w:tc>
          <w:tcPr>
            <w:tcW w:w="1276" w:type="dxa"/>
            <w:tcBorders>
              <w:top w:val="single" w:sz="4" w:space="0" w:color="auto"/>
              <w:left w:val="single" w:sz="4" w:space="0" w:color="auto"/>
              <w:bottom w:val="single" w:sz="4" w:space="0" w:color="auto"/>
              <w:right w:val="single" w:sz="4" w:space="0" w:color="auto"/>
            </w:tcBorders>
          </w:tcPr>
          <w:p w14:paraId="3CDBAC36" w14:textId="77777777" w:rsidR="0001256D" w:rsidRPr="00C20D37" w:rsidRDefault="0001256D" w:rsidP="00E9250B">
            <w:pPr>
              <w:jc w:val="center"/>
            </w:pPr>
            <w:r>
              <w:t>85</w:t>
            </w:r>
          </w:p>
        </w:tc>
        <w:tc>
          <w:tcPr>
            <w:tcW w:w="1276" w:type="dxa"/>
            <w:tcBorders>
              <w:top w:val="single" w:sz="4" w:space="0" w:color="auto"/>
              <w:left w:val="single" w:sz="4" w:space="0" w:color="auto"/>
              <w:bottom w:val="single" w:sz="4" w:space="0" w:color="auto"/>
              <w:right w:val="single" w:sz="4" w:space="0" w:color="auto"/>
            </w:tcBorders>
          </w:tcPr>
          <w:p w14:paraId="526A789F" w14:textId="77777777" w:rsidR="0001256D" w:rsidRPr="00C20D37" w:rsidRDefault="0001256D" w:rsidP="00E9250B">
            <w:pPr>
              <w:jc w:val="center"/>
            </w:pPr>
            <w:r>
              <w:t>86</w:t>
            </w:r>
          </w:p>
        </w:tc>
        <w:tc>
          <w:tcPr>
            <w:tcW w:w="3544" w:type="dxa"/>
            <w:tcBorders>
              <w:top w:val="single" w:sz="4" w:space="0" w:color="auto"/>
              <w:left w:val="single" w:sz="4" w:space="0" w:color="auto"/>
              <w:bottom w:val="single" w:sz="4" w:space="0" w:color="auto"/>
              <w:right w:val="single" w:sz="4" w:space="0" w:color="auto"/>
            </w:tcBorders>
            <w:noWrap/>
            <w:hideMark/>
          </w:tcPr>
          <w:p w14:paraId="59A23FE8" w14:textId="77777777" w:rsidR="0001256D" w:rsidRPr="00C20D37" w:rsidRDefault="0001256D" w:rsidP="00E9250B">
            <w:r w:rsidRPr="00C20D37">
              <w:t> </w:t>
            </w:r>
          </w:p>
        </w:tc>
      </w:tr>
      <w:tr w:rsidR="0001256D" w:rsidRPr="00C20D37" w14:paraId="77FF1832" w14:textId="77777777" w:rsidTr="00E9250B">
        <w:trPr>
          <w:trHeight w:val="300"/>
        </w:trPr>
        <w:tc>
          <w:tcPr>
            <w:tcW w:w="9488" w:type="dxa"/>
            <w:gridSpan w:val="5"/>
            <w:tcBorders>
              <w:top w:val="single" w:sz="4" w:space="0" w:color="auto"/>
              <w:left w:val="single" w:sz="4" w:space="0" w:color="auto"/>
              <w:bottom w:val="single" w:sz="4" w:space="0" w:color="auto"/>
              <w:right w:val="single" w:sz="4" w:space="0" w:color="auto"/>
            </w:tcBorders>
            <w:hideMark/>
          </w:tcPr>
          <w:p w14:paraId="369E7519" w14:textId="77777777" w:rsidR="0001256D" w:rsidRPr="00C20D37" w:rsidRDefault="0001256D" w:rsidP="00E9250B">
            <w:r w:rsidRPr="00C20D37">
              <w:rPr>
                <w:b/>
                <w:bCs/>
              </w:rPr>
              <w:t> Finansinių lūkesčių vertinimo rodikliai:</w:t>
            </w:r>
            <w:r w:rsidRPr="00C20D37">
              <w:t> </w:t>
            </w:r>
          </w:p>
        </w:tc>
      </w:tr>
      <w:tr w:rsidR="0001256D" w:rsidRPr="00C20D37" w14:paraId="04B8B7E5" w14:textId="77777777" w:rsidTr="00E9250B">
        <w:trPr>
          <w:trHeight w:val="930"/>
        </w:trPr>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10502762" w14:textId="0398A7BA" w:rsidR="0001256D" w:rsidRPr="00C20D37" w:rsidRDefault="00893114" w:rsidP="00E9250B">
            <w:pPr>
              <w:jc w:val="center"/>
            </w:pPr>
            <w:r>
              <w:t>4.</w:t>
            </w:r>
          </w:p>
        </w:tc>
        <w:tc>
          <w:tcPr>
            <w:tcW w:w="2876" w:type="dxa"/>
            <w:tcBorders>
              <w:top w:val="single" w:sz="4" w:space="0" w:color="auto"/>
              <w:left w:val="single" w:sz="4" w:space="0" w:color="auto"/>
              <w:bottom w:val="single" w:sz="4" w:space="0" w:color="auto"/>
              <w:right w:val="single" w:sz="4" w:space="0" w:color="auto"/>
            </w:tcBorders>
            <w:hideMark/>
          </w:tcPr>
          <w:p w14:paraId="6E039FC2" w14:textId="77777777" w:rsidR="0001256D" w:rsidRPr="00C20D37" w:rsidRDefault="0001256D" w:rsidP="00E9250B">
            <w:r w:rsidRPr="00C20D37">
              <w:t>EBITDA marža, proc.</w:t>
            </w:r>
            <w:r w:rsidRPr="00C20D37">
              <w:br/>
            </w:r>
            <w:r w:rsidRPr="00C20D37">
              <w:rPr>
                <w:i/>
                <w:iCs/>
              </w:rPr>
              <w:t>(EBIT+Nusidėvėjimo ir amortizacijos sąnaudos )/(pardavimo pajamos) x 100</w:t>
            </w:r>
          </w:p>
        </w:tc>
        <w:tc>
          <w:tcPr>
            <w:tcW w:w="1276" w:type="dxa"/>
            <w:tcBorders>
              <w:top w:val="single" w:sz="4" w:space="0" w:color="auto"/>
              <w:left w:val="single" w:sz="4" w:space="0" w:color="auto"/>
              <w:bottom w:val="single" w:sz="4" w:space="0" w:color="auto"/>
              <w:right w:val="single" w:sz="4" w:space="0" w:color="auto"/>
            </w:tcBorders>
          </w:tcPr>
          <w:p w14:paraId="1C14C86B" w14:textId="77777777" w:rsidR="0001256D" w:rsidRPr="00C20D37" w:rsidRDefault="0001256D" w:rsidP="00E9250B">
            <w:pPr>
              <w:jc w:val="center"/>
            </w:pPr>
            <w:r>
              <w:t>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4597CEC" w14:textId="77777777" w:rsidR="0001256D" w:rsidRPr="00C20D37" w:rsidRDefault="0001256D" w:rsidP="00E9250B">
            <w:pPr>
              <w:jc w:val="center"/>
            </w:pPr>
            <w:r>
              <w:t>20,99</w:t>
            </w:r>
          </w:p>
        </w:tc>
        <w:tc>
          <w:tcPr>
            <w:tcW w:w="3544" w:type="dxa"/>
            <w:tcBorders>
              <w:top w:val="single" w:sz="4" w:space="0" w:color="auto"/>
              <w:left w:val="single" w:sz="4" w:space="0" w:color="auto"/>
              <w:bottom w:val="single" w:sz="4" w:space="0" w:color="auto"/>
              <w:right w:val="single" w:sz="4" w:space="0" w:color="auto"/>
            </w:tcBorders>
            <w:noWrap/>
            <w:hideMark/>
          </w:tcPr>
          <w:p w14:paraId="581A5195" w14:textId="77777777" w:rsidR="0001256D" w:rsidRPr="00C20D37" w:rsidRDefault="0001256D" w:rsidP="00E9250B">
            <w:r>
              <w:t>Įtakojo</w:t>
            </w:r>
            <w:r w:rsidRPr="009976F5">
              <w:t xml:space="preserve"> pajamų struktūros pokyči</w:t>
            </w:r>
            <w:r>
              <w:t>ai</w:t>
            </w:r>
            <w:r w:rsidRPr="009976F5">
              <w:t xml:space="preserve"> ir didesni</w:t>
            </w:r>
            <w:r>
              <w:t xml:space="preserve"> </w:t>
            </w:r>
            <w:r w:rsidRPr="009976F5">
              <w:t>pardavimo savikainos ir veiklos kašt</w:t>
            </w:r>
            <w:r>
              <w:t>ai</w:t>
            </w:r>
          </w:p>
        </w:tc>
      </w:tr>
      <w:tr w:rsidR="0001256D" w:rsidRPr="00C20D37" w14:paraId="57E845F4" w14:textId="77777777" w:rsidTr="00E9250B">
        <w:trPr>
          <w:trHeight w:val="945"/>
        </w:trPr>
        <w:tc>
          <w:tcPr>
            <w:tcW w:w="516" w:type="dxa"/>
            <w:tcBorders>
              <w:top w:val="single" w:sz="4" w:space="0" w:color="auto"/>
              <w:left w:val="single" w:sz="4" w:space="0" w:color="auto"/>
              <w:bottom w:val="single" w:sz="4" w:space="0" w:color="auto"/>
              <w:right w:val="nil"/>
            </w:tcBorders>
            <w:shd w:val="clear" w:color="000000" w:fill="FFFFFF"/>
            <w:hideMark/>
          </w:tcPr>
          <w:p w14:paraId="3D737BD9" w14:textId="6879A745" w:rsidR="0001256D" w:rsidRPr="00C20D37" w:rsidRDefault="00893114" w:rsidP="00E9250B">
            <w:pPr>
              <w:jc w:val="center"/>
            </w:pPr>
            <w:r>
              <w:t>5</w:t>
            </w:r>
            <w:r w:rsidR="0001256D" w:rsidRPr="00C20D37">
              <w:t>.</w:t>
            </w:r>
          </w:p>
        </w:tc>
        <w:tc>
          <w:tcPr>
            <w:tcW w:w="2876" w:type="dxa"/>
            <w:tcBorders>
              <w:top w:val="single" w:sz="4" w:space="0" w:color="auto"/>
              <w:left w:val="single" w:sz="4" w:space="0" w:color="auto"/>
              <w:bottom w:val="single" w:sz="4" w:space="0" w:color="auto"/>
              <w:right w:val="single" w:sz="4" w:space="0" w:color="auto"/>
            </w:tcBorders>
            <w:hideMark/>
          </w:tcPr>
          <w:p w14:paraId="1262FB64" w14:textId="77777777" w:rsidR="0001256D" w:rsidRPr="00C20D37" w:rsidRDefault="0001256D" w:rsidP="00E9250B">
            <w:r w:rsidRPr="00C20D37">
              <w:t>Ilgalaikių skolų ir nuosavybės rodiklis, koef.</w:t>
            </w:r>
            <w:r w:rsidRPr="00C20D37">
              <w:br/>
            </w:r>
            <w:r w:rsidRPr="00C20D37">
              <w:rPr>
                <w:i/>
                <w:iCs/>
              </w:rPr>
              <w:t>(Po vienerių metų mokėtinos sumos ir kiti ilgalaikiai įsipareigojimai)/(Nuosavas kapitalas)</w:t>
            </w:r>
          </w:p>
        </w:tc>
        <w:tc>
          <w:tcPr>
            <w:tcW w:w="1276" w:type="dxa"/>
            <w:tcBorders>
              <w:top w:val="single" w:sz="4" w:space="0" w:color="auto"/>
              <w:left w:val="single" w:sz="4" w:space="0" w:color="auto"/>
              <w:bottom w:val="single" w:sz="4" w:space="0" w:color="auto"/>
              <w:right w:val="single" w:sz="4" w:space="0" w:color="auto"/>
            </w:tcBorders>
          </w:tcPr>
          <w:p w14:paraId="7A52F0B5" w14:textId="77777777" w:rsidR="0001256D" w:rsidRPr="00C20D37" w:rsidRDefault="0001256D" w:rsidP="00E9250B">
            <w:pPr>
              <w:jc w:val="center"/>
            </w:pPr>
            <w:r>
              <w:t>0,5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AE95799" w14:textId="77777777" w:rsidR="0001256D" w:rsidRPr="00C20D37" w:rsidRDefault="0001256D" w:rsidP="00E9250B">
            <w:pPr>
              <w:jc w:val="center"/>
            </w:pPr>
            <w:r>
              <w:t>0</w:t>
            </w:r>
          </w:p>
        </w:tc>
        <w:tc>
          <w:tcPr>
            <w:tcW w:w="3544" w:type="dxa"/>
            <w:tcBorders>
              <w:top w:val="single" w:sz="4" w:space="0" w:color="auto"/>
              <w:left w:val="single" w:sz="4" w:space="0" w:color="auto"/>
              <w:bottom w:val="single" w:sz="4" w:space="0" w:color="auto"/>
              <w:right w:val="single" w:sz="4" w:space="0" w:color="auto"/>
            </w:tcBorders>
          </w:tcPr>
          <w:p w14:paraId="44D26E8F" w14:textId="285C41AD" w:rsidR="0001256D" w:rsidRPr="00C20D37" w:rsidRDefault="0001256D" w:rsidP="00D33EDB">
            <w:r>
              <w:t>Bendrovė n</w:t>
            </w:r>
            <w:r w:rsidRPr="00667D10">
              <w:t xml:space="preserve">eturi </w:t>
            </w:r>
            <w:r w:rsidR="00D33EDB">
              <w:t>p</w:t>
            </w:r>
            <w:r w:rsidRPr="00667D10">
              <w:t>o vien</w:t>
            </w:r>
            <w:r w:rsidR="00D33EDB">
              <w:t>eri</w:t>
            </w:r>
            <w:r w:rsidRPr="00667D10">
              <w:t>ų metų mokėtinos sum</w:t>
            </w:r>
            <w:r>
              <w:t>ų</w:t>
            </w:r>
            <w:r w:rsidRPr="00667D10">
              <w:t xml:space="preserve"> ir kit</w:t>
            </w:r>
            <w:r>
              <w:t>ų</w:t>
            </w:r>
            <w:r w:rsidRPr="00667D10">
              <w:t xml:space="preserve"> ilgalaiki</w:t>
            </w:r>
            <w:r>
              <w:t>ų</w:t>
            </w:r>
            <w:r w:rsidRPr="00667D10">
              <w:t xml:space="preserve"> įsipareigojim</w:t>
            </w:r>
            <w:r>
              <w:t>ų</w:t>
            </w:r>
          </w:p>
        </w:tc>
      </w:tr>
      <w:tr w:rsidR="0001256D" w:rsidRPr="00C20D37" w14:paraId="6D7D01CE" w14:textId="77777777" w:rsidTr="00E9250B">
        <w:trPr>
          <w:trHeight w:val="1260"/>
        </w:trPr>
        <w:tc>
          <w:tcPr>
            <w:tcW w:w="516" w:type="dxa"/>
            <w:tcBorders>
              <w:top w:val="single" w:sz="4" w:space="0" w:color="auto"/>
              <w:left w:val="single" w:sz="4" w:space="0" w:color="auto"/>
              <w:bottom w:val="single" w:sz="4" w:space="0" w:color="auto"/>
              <w:right w:val="nil"/>
            </w:tcBorders>
            <w:shd w:val="clear" w:color="000000" w:fill="FFFFFF"/>
            <w:hideMark/>
          </w:tcPr>
          <w:p w14:paraId="04D091F6" w14:textId="6A2D48FA" w:rsidR="0001256D" w:rsidRPr="00C20D37" w:rsidRDefault="00893114" w:rsidP="00E9250B">
            <w:pPr>
              <w:jc w:val="center"/>
            </w:pPr>
            <w:r>
              <w:t>6.</w:t>
            </w:r>
          </w:p>
        </w:tc>
        <w:tc>
          <w:tcPr>
            <w:tcW w:w="2876" w:type="dxa"/>
            <w:tcBorders>
              <w:top w:val="single" w:sz="4" w:space="0" w:color="auto"/>
              <w:left w:val="single" w:sz="4" w:space="0" w:color="auto"/>
              <w:bottom w:val="single" w:sz="4" w:space="0" w:color="auto"/>
              <w:right w:val="single" w:sz="4" w:space="0" w:color="auto"/>
            </w:tcBorders>
            <w:hideMark/>
          </w:tcPr>
          <w:p w14:paraId="507C488F" w14:textId="77777777" w:rsidR="0001256D" w:rsidRPr="00C20D37" w:rsidRDefault="0001256D" w:rsidP="00E9250B">
            <w:r w:rsidRPr="00C20D37">
              <w:t>Nuosavo kapitalo grąža, siekiant užtikrinti dividendų akcininkams mokėjimą, koef.</w:t>
            </w:r>
            <w:r w:rsidRPr="00C20D37">
              <w:br/>
            </w:r>
            <w:r w:rsidRPr="00C20D37">
              <w:rPr>
                <w:i/>
                <w:iCs/>
              </w:rPr>
              <w:t xml:space="preserve">(Grynasis pelnas (nuostoliai))/(Nuosavo kapitalo laikotarpio pradžioje ir pabaigoje vidurkis) × 100 </w:t>
            </w:r>
          </w:p>
        </w:tc>
        <w:tc>
          <w:tcPr>
            <w:tcW w:w="1276" w:type="dxa"/>
            <w:tcBorders>
              <w:top w:val="single" w:sz="4" w:space="0" w:color="auto"/>
              <w:left w:val="single" w:sz="4" w:space="0" w:color="auto"/>
              <w:bottom w:val="single" w:sz="4" w:space="0" w:color="auto"/>
              <w:right w:val="single" w:sz="4" w:space="0" w:color="auto"/>
            </w:tcBorders>
          </w:tcPr>
          <w:p w14:paraId="4AF866A6" w14:textId="77777777" w:rsidR="0001256D" w:rsidRPr="00C20D37" w:rsidRDefault="0001256D" w:rsidP="00E9250B">
            <w:pPr>
              <w:jc w:val="center"/>
            </w:pPr>
            <w:r>
              <w:t>&gt;30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686B9D5" w14:textId="77777777" w:rsidR="0001256D" w:rsidRPr="00C20D37" w:rsidRDefault="0001256D" w:rsidP="00E9250B">
            <w:pPr>
              <w:jc w:val="center"/>
            </w:pPr>
            <w:r>
              <w:t>30,85</w:t>
            </w:r>
          </w:p>
        </w:tc>
        <w:tc>
          <w:tcPr>
            <w:tcW w:w="3544" w:type="dxa"/>
            <w:tcBorders>
              <w:top w:val="single" w:sz="4" w:space="0" w:color="auto"/>
              <w:left w:val="single" w:sz="4" w:space="0" w:color="auto"/>
              <w:bottom w:val="single" w:sz="4" w:space="0" w:color="auto"/>
              <w:right w:val="single" w:sz="4" w:space="0" w:color="auto"/>
            </w:tcBorders>
            <w:noWrap/>
          </w:tcPr>
          <w:p w14:paraId="6993FDD0" w14:textId="77777777" w:rsidR="0001256D" w:rsidRPr="00C20D37" w:rsidRDefault="0001256D" w:rsidP="00E9250B"/>
        </w:tc>
      </w:tr>
      <w:tr w:rsidR="0001256D" w:rsidRPr="00C20D37" w14:paraId="4C6EF9C5" w14:textId="77777777" w:rsidTr="00E9250B">
        <w:trPr>
          <w:trHeight w:val="630"/>
        </w:trPr>
        <w:tc>
          <w:tcPr>
            <w:tcW w:w="516" w:type="dxa"/>
            <w:tcBorders>
              <w:top w:val="single" w:sz="4" w:space="0" w:color="auto"/>
              <w:left w:val="single" w:sz="4" w:space="0" w:color="auto"/>
              <w:bottom w:val="single" w:sz="4" w:space="0" w:color="auto"/>
              <w:right w:val="nil"/>
            </w:tcBorders>
            <w:shd w:val="clear" w:color="000000" w:fill="FFFFFF"/>
            <w:hideMark/>
          </w:tcPr>
          <w:p w14:paraId="6FBB3598" w14:textId="27D52A5C" w:rsidR="0001256D" w:rsidRPr="00C20D37" w:rsidRDefault="00893114" w:rsidP="00E9250B">
            <w:pPr>
              <w:jc w:val="center"/>
            </w:pPr>
            <w:r>
              <w:lastRenderedPageBreak/>
              <w:t>7.</w:t>
            </w:r>
          </w:p>
        </w:tc>
        <w:tc>
          <w:tcPr>
            <w:tcW w:w="2876" w:type="dxa"/>
            <w:tcBorders>
              <w:top w:val="single" w:sz="4" w:space="0" w:color="auto"/>
              <w:left w:val="single" w:sz="4" w:space="0" w:color="auto"/>
              <w:bottom w:val="single" w:sz="4" w:space="0" w:color="auto"/>
              <w:right w:val="single" w:sz="4" w:space="0" w:color="auto"/>
            </w:tcBorders>
            <w:hideMark/>
          </w:tcPr>
          <w:p w14:paraId="77D4AA54" w14:textId="77777777" w:rsidR="00D33EDB" w:rsidRDefault="0001256D" w:rsidP="00D33EDB">
            <w:r w:rsidRPr="00C20D37">
              <w:t>Pardavimų savikainos lygis, proc.</w:t>
            </w:r>
            <w:r w:rsidR="00D33EDB">
              <w:t xml:space="preserve"> </w:t>
            </w:r>
          </w:p>
          <w:p w14:paraId="7C03E880" w14:textId="59499B38" w:rsidR="0001256D" w:rsidRPr="00C20D37" w:rsidRDefault="0001256D" w:rsidP="00D33EDB">
            <w:r w:rsidRPr="00C20D37">
              <w:t>(Pardavimo savikaina )/(Pardavimo pajamos) x 100</w:t>
            </w:r>
          </w:p>
        </w:tc>
        <w:tc>
          <w:tcPr>
            <w:tcW w:w="1276" w:type="dxa"/>
            <w:tcBorders>
              <w:top w:val="single" w:sz="4" w:space="0" w:color="auto"/>
              <w:left w:val="single" w:sz="4" w:space="0" w:color="auto"/>
              <w:bottom w:val="single" w:sz="4" w:space="0" w:color="auto"/>
              <w:right w:val="single" w:sz="4" w:space="0" w:color="auto"/>
            </w:tcBorders>
          </w:tcPr>
          <w:p w14:paraId="3CFB6013" w14:textId="77777777" w:rsidR="0001256D" w:rsidRPr="00C20D37" w:rsidRDefault="0001256D" w:rsidP="00E9250B">
            <w:pPr>
              <w:jc w:val="center"/>
            </w:pPr>
            <w:r>
              <w:t>&lt;77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2A19032" w14:textId="77777777" w:rsidR="0001256D" w:rsidRPr="00C20D37" w:rsidRDefault="0001256D" w:rsidP="00E9250B">
            <w:pPr>
              <w:jc w:val="center"/>
            </w:pPr>
            <w:r>
              <w:t>77,27</w:t>
            </w:r>
          </w:p>
        </w:tc>
        <w:tc>
          <w:tcPr>
            <w:tcW w:w="3544" w:type="dxa"/>
            <w:tcBorders>
              <w:top w:val="single" w:sz="4" w:space="0" w:color="auto"/>
              <w:left w:val="single" w:sz="4" w:space="0" w:color="auto"/>
              <w:bottom w:val="single" w:sz="4" w:space="0" w:color="auto"/>
              <w:right w:val="single" w:sz="4" w:space="0" w:color="auto"/>
            </w:tcBorders>
            <w:noWrap/>
          </w:tcPr>
          <w:p w14:paraId="5B259917" w14:textId="6A487B36" w:rsidR="0001256D" w:rsidRPr="00C20D37" w:rsidRDefault="0001256D" w:rsidP="00D33EDB">
            <w:r>
              <w:t>Įtako</w:t>
            </w:r>
            <w:r w:rsidR="00D33EDB">
              <w:t xml:space="preserve">s turėjo </w:t>
            </w:r>
            <w:r>
              <w:t>išaugusi savikaina</w:t>
            </w:r>
          </w:p>
        </w:tc>
      </w:tr>
      <w:tr w:rsidR="0001256D" w:rsidRPr="00C20D37" w14:paraId="432FD8CA" w14:textId="77777777" w:rsidTr="00E9250B">
        <w:trPr>
          <w:trHeight w:val="960"/>
        </w:trPr>
        <w:tc>
          <w:tcPr>
            <w:tcW w:w="516" w:type="dxa"/>
            <w:tcBorders>
              <w:top w:val="single" w:sz="4" w:space="0" w:color="auto"/>
              <w:left w:val="single" w:sz="4" w:space="0" w:color="auto"/>
              <w:bottom w:val="single" w:sz="4" w:space="0" w:color="auto"/>
              <w:right w:val="single" w:sz="4" w:space="0" w:color="auto"/>
            </w:tcBorders>
            <w:shd w:val="clear" w:color="000000" w:fill="FFFFFF"/>
            <w:hideMark/>
          </w:tcPr>
          <w:p w14:paraId="5870E26A" w14:textId="1218A8B3" w:rsidR="0001256D" w:rsidRPr="00C20D37" w:rsidRDefault="00893114" w:rsidP="00E9250B">
            <w:pPr>
              <w:jc w:val="center"/>
            </w:pPr>
            <w:r>
              <w:t>8.</w:t>
            </w:r>
          </w:p>
        </w:tc>
        <w:tc>
          <w:tcPr>
            <w:tcW w:w="2876" w:type="dxa"/>
            <w:tcBorders>
              <w:top w:val="single" w:sz="4" w:space="0" w:color="auto"/>
              <w:left w:val="single" w:sz="4" w:space="0" w:color="auto"/>
              <w:bottom w:val="single" w:sz="4" w:space="0" w:color="auto"/>
              <w:right w:val="single" w:sz="4" w:space="0" w:color="auto"/>
            </w:tcBorders>
            <w:hideMark/>
          </w:tcPr>
          <w:p w14:paraId="7DAAF344" w14:textId="77777777" w:rsidR="0001256D" w:rsidRPr="00C20D37" w:rsidRDefault="0001256D" w:rsidP="00E9250B">
            <w:r w:rsidRPr="00C20D37">
              <w:t xml:space="preserve">Veiklos sąnaudų lygis, proc. </w:t>
            </w:r>
            <w:r w:rsidRPr="00C20D37">
              <w:br w:type="page"/>
            </w:r>
            <w:r w:rsidRPr="00C20D37">
              <w:rPr>
                <w:i/>
                <w:iCs/>
              </w:rPr>
              <w:t>(Veiklos sąnaudos (Pardavimo sąn.+Bendrosios ir administracinės sąn.))/(Pardavimo pajamos)</w:t>
            </w:r>
          </w:p>
        </w:tc>
        <w:tc>
          <w:tcPr>
            <w:tcW w:w="1276" w:type="dxa"/>
            <w:tcBorders>
              <w:top w:val="single" w:sz="4" w:space="0" w:color="auto"/>
              <w:left w:val="single" w:sz="4" w:space="0" w:color="auto"/>
              <w:bottom w:val="single" w:sz="4" w:space="0" w:color="auto"/>
              <w:right w:val="single" w:sz="4" w:space="0" w:color="auto"/>
            </w:tcBorders>
          </w:tcPr>
          <w:p w14:paraId="22437416" w14:textId="77777777" w:rsidR="0001256D" w:rsidRPr="00C20D37" w:rsidRDefault="0001256D" w:rsidP="00E9250B">
            <w:pPr>
              <w:jc w:val="center"/>
            </w:pPr>
            <w:r>
              <w:t>&lt;8</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0C9378D" w14:textId="77777777" w:rsidR="0001256D" w:rsidRPr="00C20D37" w:rsidRDefault="0001256D" w:rsidP="00E9250B">
            <w:pPr>
              <w:jc w:val="center"/>
            </w:pPr>
            <w:r>
              <w:t>7,39</w:t>
            </w:r>
          </w:p>
        </w:tc>
        <w:tc>
          <w:tcPr>
            <w:tcW w:w="3544" w:type="dxa"/>
            <w:tcBorders>
              <w:top w:val="single" w:sz="4" w:space="0" w:color="auto"/>
              <w:left w:val="single" w:sz="4" w:space="0" w:color="auto"/>
              <w:bottom w:val="single" w:sz="4" w:space="0" w:color="auto"/>
              <w:right w:val="single" w:sz="4" w:space="0" w:color="auto"/>
            </w:tcBorders>
            <w:noWrap/>
          </w:tcPr>
          <w:p w14:paraId="1264E19C" w14:textId="77777777" w:rsidR="0001256D" w:rsidRPr="00C20D37" w:rsidRDefault="0001256D" w:rsidP="00E9250B"/>
        </w:tc>
      </w:tr>
    </w:tbl>
    <w:p w14:paraId="1D9CA34A" w14:textId="77777777" w:rsidR="0001256D" w:rsidRPr="00C20D37" w:rsidRDefault="0001256D" w:rsidP="0001256D"/>
    <w:p w14:paraId="1D31028F" w14:textId="77777777" w:rsidR="0001256D" w:rsidRPr="00C20D37" w:rsidRDefault="0001256D" w:rsidP="0001256D">
      <w:pPr>
        <w:jc w:val="center"/>
        <w:rPr>
          <w:b/>
          <w:bCs/>
        </w:rPr>
      </w:pPr>
      <w:r w:rsidRPr="00C20D37">
        <w:rPr>
          <w:b/>
          <w:bCs/>
        </w:rPr>
        <w:t>UAB „Kauno butų ūkis“ 202</w:t>
      </w:r>
      <w:r>
        <w:rPr>
          <w:b/>
          <w:bCs/>
        </w:rPr>
        <w:t>5</w:t>
      </w:r>
      <w:r w:rsidRPr="00C20D37">
        <w:rPr>
          <w:b/>
          <w:bCs/>
        </w:rPr>
        <w:t xml:space="preserve"> metų finansinių ir nefinansinių lūkesčių vertinimo rodiklių vertinimas </w:t>
      </w:r>
    </w:p>
    <w:p w14:paraId="7C3BF605" w14:textId="77777777" w:rsidR="0001256D" w:rsidRPr="00C20D37" w:rsidRDefault="0001256D" w:rsidP="0001256D"/>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881"/>
        <w:gridCol w:w="1276"/>
        <w:gridCol w:w="1276"/>
        <w:gridCol w:w="3544"/>
      </w:tblGrid>
      <w:tr w:rsidR="0001256D" w:rsidRPr="00C20D37" w14:paraId="7FFC5416" w14:textId="77777777" w:rsidTr="00E9250B">
        <w:trPr>
          <w:trHeight w:val="1275"/>
          <w:tblHeader/>
        </w:trPr>
        <w:tc>
          <w:tcPr>
            <w:tcW w:w="516" w:type="dxa"/>
            <w:vAlign w:val="center"/>
            <w:hideMark/>
          </w:tcPr>
          <w:p w14:paraId="235A285C" w14:textId="77777777" w:rsidR="0001256D" w:rsidRPr="00C20D37" w:rsidRDefault="0001256D" w:rsidP="00E9250B">
            <w:pPr>
              <w:jc w:val="center"/>
            </w:pPr>
            <w:r w:rsidRPr="00C20D37">
              <w:t>Eil. Nr.</w:t>
            </w:r>
          </w:p>
        </w:tc>
        <w:tc>
          <w:tcPr>
            <w:tcW w:w="2881" w:type="dxa"/>
            <w:vAlign w:val="center"/>
            <w:hideMark/>
          </w:tcPr>
          <w:p w14:paraId="54CB25B7" w14:textId="77777777" w:rsidR="0001256D" w:rsidRPr="00C20D37" w:rsidRDefault="0001256D" w:rsidP="00E9250B">
            <w:pPr>
              <w:jc w:val="center"/>
            </w:pPr>
            <w:r w:rsidRPr="00C20D37">
              <w:t xml:space="preserve"> Rodiklis (pavadinimas, skaičiavimo būdas, mato vienetas)</w:t>
            </w:r>
          </w:p>
        </w:tc>
        <w:tc>
          <w:tcPr>
            <w:tcW w:w="1276" w:type="dxa"/>
            <w:vAlign w:val="center"/>
            <w:hideMark/>
          </w:tcPr>
          <w:p w14:paraId="1072C496" w14:textId="77777777" w:rsidR="0001256D" w:rsidRPr="00C20D37" w:rsidRDefault="0001256D" w:rsidP="00E9250B">
            <w:pPr>
              <w:jc w:val="center"/>
            </w:pPr>
            <w:r w:rsidRPr="00C20D37">
              <w:t>202</w:t>
            </w:r>
            <w:r>
              <w:t>5</w:t>
            </w:r>
            <w:r w:rsidRPr="00C20D37">
              <w:t xml:space="preserve"> m. planuota rodiklio reikšmė</w:t>
            </w:r>
          </w:p>
        </w:tc>
        <w:tc>
          <w:tcPr>
            <w:tcW w:w="1276" w:type="dxa"/>
            <w:vAlign w:val="center"/>
            <w:hideMark/>
          </w:tcPr>
          <w:p w14:paraId="1DEC5F93" w14:textId="77777777" w:rsidR="0001256D" w:rsidRPr="00C20D37" w:rsidRDefault="0001256D" w:rsidP="00E9250B">
            <w:pPr>
              <w:jc w:val="center"/>
            </w:pPr>
            <w:r w:rsidRPr="00C20D37">
              <w:t>202</w:t>
            </w:r>
            <w:r>
              <w:t>5</w:t>
            </w:r>
            <w:r w:rsidRPr="00C20D37">
              <w:t xml:space="preserve"> m. pasiekta rodiklio reikšmė</w:t>
            </w:r>
          </w:p>
        </w:tc>
        <w:tc>
          <w:tcPr>
            <w:tcW w:w="3544" w:type="dxa"/>
            <w:vAlign w:val="center"/>
            <w:hideMark/>
          </w:tcPr>
          <w:p w14:paraId="101B3CE8" w14:textId="77777777" w:rsidR="0001256D" w:rsidRPr="00C20D37" w:rsidRDefault="0001256D" w:rsidP="00E9250B">
            <w:pPr>
              <w:jc w:val="center"/>
            </w:pPr>
            <w:r w:rsidRPr="00C20D37">
              <w:t>Informacija apie vykdymą</w:t>
            </w:r>
          </w:p>
        </w:tc>
      </w:tr>
      <w:tr w:rsidR="0001256D" w:rsidRPr="00C20D37" w14:paraId="50A0265C" w14:textId="77777777" w:rsidTr="00E9250B">
        <w:trPr>
          <w:trHeight w:val="300"/>
        </w:trPr>
        <w:tc>
          <w:tcPr>
            <w:tcW w:w="9493" w:type="dxa"/>
            <w:gridSpan w:val="5"/>
            <w:vAlign w:val="center"/>
            <w:hideMark/>
          </w:tcPr>
          <w:p w14:paraId="0E32DEF5" w14:textId="77777777" w:rsidR="0001256D" w:rsidRPr="00C20D37" w:rsidRDefault="0001256D" w:rsidP="00E9250B">
            <w:r w:rsidRPr="00C20D37">
              <w:rPr>
                <w:b/>
                <w:bCs/>
              </w:rPr>
              <w:t>Nefinansinių lūkesčių vertinimo rodikliai:</w:t>
            </w:r>
            <w:r w:rsidRPr="00C20D37">
              <w:t> </w:t>
            </w:r>
          </w:p>
        </w:tc>
      </w:tr>
      <w:tr w:rsidR="0001256D" w:rsidRPr="00C20D37" w14:paraId="106AC15D" w14:textId="77777777" w:rsidTr="00E9250B">
        <w:trPr>
          <w:trHeight w:val="945"/>
        </w:trPr>
        <w:tc>
          <w:tcPr>
            <w:tcW w:w="516" w:type="dxa"/>
            <w:hideMark/>
          </w:tcPr>
          <w:p w14:paraId="2AEC6A98" w14:textId="06CC9574" w:rsidR="0001256D" w:rsidRPr="00C20D37" w:rsidRDefault="0001256D" w:rsidP="00E9250B">
            <w:pPr>
              <w:jc w:val="center"/>
            </w:pPr>
            <w:r w:rsidRPr="00C20D37">
              <w:t>1</w:t>
            </w:r>
            <w:r w:rsidR="00893114">
              <w:t>.</w:t>
            </w:r>
          </w:p>
        </w:tc>
        <w:tc>
          <w:tcPr>
            <w:tcW w:w="2881" w:type="dxa"/>
            <w:hideMark/>
          </w:tcPr>
          <w:p w14:paraId="4AC21485" w14:textId="77777777" w:rsidR="0001256D" w:rsidRPr="00C20D37" w:rsidRDefault="0001256D" w:rsidP="00E9250B">
            <w:r w:rsidRPr="00C20D37">
              <w:t>Bendrovės administruojamų namų Kauno mieste skaičiaus didėjimas lyginant su praėjusiais metais, proc.</w:t>
            </w:r>
          </w:p>
        </w:tc>
        <w:tc>
          <w:tcPr>
            <w:tcW w:w="1276" w:type="dxa"/>
          </w:tcPr>
          <w:p w14:paraId="129A2137" w14:textId="77777777" w:rsidR="0001256D" w:rsidRPr="00C20D37" w:rsidRDefault="0001256D" w:rsidP="00E9250B">
            <w:pPr>
              <w:jc w:val="center"/>
            </w:pPr>
            <w:r>
              <w:t>3</w:t>
            </w:r>
          </w:p>
        </w:tc>
        <w:tc>
          <w:tcPr>
            <w:tcW w:w="1276" w:type="dxa"/>
          </w:tcPr>
          <w:p w14:paraId="3DF8E7DD" w14:textId="77777777" w:rsidR="0001256D" w:rsidRPr="00C20D37" w:rsidRDefault="0001256D" w:rsidP="00E9250B">
            <w:pPr>
              <w:jc w:val="center"/>
            </w:pPr>
            <w:r>
              <w:t>5,64</w:t>
            </w:r>
          </w:p>
        </w:tc>
        <w:tc>
          <w:tcPr>
            <w:tcW w:w="3544" w:type="dxa"/>
            <w:noWrap/>
            <w:hideMark/>
          </w:tcPr>
          <w:p w14:paraId="10E3DB8F" w14:textId="77777777" w:rsidR="0001256D" w:rsidRPr="00C20D37" w:rsidRDefault="0001256D" w:rsidP="00E9250B">
            <w:r w:rsidRPr="00C20D37">
              <w:t> </w:t>
            </w:r>
          </w:p>
        </w:tc>
      </w:tr>
      <w:tr w:rsidR="0001256D" w:rsidRPr="00C20D37" w14:paraId="228C55AC" w14:textId="77777777" w:rsidTr="00E9250B">
        <w:trPr>
          <w:trHeight w:val="545"/>
        </w:trPr>
        <w:tc>
          <w:tcPr>
            <w:tcW w:w="516" w:type="dxa"/>
            <w:hideMark/>
          </w:tcPr>
          <w:p w14:paraId="6A88BA0A" w14:textId="5F4A23C4" w:rsidR="0001256D" w:rsidRPr="00C20D37" w:rsidRDefault="0001256D" w:rsidP="00E9250B">
            <w:r w:rsidRPr="00C20D37">
              <w:t>2</w:t>
            </w:r>
            <w:r w:rsidR="00893114">
              <w:t>.</w:t>
            </w:r>
          </w:p>
        </w:tc>
        <w:tc>
          <w:tcPr>
            <w:tcW w:w="2881" w:type="dxa"/>
            <w:hideMark/>
          </w:tcPr>
          <w:p w14:paraId="1A5606C0" w14:textId="77777777" w:rsidR="0001256D" w:rsidRPr="00C20D37" w:rsidRDefault="0001256D" w:rsidP="00E9250B">
            <w:r w:rsidRPr="00C20D37">
              <w:t>Namai, kuriuose Bendrovė įrengusi prižiūrės įrenginius, generuojančius atsinaujinančius energijos išteklius, vnt.</w:t>
            </w:r>
          </w:p>
        </w:tc>
        <w:tc>
          <w:tcPr>
            <w:tcW w:w="1276" w:type="dxa"/>
          </w:tcPr>
          <w:p w14:paraId="714DA38D" w14:textId="77777777" w:rsidR="0001256D" w:rsidRPr="00C20D37" w:rsidRDefault="0001256D" w:rsidP="00E9250B">
            <w:pPr>
              <w:jc w:val="center"/>
            </w:pPr>
            <w:r>
              <w:t>20</w:t>
            </w:r>
          </w:p>
        </w:tc>
        <w:tc>
          <w:tcPr>
            <w:tcW w:w="1276" w:type="dxa"/>
          </w:tcPr>
          <w:p w14:paraId="4A885414" w14:textId="77777777" w:rsidR="0001256D" w:rsidRPr="00C20D37" w:rsidRDefault="0001256D" w:rsidP="00E9250B">
            <w:pPr>
              <w:jc w:val="center"/>
            </w:pPr>
            <w:r>
              <w:t>1</w:t>
            </w:r>
          </w:p>
        </w:tc>
        <w:tc>
          <w:tcPr>
            <w:tcW w:w="3544" w:type="dxa"/>
          </w:tcPr>
          <w:p w14:paraId="6B0E66D8" w14:textId="630C57C7" w:rsidR="0001256D" w:rsidRPr="00C20D37" w:rsidRDefault="0001256D" w:rsidP="00D33EDB">
            <w:r w:rsidRPr="0037298A">
              <w:t xml:space="preserve">Vykdant namo renovaciją, yra numatoma privaloma priemonė </w:t>
            </w:r>
            <w:r w:rsidR="00D33EDB">
              <w:t>–</w:t>
            </w:r>
            <w:r w:rsidRPr="0037298A">
              <w:t xml:space="preserve"> saulės elektrinės įrengimas, tači</w:t>
            </w:r>
            <w:r>
              <w:t>au</w:t>
            </w:r>
            <w:r w:rsidRPr="0037298A">
              <w:t xml:space="preserve"> pasikeitus teisės aktams, AB </w:t>
            </w:r>
            <w:r w:rsidR="00D33EDB">
              <w:t>„</w:t>
            </w:r>
            <w:r w:rsidRPr="0037298A">
              <w:t>Energijos skirstymo operatorius</w:t>
            </w:r>
            <w:r w:rsidR="00D33EDB">
              <w:t>“</w:t>
            </w:r>
            <w:r w:rsidRPr="0037298A">
              <w:t xml:space="preserve"> (ESO) neišduoda sąlygų, leidžiančių daugiabučių namų gyventojams kaupti elektros energiją. Tokia priemonė tampa neefektyvia, nes gyventojai gali tik generuoti, bet negali kaupti el. energijos ir vėliau jos naudoti bendroms reikmėms</w:t>
            </w:r>
          </w:p>
        </w:tc>
      </w:tr>
      <w:tr w:rsidR="0001256D" w:rsidRPr="00C20D37" w14:paraId="15E7961C" w14:textId="77777777" w:rsidTr="00E9250B">
        <w:trPr>
          <w:trHeight w:val="945"/>
        </w:trPr>
        <w:tc>
          <w:tcPr>
            <w:tcW w:w="516" w:type="dxa"/>
            <w:hideMark/>
          </w:tcPr>
          <w:p w14:paraId="7CBF5BDB" w14:textId="1A01817D" w:rsidR="0001256D" w:rsidRPr="00C20D37" w:rsidRDefault="0001256D" w:rsidP="00E9250B">
            <w:pPr>
              <w:jc w:val="center"/>
            </w:pPr>
            <w:r w:rsidRPr="00C20D37">
              <w:t>3</w:t>
            </w:r>
            <w:r w:rsidR="00893114">
              <w:t>.</w:t>
            </w:r>
          </w:p>
        </w:tc>
        <w:tc>
          <w:tcPr>
            <w:tcW w:w="2881" w:type="dxa"/>
            <w:hideMark/>
          </w:tcPr>
          <w:p w14:paraId="5433DF7C" w14:textId="77777777" w:rsidR="0001256D" w:rsidRPr="00C20D37" w:rsidRDefault="0001256D" w:rsidP="00E9250B">
            <w:pPr>
              <w:jc w:val="both"/>
            </w:pPr>
            <w:r w:rsidRPr="00C20D37">
              <w:t>Atnaujinti (modernizuoti) daugiabučiai namai, kurių atnaujinimo (modernizavimo) procese dalyvavo Bendrovė, vnt.</w:t>
            </w:r>
          </w:p>
        </w:tc>
        <w:tc>
          <w:tcPr>
            <w:tcW w:w="1276" w:type="dxa"/>
          </w:tcPr>
          <w:p w14:paraId="65118CDC" w14:textId="77777777" w:rsidR="0001256D" w:rsidRPr="00C20D37" w:rsidRDefault="0001256D" w:rsidP="00E9250B">
            <w:pPr>
              <w:jc w:val="center"/>
            </w:pPr>
            <w:r>
              <w:t>10</w:t>
            </w:r>
          </w:p>
        </w:tc>
        <w:tc>
          <w:tcPr>
            <w:tcW w:w="1276" w:type="dxa"/>
          </w:tcPr>
          <w:p w14:paraId="6D55B494" w14:textId="77777777" w:rsidR="0001256D" w:rsidRPr="00C20D37" w:rsidRDefault="0001256D" w:rsidP="00E9250B">
            <w:pPr>
              <w:jc w:val="center"/>
            </w:pPr>
            <w:r>
              <w:t>10</w:t>
            </w:r>
          </w:p>
        </w:tc>
        <w:tc>
          <w:tcPr>
            <w:tcW w:w="3544" w:type="dxa"/>
            <w:noWrap/>
          </w:tcPr>
          <w:p w14:paraId="5F30114D" w14:textId="77777777" w:rsidR="00D33EDB" w:rsidRDefault="0001256D" w:rsidP="00E9250B">
            <w:r w:rsidRPr="009346F9">
              <w:t>Rodiklio pasiekimu laikomas statybos užbaigimo akto išdavimas</w:t>
            </w:r>
          </w:p>
          <w:p w14:paraId="726C70AC" w14:textId="05FACA94" w:rsidR="00D33EDB" w:rsidRDefault="0001256D" w:rsidP="00E9250B">
            <w:r w:rsidRPr="009346F9">
              <w:t xml:space="preserve">(M. Riomerio g. 33; </w:t>
            </w:r>
          </w:p>
          <w:p w14:paraId="3996365C" w14:textId="77777777" w:rsidR="00D33EDB" w:rsidRDefault="0001256D" w:rsidP="00E9250B">
            <w:r w:rsidRPr="009346F9">
              <w:t xml:space="preserve">A. Strazdo g. 77; </w:t>
            </w:r>
          </w:p>
          <w:p w14:paraId="7DEAAC84" w14:textId="77777777" w:rsidR="00D33EDB" w:rsidRDefault="0001256D" w:rsidP="00E9250B">
            <w:r w:rsidRPr="009346F9">
              <w:lastRenderedPageBreak/>
              <w:t xml:space="preserve">Raudondvario pl. 184; Bajorų g. 3; Bajorų g. 6; K. Griniaus g. 1; </w:t>
            </w:r>
          </w:p>
          <w:p w14:paraId="76ED9410" w14:textId="31D2C55F" w:rsidR="00893114" w:rsidRDefault="0001256D" w:rsidP="00E9250B">
            <w:r w:rsidRPr="009346F9">
              <w:t xml:space="preserve">K. Griniaus g. 11, </w:t>
            </w:r>
          </w:p>
          <w:p w14:paraId="006B333E" w14:textId="77777777" w:rsidR="00893114" w:rsidRDefault="0001256D" w:rsidP="00E9250B">
            <w:r w:rsidRPr="009346F9">
              <w:t xml:space="preserve">R. Kalantos g. 84; </w:t>
            </w:r>
          </w:p>
          <w:p w14:paraId="3FA21744" w14:textId="77777777" w:rsidR="00D33EDB" w:rsidRDefault="0001256D" w:rsidP="00D33EDB">
            <w:r w:rsidRPr="009346F9">
              <w:t xml:space="preserve">R. Kalantos g. 86; </w:t>
            </w:r>
          </w:p>
          <w:p w14:paraId="0BFD77BF" w14:textId="5CA84D15" w:rsidR="0001256D" w:rsidRPr="00C20D37" w:rsidRDefault="0001256D" w:rsidP="00D33EDB">
            <w:r w:rsidRPr="009346F9">
              <w:t>A. ir J. Gravrogkų g. 7)</w:t>
            </w:r>
          </w:p>
        </w:tc>
      </w:tr>
      <w:tr w:rsidR="0001256D" w:rsidRPr="00C20D37" w14:paraId="0783985F" w14:textId="77777777" w:rsidTr="00E9250B">
        <w:trPr>
          <w:trHeight w:val="300"/>
        </w:trPr>
        <w:tc>
          <w:tcPr>
            <w:tcW w:w="9493" w:type="dxa"/>
            <w:gridSpan w:val="5"/>
            <w:hideMark/>
          </w:tcPr>
          <w:p w14:paraId="70765ABB" w14:textId="2F38FE57" w:rsidR="0001256D" w:rsidRPr="00C20D37" w:rsidRDefault="0001256D" w:rsidP="00893114">
            <w:r w:rsidRPr="00C20D37">
              <w:rPr>
                <w:b/>
                <w:bCs/>
              </w:rPr>
              <w:lastRenderedPageBreak/>
              <w:t>Finansinių lūkesčių vertinimo rodikliai:</w:t>
            </w:r>
          </w:p>
        </w:tc>
      </w:tr>
      <w:tr w:rsidR="0001256D" w:rsidRPr="00C20D37" w14:paraId="69837514" w14:textId="77777777" w:rsidTr="00E9250B">
        <w:trPr>
          <w:trHeight w:val="930"/>
        </w:trPr>
        <w:tc>
          <w:tcPr>
            <w:tcW w:w="516" w:type="dxa"/>
            <w:shd w:val="clear" w:color="000000" w:fill="FFFFFF"/>
            <w:hideMark/>
          </w:tcPr>
          <w:p w14:paraId="5E791F4B" w14:textId="141EDB3F" w:rsidR="0001256D" w:rsidRPr="00C20D37" w:rsidRDefault="00D33EDB" w:rsidP="00E9250B">
            <w:pPr>
              <w:jc w:val="center"/>
            </w:pPr>
            <w:r>
              <w:t>4.</w:t>
            </w:r>
          </w:p>
        </w:tc>
        <w:tc>
          <w:tcPr>
            <w:tcW w:w="2881" w:type="dxa"/>
            <w:hideMark/>
          </w:tcPr>
          <w:p w14:paraId="62781D89" w14:textId="77777777" w:rsidR="00D33EDB" w:rsidRDefault="0001256D" w:rsidP="00E9250B">
            <w:r w:rsidRPr="00C20D37">
              <w:t>EBITDA marža, proc.</w:t>
            </w:r>
            <w:r w:rsidR="00D33EDB">
              <w:t xml:space="preserve"> </w:t>
            </w:r>
          </w:p>
          <w:p w14:paraId="67B27595" w14:textId="2BDF2110" w:rsidR="0001256D" w:rsidRPr="00C20D37" w:rsidRDefault="0001256D" w:rsidP="00E9250B">
            <w:r w:rsidRPr="00C20D37">
              <w:rPr>
                <w:i/>
                <w:iCs/>
              </w:rPr>
              <w:t>(EBIT+Nusidėvėjimo ir amortizacijos sąnaudos)/(pardavimo pajamos) x 100</w:t>
            </w:r>
          </w:p>
        </w:tc>
        <w:tc>
          <w:tcPr>
            <w:tcW w:w="1276" w:type="dxa"/>
          </w:tcPr>
          <w:p w14:paraId="4455C034" w14:textId="77777777" w:rsidR="0001256D" w:rsidRPr="00C20D37" w:rsidRDefault="0001256D" w:rsidP="00E9250B">
            <w:pPr>
              <w:jc w:val="center"/>
            </w:pPr>
            <w:r>
              <w:t>10,2</w:t>
            </w:r>
          </w:p>
        </w:tc>
        <w:tc>
          <w:tcPr>
            <w:tcW w:w="1276" w:type="dxa"/>
            <w:shd w:val="clear" w:color="000000" w:fill="FFFFFF"/>
          </w:tcPr>
          <w:p w14:paraId="28BB5406" w14:textId="77777777" w:rsidR="0001256D" w:rsidRPr="00C20D37" w:rsidRDefault="0001256D" w:rsidP="00E9250B">
            <w:pPr>
              <w:jc w:val="center"/>
            </w:pPr>
            <w:r>
              <w:t>5,2</w:t>
            </w:r>
          </w:p>
        </w:tc>
        <w:tc>
          <w:tcPr>
            <w:tcW w:w="3544" w:type="dxa"/>
          </w:tcPr>
          <w:p w14:paraId="6C05D90D" w14:textId="77777777" w:rsidR="00D33EDB" w:rsidRDefault="0001256D" w:rsidP="00E9250B">
            <w:r>
              <w:t>Įtakos turėjo m</w:t>
            </w:r>
            <w:r w:rsidRPr="00113BF0">
              <w:t xml:space="preserve">ažesnės nei planuota pajamos: </w:t>
            </w:r>
          </w:p>
          <w:p w14:paraId="65A2FFF3" w14:textId="51F886C1" w:rsidR="00D33EDB" w:rsidRDefault="0001256D" w:rsidP="00D33EDB">
            <w:r w:rsidRPr="00113BF0">
              <w:t>dėl investicijų į pastato remontus, kas didina išlaidas trumpuoju laikotarpiu ir negeneruoja papildomų pajamų</w:t>
            </w:r>
            <w:r w:rsidR="00D33EDB">
              <w:t xml:space="preserve">; </w:t>
            </w:r>
          </w:p>
          <w:p w14:paraId="5FD345C5" w14:textId="77777777" w:rsidR="00D33EDB" w:rsidRDefault="0001256D" w:rsidP="00D33EDB">
            <w:r w:rsidRPr="00113BF0">
              <w:t xml:space="preserve">Bendrovės pajamos vykdant savivaldybės įstaigų (mokyklų-darželių) priežiūrą sumažėjo </w:t>
            </w:r>
          </w:p>
          <w:p w14:paraId="35932872" w14:textId="697DFE1F" w:rsidR="0001256D" w:rsidRPr="00C20D37" w:rsidRDefault="0001256D" w:rsidP="00D33EDB">
            <w:r w:rsidRPr="00113BF0">
              <w:t>70 proc.</w:t>
            </w:r>
            <w:r w:rsidR="00D33EDB">
              <w:t>,</w:t>
            </w:r>
            <w:r w:rsidRPr="00113BF0">
              <w:t xml:space="preserve"> apie 0,5 mln. per metus</w:t>
            </w:r>
          </w:p>
        </w:tc>
      </w:tr>
      <w:tr w:rsidR="0001256D" w:rsidRPr="00C20D37" w14:paraId="08402302" w14:textId="77777777" w:rsidTr="00E9250B">
        <w:trPr>
          <w:trHeight w:val="945"/>
        </w:trPr>
        <w:tc>
          <w:tcPr>
            <w:tcW w:w="516" w:type="dxa"/>
            <w:shd w:val="clear" w:color="000000" w:fill="FFFFFF"/>
            <w:hideMark/>
          </w:tcPr>
          <w:p w14:paraId="732F6E08" w14:textId="6C101853" w:rsidR="0001256D" w:rsidRPr="00C20D37" w:rsidRDefault="00D33EDB" w:rsidP="00E9250B">
            <w:pPr>
              <w:jc w:val="center"/>
            </w:pPr>
            <w:r>
              <w:t>5.</w:t>
            </w:r>
          </w:p>
        </w:tc>
        <w:tc>
          <w:tcPr>
            <w:tcW w:w="2881" w:type="dxa"/>
            <w:hideMark/>
          </w:tcPr>
          <w:p w14:paraId="7D9D2D14" w14:textId="77777777" w:rsidR="0001256D" w:rsidRPr="00C20D37" w:rsidRDefault="0001256D" w:rsidP="00E9250B">
            <w:r w:rsidRPr="00C20D37">
              <w:t xml:space="preserve">Ilgalaikių skolų ir nuosavybės rodiklis, koef. </w:t>
            </w:r>
            <w:r w:rsidRPr="00C20D37">
              <w:br w:type="page"/>
            </w:r>
            <w:r w:rsidRPr="00C20D37">
              <w:rPr>
                <w:i/>
                <w:iCs/>
              </w:rPr>
              <w:t>(Po vienerių metų mokėtinos sumos ir kiti ilgalaikiai įsipareigojimai)/(Nuosavas kapitalas)</w:t>
            </w:r>
          </w:p>
        </w:tc>
        <w:tc>
          <w:tcPr>
            <w:tcW w:w="1276" w:type="dxa"/>
          </w:tcPr>
          <w:p w14:paraId="11D741FE" w14:textId="77777777" w:rsidR="0001256D" w:rsidRPr="00C20D37" w:rsidRDefault="0001256D" w:rsidP="00E9250B">
            <w:pPr>
              <w:jc w:val="center"/>
            </w:pPr>
            <w:r>
              <w:t>&lt;0,5</w:t>
            </w:r>
          </w:p>
        </w:tc>
        <w:tc>
          <w:tcPr>
            <w:tcW w:w="1276" w:type="dxa"/>
            <w:shd w:val="clear" w:color="000000" w:fill="FFFFFF"/>
          </w:tcPr>
          <w:p w14:paraId="0A0B6C24" w14:textId="77777777" w:rsidR="0001256D" w:rsidRPr="00C20D37" w:rsidRDefault="0001256D" w:rsidP="00E9250B">
            <w:pPr>
              <w:jc w:val="center"/>
            </w:pPr>
            <w:r>
              <w:t>0,12</w:t>
            </w:r>
          </w:p>
        </w:tc>
        <w:tc>
          <w:tcPr>
            <w:tcW w:w="3544" w:type="dxa"/>
          </w:tcPr>
          <w:p w14:paraId="734063C3" w14:textId="77777777" w:rsidR="0001256D" w:rsidRPr="00C20D37" w:rsidRDefault="0001256D" w:rsidP="00E9250B"/>
        </w:tc>
      </w:tr>
      <w:tr w:rsidR="0001256D" w:rsidRPr="00C20D37" w14:paraId="7B291117" w14:textId="77777777" w:rsidTr="00E9250B">
        <w:trPr>
          <w:trHeight w:val="1260"/>
        </w:trPr>
        <w:tc>
          <w:tcPr>
            <w:tcW w:w="516" w:type="dxa"/>
            <w:shd w:val="clear" w:color="000000" w:fill="FFFFFF"/>
            <w:hideMark/>
          </w:tcPr>
          <w:p w14:paraId="1F8BBE3F" w14:textId="223EB4C3" w:rsidR="0001256D" w:rsidRPr="00C20D37" w:rsidRDefault="00D33EDB" w:rsidP="00E9250B">
            <w:pPr>
              <w:jc w:val="center"/>
            </w:pPr>
            <w:r>
              <w:t>6.</w:t>
            </w:r>
          </w:p>
        </w:tc>
        <w:tc>
          <w:tcPr>
            <w:tcW w:w="2881" w:type="dxa"/>
            <w:hideMark/>
          </w:tcPr>
          <w:p w14:paraId="4F0E4B68" w14:textId="77777777" w:rsidR="0001256D" w:rsidRPr="00C20D37" w:rsidRDefault="0001256D" w:rsidP="00E9250B">
            <w:r w:rsidRPr="00C20D37">
              <w:t>Nuosavo kapitalo grąža, siekiant užtikrinti dividendų akcininkams mokėjimą, koef.</w:t>
            </w:r>
            <w:r w:rsidRPr="00C20D37">
              <w:br/>
            </w:r>
            <w:r w:rsidRPr="00C20D37">
              <w:rPr>
                <w:i/>
                <w:iCs/>
              </w:rPr>
              <w:t>(Grynasis pelnas (nuostoliai))/(Nuosavo kapitalo laikotarpio pradžioje ir pabaigoje vidurkis) × 100</w:t>
            </w:r>
          </w:p>
        </w:tc>
        <w:tc>
          <w:tcPr>
            <w:tcW w:w="1276" w:type="dxa"/>
          </w:tcPr>
          <w:p w14:paraId="726FAA6C" w14:textId="77777777" w:rsidR="0001256D" w:rsidRPr="00C20D37" w:rsidRDefault="0001256D" w:rsidP="00E9250B">
            <w:pPr>
              <w:jc w:val="center"/>
            </w:pPr>
            <w:r>
              <w:t>&gt;15</w:t>
            </w:r>
          </w:p>
        </w:tc>
        <w:tc>
          <w:tcPr>
            <w:tcW w:w="1276" w:type="dxa"/>
            <w:shd w:val="clear" w:color="000000" w:fill="FFFFFF"/>
          </w:tcPr>
          <w:p w14:paraId="40E9E2AD" w14:textId="77777777" w:rsidR="0001256D" w:rsidRPr="00C20D37" w:rsidRDefault="0001256D" w:rsidP="00E9250B">
            <w:pPr>
              <w:jc w:val="center"/>
            </w:pPr>
            <w:r>
              <w:t>9,03</w:t>
            </w:r>
          </w:p>
        </w:tc>
        <w:tc>
          <w:tcPr>
            <w:tcW w:w="3544" w:type="dxa"/>
            <w:noWrap/>
          </w:tcPr>
          <w:p w14:paraId="67A9E0FC" w14:textId="6A671E40" w:rsidR="0001256D" w:rsidRPr="00C20D37" w:rsidRDefault="0001256D" w:rsidP="00E9250B">
            <w:r w:rsidRPr="00936D91">
              <w:t>Įtakojo mažesnės nei planuota pajamos</w:t>
            </w:r>
            <w:r>
              <w:t xml:space="preserve"> ir atitinkamai mažesnis grynasis pelnas</w:t>
            </w:r>
          </w:p>
        </w:tc>
      </w:tr>
      <w:tr w:rsidR="0001256D" w:rsidRPr="00C20D37" w14:paraId="0561C71D" w14:textId="77777777" w:rsidTr="00E9250B">
        <w:trPr>
          <w:trHeight w:val="630"/>
        </w:trPr>
        <w:tc>
          <w:tcPr>
            <w:tcW w:w="516" w:type="dxa"/>
            <w:shd w:val="clear" w:color="000000" w:fill="FFFFFF"/>
            <w:hideMark/>
          </w:tcPr>
          <w:p w14:paraId="71818E9F" w14:textId="6A2DE4F0" w:rsidR="0001256D" w:rsidRPr="00C20D37" w:rsidRDefault="00D33EDB" w:rsidP="00E9250B">
            <w:pPr>
              <w:jc w:val="center"/>
            </w:pPr>
            <w:r>
              <w:t>7.</w:t>
            </w:r>
          </w:p>
        </w:tc>
        <w:tc>
          <w:tcPr>
            <w:tcW w:w="2881" w:type="dxa"/>
            <w:hideMark/>
          </w:tcPr>
          <w:p w14:paraId="12495FED" w14:textId="77777777" w:rsidR="0001256D" w:rsidRPr="00C20D37" w:rsidRDefault="0001256D" w:rsidP="00E9250B">
            <w:r w:rsidRPr="00C20D37">
              <w:t>Pardavimų savikainos lygis, proc.</w:t>
            </w:r>
            <w:r w:rsidRPr="00C20D37">
              <w:br/>
              <w:t>(Pardavimo savikaina)/(Pardavimo pajamos) x 100</w:t>
            </w:r>
          </w:p>
        </w:tc>
        <w:tc>
          <w:tcPr>
            <w:tcW w:w="1276" w:type="dxa"/>
          </w:tcPr>
          <w:p w14:paraId="23F1CBCF" w14:textId="77777777" w:rsidR="0001256D" w:rsidRPr="00C20D37" w:rsidRDefault="0001256D" w:rsidP="00E9250B">
            <w:pPr>
              <w:jc w:val="center"/>
            </w:pPr>
            <w:r>
              <w:t>&lt;83</w:t>
            </w:r>
          </w:p>
        </w:tc>
        <w:tc>
          <w:tcPr>
            <w:tcW w:w="1276" w:type="dxa"/>
            <w:shd w:val="clear" w:color="000000" w:fill="FFFFFF"/>
          </w:tcPr>
          <w:p w14:paraId="0E248D55" w14:textId="77777777" w:rsidR="0001256D" w:rsidRPr="00C20D37" w:rsidRDefault="0001256D" w:rsidP="00E9250B">
            <w:pPr>
              <w:jc w:val="center"/>
            </w:pPr>
            <w:r>
              <w:t>89,56</w:t>
            </w:r>
          </w:p>
        </w:tc>
        <w:tc>
          <w:tcPr>
            <w:tcW w:w="3544" w:type="dxa"/>
          </w:tcPr>
          <w:p w14:paraId="7FA78490" w14:textId="77777777" w:rsidR="00D33EDB" w:rsidRDefault="0001256D" w:rsidP="00D33EDB">
            <w:r w:rsidRPr="00936D91">
              <w:t>Bendrovė, vykdydama statybos ir remonto darbus, taiko teisės akt</w:t>
            </w:r>
            <w:r w:rsidR="00D33EDB">
              <w:t xml:space="preserve">ų nurodytą </w:t>
            </w:r>
            <w:r w:rsidRPr="00936D91">
              <w:t xml:space="preserve"> </w:t>
            </w:r>
            <w:r w:rsidR="00D33EDB">
              <w:t>– r</w:t>
            </w:r>
            <w:r w:rsidRPr="00936D91">
              <w:t xml:space="preserve">ekomenduojamą </w:t>
            </w:r>
          </w:p>
          <w:p w14:paraId="2B4EB425" w14:textId="0E9C1566" w:rsidR="0001256D" w:rsidRPr="00C20D37" w:rsidRDefault="0001256D" w:rsidP="00D33EDB">
            <w:r w:rsidRPr="00936D91">
              <w:t>5 proc. pelno maržą. Tai riboja galimybes didinti bendrą pelningumą šioje veiklos srityje ir turi tiesioginę įtaką įmonės finansiniams rodikliams. Remonto darbų pardavimo savikainos lygis išlieka aukštas dėl fiksuotų įkain</w:t>
            </w:r>
            <w:r>
              <w:t>i</w:t>
            </w:r>
            <w:r w:rsidRPr="00936D91">
              <w:t>ų sutartyse</w:t>
            </w:r>
            <w:r>
              <w:t xml:space="preserve"> </w:t>
            </w:r>
            <w:r w:rsidRPr="00910AC3">
              <w:t xml:space="preserve">bei didelės konkurencijos kai darbai atliekami </w:t>
            </w:r>
            <w:r w:rsidRPr="00910AC3">
              <w:lastRenderedPageBreak/>
              <w:t xml:space="preserve">dalyvaujant </w:t>
            </w:r>
            <w:r w:rsidR="00D33EDB">
              <w:t>S</w:t>
            </w:r>
            <w:r w:rsidRPr="00910AC3">
              <w:t>avivaldybės organizuojamuose darbų pirkimuose</w:t>
            </w:r>
          </w:p>
        </w:tc>
      </w:tr>
      <w:tr w:rsidR="0001256D" w:rsidRPr="00C20D37" w14:paraId="26F86BCD" w14:textId="77777777" w:rsidTr="00E9250B">
        <w:trPr>
          <w:trHeight w:val="960"/>
        </w:trPr>
        <w:tc>
          <w:tcPr>
            <w:tcW w:w="516" w:type="dxa"/>
            <w:shd w:val="clear" w:color="000000" w:fill="FFFFFF"/>
            <w:hideMark/>
          </w:tcPr>
          <w:p w14:paraId="13204495" w14:textId="71450442" w:rsidR="0001256D" w:rsidRPr="00C20D37" w:rsidRDefault="00D33EDB" w:rsidP="00E9250B">
            <w:pPr>
              <w:jc w:val="center"/>
            </w:pPr>
            <w:r>
              <w:lastRenderedPageBreak/>
              <w:t>7.</w:t>
            </w:r>
          </w:p>
        </w:tc>
        <w:tc>
          <w:tcPr>
            <w:tcW w:w="2881" w:type="dxa"/>
            <w:hideMark/>
          </w:tcPr>
          <w:p w14:paraId="57F3BF93" w14:textId="77777777" w:rsidR="0001256D" w:rsidRPr="00C20D37" w:rsidRDefault="0001256D" w:rsidP="00E9250B">
            <w:r w:rsidRPr="00C20D37">
              <w:t>Veiklos sąnaudų lygis, proc.</w:t>
            </w:r>
            <w:r w:rsidRPr="00C20D37">
              <w:br/>
            </w:r>
            <w:r w:rsidRPr="00C20D37">
              <w:rPr>
                <w:i/>
                <w:iCs/>
              </w:rPr>
              <w:t>(Veiklos sąnaudos (Pardavimo sąn.+Bendrosios ir administracinės sąn.))/(Pardavimo pajamos)</w:t>
            </w:r>
          </w:p>
        </w:tc>
        <w:tc>
          <w:tcPr>
            <w:tcW w:w="1276" w:type="dxa"/>
          </w:tcPr>
          <w:p w14:paraId="3D095420" w14:textId="77777777" w:rsidR="0001256D" w:rsidRPr="00C20D37" w:rsidRDefault="0001256D" w:rsidP="00E9250B">
            <w:pPr>
              <w:jc w:val="center"/>
            </w:pPr>
            <w:r>
              <w:t>&lt;7</w:t>
            </w:r>
          </w:p>
        </w:tc>
        <w:tc>
          <w:tcPr>
            <w:tcW w:w="1276" w:type="dxa"/>
            <w:shd w:val="clear" w:color="000000" w:fill="FFFFFF"/>
          </w:tcPr>
          <w:p w14:paraId="29ED34C8" w14:textId="77777777" w:rsidR="0001256D" w:rsidRPr="00C20D37" w:rsidRDefault="0001256D" w:rsidP="00E9250B">
            <w:pPr>
              <w:jc w:val="center"/>
            </w:pPr>
            <w:r>
              <w:t>6,23</w:t>
            </w:r>
          </w:p>
        </w:tc>
        <w:tc>
          <w:tcPr>
            <w:tcW w:w="3544" w:type="dxa"/>
            <w:noWrap/>
            <w:hideMark/>
          </w:tcPr>
          <w:p w14:paraId="0C0E9861" w14:textId="77777777" w:rsidR="0001256D" w:rsidRPr="00C20D37" w:rsidRDefault="0001256D" w:rsidP="00E9250B">
            <w:r w:rsidRPr="00C20D37">
              <w:t> </w:t>
            </w:r>
          </w:p>
        </w:tc>
      </w:tr>
    </w:tbl>
    <w:p w14:paraId="354AF74C" w14:textId="77777777" w:rsidR="00F63FF9" w:rsidRPr="00D33EDB" w:rsidRDefault="00F63FF9" w:rsidP="00D33EDB">
      <w:pPr>
        <w:rPr>
          <w:bCs/>
        </w:rPr>
      </w:pPr>
    </w:p>
    <w:p w14:paraId="234C518B" w14:textId="2BA35D9C" w:rsidR="0001256D" w:rsidRPr="00C20D37" w:rsidRDefault="0001256D" w:rsidP="0001256D">
      <w:pPr>
        <w:jc w:val="center"/>
        <w:rPr>
          <w:b/>
          <w:bCs/>
        </w:rPr>
      </w:pPr>
      <w:r w:rsidRPr="00C20D37">
        <w:rPr>
          <w:b/>
          <w:bCs/>
        </w:rPr>
        <w:t>UAB „Laboratorinių bandymų centras“ 202</w:t>
      </w:r>
      <w:r>
        <w:rPr>
          <w:b/>
          <w:bCs/>
        </w:rPr>
        <w:t>5</w:t>
      </w:r>
      <w:r w:rsidRPr="00C20D37">
        <w:rPr>
          <w:b/>
          <w:bCs/>
        </w:rPr>
        <w:t xml:space="preserve"> metų finansinių ir nefinansinių lūkesčių vertinimo rodiklių vertinimas </w:t>
      </w:r>
    </w:p>
    <w:p w14:paraId="41E11292" w14:textId="77777777" w:rsidR="0001256D" w:rsidRPr="00C20D37" w:rsidRDefault="0001256D" w:rsidP="0001256D"/>
    <w:tbl>
      <w:tblPr>
        <w:tblW w:w="9493" w:type="dxa"/>
        <w:tblLook w:val="04A0" w:firstRow="1" w:lastRow="0" w:firstColumn="1" w:lastColumn="0" w:noHBand="0" w:noVBand="1"/>
      </w:tblPr>
      <w:tblGrid>
        <w:gridCol w:w="562"/>
        <w:gridCol w:w="2835"/>
        <w:gridCol w:w="1276"/>
        <w:gridCol w:w="1418"/>
        <w:gridCol w:w="3402"/>
      </w:tblGrid>
      <w:tr w:rsidR="0001256D" w:rsidRPr="00C20D37" w14:paraId="6A7D2B76" w14:textId="77777777" w:rsidTr="00E9250B">
        <w:trPr>
          <w:trHeight w:val="315"/>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7292330B" w14:textId="77777777" w:rsidR="0001256D" w:rsidRPr="00C20D37" w:rsidRDefault="0001256D" w:rsidP="00E9250B">
            <w:pPr>
              <w:jc w:val="center"/>
            </w:pPr>
            <w:r w:rsidRPr="00C20D37">
              <w:t>Eil. Nr.</w:t>
            </w:r>
          </w:p>
        </w:tc>
        <w:tc>
          <w:tcPr>
            <w:tcW w:w="2835" w:type="dxa"/>
            <w:tcBorders>
              <w:top w:val="single" w:sz="4" w:space="0" w:color="auto"/>
              <w:left w:val="nil"/>
              <w:bottom w:val="single" w:sz="4" w:space="0" w:color="auto"/>
              <w:right w:val="single" w:sz="4" w:space="0" w:color="auto"/>
            </w:tcBorders>
            <w:vAlign w:val="center"/>
            <w:hideMark/>
          </w:tcPr>
          <w:p w14:paraId="6DBD1C30" w14:textId="77777777" w:rsidR="0001256D" w:rsidRPr="00C20D37" w:rsidRDefault="0001256D" w:rsidP="00E9250B">
            <w:pPr>
              <w:jc w:val="center"/>
            </w:pPr>
            <w:r w:rsidRPr="00C20D37">
              <w:t>Rodiklis (pavadinimas, skaičiavimo būdas, mato vienetas)</w:t>
            </w:r>
          </w:p>
        </w:tc>
        <w:tc>
          <w:tcPr>
            <w:tcW w:w="1276" w:type="dxa"/>
            <w:tcBorders>
              <w:top w:val="single" w:sz="4" w:space="0" w:color="auto"/>
              <w:left w:val="nil"/>
              <w:bottom w:val="single" w:sz="4" w:space="0" w:color="auto"/>
              <w:right w:val="single" w:sz="4" w:space="0" w:color="auto"/>
            </w:tcBorders>
            <w:vAlign w:val="center"/>
            <w:hideMark/>
          </w:tcPr>
          <w:p w14:paraId="0AEF4C8F" w14:textId="77777777" w:rsidR="0001256D" w:rsidRPr="00C20D37" w:rsidRDefault="0001256D" w:rsidP="00E9250B">
            <w:pPr>
              <w:jc w:val="center"/>
            </w:pPr>
            <w:r w:rsidRPr="00C20D37">
              <w:t>202</w:t>
            </w:r>
            <w:r>
              <w:t>5</w:t>
            </w:r>
            <w:r w:rsidRPr="00C20D37">
              <w:t xml:space="preserve"> m. planuota rodiklio reikšmė</w:t>
            </w:r>
          </w:p>
        </w:tc>
        <w:tc>
          <w:tcPr>
            <w:tcW w:w="1418" w:type="dxa"/>
            <w:tcBorders>
              <w:top w:val="single" w:sz="4" w:space="0" w:color="auto"/>
              <w:left w:val="nil"/>
              <w:bottom w:val="single" w:sz="4" w:space="0" w:color="auto"/>
              <w:right w:val="single" w:sz="4" w:space="0" w:color="auto"/>
            </w:tcBorders>
            <w:vAlign w:val="center"/>
            <w:hideMark/>
          </w:tcPr>
          <w:p w14:paraId="1958CBD0" w14:textId="77777777" w:rsidR="0001256D" w:rsidRPr="00C20D37" w:rsidRDefault="0001256D" w:rsidP="00E9250B">
            <w:pPr>
              <w:jc w:val="center"/>
            </w:pPr>
            <w:r w:rsidRPr="00C20D37">
              <w:t>202</w:t>
            </w:r>
            <w:r>
              <w:t>5</w:t>
            </w:r>
            <w:r w:rsidRPr="00C20D37">
              <w:t xml:space="preserve"> m. pasiekta rodiklio reikšmė</w:t>
            </w:r>
          </w:p>
        </w:tc>
        <w:tc>
          <w:tcPr>
            <w:tcW w:w="3402" w:type="dxa"/>
            <w:tcBorders>
              <w:top w:val="single" w:sz="4" w:space="0" w:color="auto"/>
              <w:left w:val="nil"/>
              <w:bottom w:val="single" w:sz="4" w:space="0" w:color="auto"/>
              <w:right w:val="single" w:sz="4" w:space="0" w:color="auto"/>
            </w:tcBorders>
            <w:vAlign w:val="center"/>
            <w:hideMark/>
          </w:tcPr>
          <w:p w14:paraId="7E8FB76F" w14:textId="77777777" w:rsidR="0001256D" w:rsidRPr="00C20D37" w:rsidRDefault="0001256D" w:rsidP="00E9250B">
            <w:pPr>
              <w:jc w:val="center"/>
            </w:pPr>
            <w:r w:rsidRPr="00C20D37">
              <w:t>Informacija apie vykdymą</w:t>
            </w:r>
          </w:p>
        </w:tc>
      </w:tr>
      <w:tr w:rsidR="0001256D" w:rsidRPr="00C20D37" w14:paraId="1AC23668" w14:textId="77777777" w:rsidTr="00E9250B">
        <w:trPr>
          <w:trHeight w:val="420"/>
        </w:trPr>
        <w:tc>
          <w:tcPr>
            <w:tcW w:w="9493" w:type="dxa"/>
            <w:gridSpan w:val="5"/>
            <w:tcBorders>
              <w:top w:val="single" w:sz="4" w:space="0" w:color="auto"/>
              <w:left w:val="single" w:sz="4" w:space="0" w:color="auto"/>
              <w:bottom w:val="single" w:sz="4" w:space="0" w:color="auto"/>
              <w:right w:val="single" w:sz="4" w:space="0" w:color="auto"/>
            </w:tcBorders>
            <w:hideMark/>
          </w:tcPr>
          <w:p w14:paraId="5EF93DBC" w14:textId="77777777" w:rsidR="0001256D" w:rsidRPr="00C20D37" w:rsidRDefault="0001256D" w:rsidP="00E9250B">
            <w:r w:rsidRPr="00C20D37">
              <w:rPr>
                <w:b/>
                <w:bCs/>
              </w:rPr>
              <w:t>Nefinansinių lūkesčių vertinimo rodikliai:</w:t>
            </w:r>
            <w:r w:rsidRPr="00C20D37">
              <w:t> </w:t>
            </w:r>
          </w:p>
        </w:tc>
      </w:tr>
      <w:tr w:rsidR="0001256D" w:rsidRPr="00C20D37" w14:paraId="1321E1A6" w14:textId="77777777" w:rsidTr="00E9250B">
        <w:trPr>
          <w:trHeight w:val="1710"/>
        </w:trPr>
        <w:tc>
          <w:tcPr>
            <w:tcW w:w="562" w:type="dxa"/>
            <w:tcBorders>
              <w:top w:val="single" w:sz="4" w:space="0" w:color="auto"/>
              <w:left w:val="single" w:sz="4" w:space="0" w:color="auto"/>
              <w:bottom w:val="single" w:sz="4" w:space="0" w:color="auto"/>
              <w:right w:val="single" w:sz="4" w:space="0" w:color="auto"/>
            </w:tcBorders>
            <w:hideMark/>
          </w:tcPr>
          <w:p w14:paraId="27ADF6D8" w14:textId="4327A1B4" w:rsidR="0001256D" w:rsidRPr="00C20D37" w:rsidRDefault="0001256D" w:rsidP="00E9250B">
            <w:pPr>
              <w:jc w:val="center"/>
            </w:pPr>
            <w:r w:rsidRPr="00C20D37">
              <w:t>1</w:t>
            </w:r>
            <w:r w:rsidR="00D33EDB">
              <w:t>.</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57E385BF" w14:textId="77777777" w:rsidR="0001256D" w:rsidRPr="00C20D37" w:rsidRDefault="0001256D" w:rsidP="00E9250B">
            <w:r w:rsidRPr="00C20D37">
              <w:t>Išplėsta akreditacijos sritis, įtraukiant naujus bandymų metodus, naujus bandomuosius objektus, naujus bandomuosius komponentus, parametrus ar charakteristikas, vnt.</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E8EE2F4" w14:textId="77777777" w:rsidR="0001256D" w:rsidRPr="00C20D37" w:rsidRDefault="0001256D" w:rsidP="00E9250B">
            <w:pPr>
              <w:jc w:val="center"/>
            </w:pPr>
            <w:r>
              <w:t>2</w:t>
            </w:r>
          </w:p>
        </w:tc>
        <w:tc>
          <w:tcPr>
            <w:tcW w:w="1418" w:type="dxa"/>
            <w:tcBorders>
              <w:top w:val="single" w:sz="4" w:space="0" w:color="auto"/>
              <w:left w:val="single" w:sz="4" w:space="0" w:color="auto"/>
              <w:bottom w:val="single" w:sz="4" w:space="0" w:color="auto"/>
              <w:right w:val="single" w:sz="4" w:space="0" w:color="auto"/>
            </w:tcBorders>
          </w:tcPr>
          <w:p w14:paraId="5AA57A10" w14:textId="77777777" w:rsidR="0001256D" w:rsidRPr="00C20D37" w:rsidRDefault="0001256D" w:rsidP="00E9250B">
            <w:pPr>
              <w:jc w:val="center"/>
            </w:pPr>
            <w:r>
              <w:t>2</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1948A656" w14:textId="5A7AC114" w:rsidR="0001256D" w:rsidRPr="00C20D37" w:rsidRDefault="0001256D" w:rsidP="00E9250B">
            <w:r w:rsidRPr="00B70129">
              <w:t>Išplėstos akreditacijos sritys: asfalto sluoksnių atplėšimo jėgos bandymas; bituminių mišinių ir dangų bandymas švytuokliniu metodu</w:t>
            </w:r>
          </w:p>
        </w:tc>
      </w:tr>
      <w:tr w:rsidR="0001256D" w:rsidRPr="00C20D37" w14:paraId="7B0EE5CC" w14:textId="77777777" w:rsidTr="00E9250B">
        <w:trPr>
          <w:trHeight w:val="3195"/>
        </w:trPr>
        <w:tc>
          <w:tcPr>
            <w:tcW w:w="562" w:type="dxa"/>
            <w:tcBorders>
              <w:top w:val="single" w:sz="4" w:space="0" w:color="auto"/>
              <w:left w:val="single" w:sz="4" w:space="0" w:color="auto"/>
              <w:bottom w:val="single" w:sz="4" w:space="0" w:color="auto"/>
              <w:right w:val="single" w:sz="4" w:space="0" w:color="auto"/>
            </w:tcBorders>
            <w:hideMark/>
          </w:tcPr>
          <w:p w14:paraId="15DA5DD2" w14:textId="0A6C3C9B" w:rsidR="0001256D" w:rsidRPr="00C20D37" w:rsidRDefault="0001256D" w:rsidP="00E9250B">
            <w:pPr>
              <w:jc w:val="center"/>
            </w:pPr>
            <w:r w:rsidRPr="00C20D37">
              <w:t>2</w:t>
            </w:r>
            <w:r w:rsidR="00D33EDB">
              <w:t>.</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754E03D3" w14:textId="77777777" w:rsidR="0001256D" w:rsidRPr="00C20D37" w:rsidRDefault="0001256D" w:rsidP="00E9250B">
            <w:r w:rsidRPr="00C20D37">
              <w:t>Naujų ir (ar) išplėstų paslaugų skaičius, vnt.</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CF59AE1" w14:textId="77777777" w:rsidR="0001256D" w:rsidRPr="00C20D37" w:rsidRDefault="0001256D" w:rsidP="00E9250B">
            <w:pPr>
              <w:jc w:val="center"/>
            </w:pPr>
            <w:r>
              <w:t>1</w:t>
            </w:r>
          </w:p>
        </w:tc>
        <w:tc>
          <w:tcPr>
            <w:tcW w:w="1418" w:type="dxa"/>
            <w:tcBorders>
              <w:top w:val="single" w:sz="4" w:space="0" w:color="auto"/>
              <w:left w:val="single" w:sz="4" w:space="0" w:color="auto"/>
              <w:bottom w:val="single" w:sz="4" w:space="0" w:color="auto"/>
              <w:right w:val="single" w:sz="4" w:space="0" w:color="auto"/>
            </w:tcBorders>
          </w:tcPr>
          <w:p w14:paraId="054392DE" w14:textId="77777777" w:rsidR="0001256D" w:rsidRPr="00C20D37" w:rsidRDefault="0001256D" w:rsidP="00E9250B">
            <w:pPr>
              <w:jc w:val="center"/>
            </w:pPr>
            <w:r>
              <w:t>2</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C65FC0F" w14:textId="77777777" w:rsidR="0001256D" w:rsidRDefault="0001256D" w:rsidP="00E9250B">
            <w:r w:rsidRPr="00B70129">
              <w:t xml:space="preserve">Teikiamos naujos paslaugos pagal 2024 m. kovo 1 d. įsigaliojusias AB „Via Lietuva“ parengtas Automobilių kelių dangos konstrukcijos asfalto sluoksnių įrengimo taisykles ĮT Asfaltas 24: </w:t>
            </w:r>
          </w:p>
          <w:p w14:paraId="3F8381C6" w14:textId="77777777" w:rsidR="0001256D" w:rsidRDefault="0001256D" w:rsidP="00E9250B">
            <w:r w:rsidRPr="00B70129">
              <w:t xml:space="preserve">kelio dangos nelygumų IRI („International Roughness Index“ – Tarptautinis nelygumo indeksas) bandymas; </w:t>
            </w:r>
          </w:p>
          <w:p w14:paraId="331656DB" w14:textId="324E0A90" w:rsidR="0001256D" w:rsidRPr="00C20D37" w:rsidRDefault="0001256D" w:rsidP="00E9250B">
            <w:r w:rsidRPr="00B70129">
              <w:t>sukibimo su danga slydumo bandymas</w:t>
            </w:r>
          </w:p>
        </w:tc>
      </w:tr>
      <w:tr w:rsidR="0001256D" w:rsidRPr="00C20D37" w14:paraId="6AC0415B" w14:textId="77777777" w:rsidTr="00E9250B">
        <w:trPr>
          <w:trHeight w:val="390"/>
        </w:trPr>
        <w:tc>
          <w:tcPr>
            <w:tcW w:w="9493" w:type="dxa"/>
            <w:gridSpan w:val="5"/>
            <w:tcBorders>
              <w:top w:val="single" w:sz="4" w:space="0" w:color="auto"/>
              <w:left w:val="single" w:sz="4" w:space="0" w:color="auto"/>
              <w:bottom w:val="single" w:sz="4" w:space="0" w:color="auto"/>
              <w:right w:val="single" w:sz="4" w:space="0" w:color="auto"/>
            </w:tcBorders>
            <w:hideMark/>
          </w:tcPr>
          <w:p w14:paraId="0592C5F0" w14:textId="77777777" w:rsidR="0001256D" w:rsidRPr="00C20D37" w:rsidRDefault="0001256D" w:rsidP="00E9250B">
            <w:r w:rsidRPr="00C20D37">
              <w:rPr>
                <w:b/>
                <w:bCs/>
              </w:rPr>
              <w:t> Finansinių lūkesčių vertinimo rodikliai:</w:t>
            </w:r>
            <w:r w:rsidRPr="00C20D37">
              <w:t> </w:t>
            </w:r>
          </w:p>
        </w:tc>
      </w:tr>
      <w:tr w:rsidR="0001256D" w:rsidRPr="00C20D37" w14:paraId="4DDA57CA" w14:textId="77777777" w:rsidTr="00E9250B">
        <w:trPr>
          <w:trHeight w:val="930"/>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6C983099" w14:textId="5FFD254F" w:rsidR="0001256D" w:rsidRPr="00C20D37" w:rsidRDefault="00D33EDB" w:rsidP="00E9250B">
            <w:pPr>
              <w:jc w:val="center"/>
            </w:pPr>
            <w:r>
              <w:t>4.</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258D570B" w14:textId="77777777" w:rsidR="0001256D" w:rsidRPr="00C20D37" w:rsidRDefault="0001256D" w:rsidP="00E9250B">
            <w:r w:rsidRPr="00C20D37">
              <w:t>EBITDA marža, proc.</w:t>
            </w:r>
            <w:r w:rsidRPr="00C20D37">
              <w:br/>
            </w:r>
            <w:r w:rsidRPr="00C20D37">
              <w:rPr>
                <w:i/>
                <w:iCs/>
              </w:rPr>
              <w:t xml:space="preserve">(EBIT+Nusidėvėjimo ir amortizacijos sąnaudos)/ </w:t>
            </w:r>
            <w:r>
              <w:rPr>
                <w:i/>
                <w:iCs/>
              </w:rPr>
              <w:lastRenderedPageBreak/>
              <w:t>(</w:t>
            </w:r>
            <w:r w:rsidRPr="00C20D37">
              <w:rPr>
                <w:i/>
                <w:iCs/>
              </w:rPr>
              <w:t>pardavimo pajamos) x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A510568" w14:textId="77777777" w:rsidR="0001256D" w:rsidRPr="00C20D37" w:rsidRDefault="0001256D" w:rsidP="00E9250B">
            <w:pPr>
              <w:jc w:val="center"/>
            </w:pPr>
            <w:r>
              <w:lastRenderedPageBreak/>
              <w:t>31,50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1493A67" w14:textId="77777777" w:rsidR="0001256D" w:rsidRPr="00C20D37" w:rsidRDefault="0001256D" w:rsidP="00E9250B">
            <w:pPr>
              <w:jc w:val="center"/>
            </w:pPr>
            <w:r w:rsidRPr="00A613A2">
              <w:t>27,61</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152502C" w14:textId="76F7F82C" w:rsidR="0001256D" w:rsidRPr="00C20D37" w:rsidRDefault="0001256D" w:rsidP="00E9250B">
            <w:r w:rsidRPr="00A613A2">
              <w:t xml:space="preserve">Siektina reikšmė nepasiekta dėl: išaugusių ilgalaikio turto nusidėvėjimo sąnaudų (buvo </w:t>
            </w:r>
            <w:r w:rsidRPr="00A613A2">
              <w:lastRenderedPageBreak/>
              <w:t>įsigyta daug naujos įrangos), išaugusių paslaugų kainos (draudimo, remonto, kalibravimo, palyginamųjų bandymų, akreditacijos), padidėjusių darbo užmokesčio sąnaudų</w:t>
            </w:r>
          </w:p>
        </w:tc>
      </w:tr>
      <w:tr w:rsidR="0001256D" w:rsidRPr="00C20D37" w14:paraId="2730FB8A" w14:textId="77777777" w:rsidTr="00E9250B">
        <w:trPr>
          <w:trHeight w:val="103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C66B5E0" w14:textId="14EB27A4" w:rsidR="0001256D" w:rsidRPr="00C20D37" w:rsidRDefault="00D33EDB" w:rsidP="00E9250B">
            <w:pPr>
              <w:jc w:val="center"/>
            </w:pPr>
            <w:r>
              <w:lastRenderedPageBreak/>
              <w:t>5.</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17017414" w14:textId="77777777" w:rsidR="00D33EDB" w:rsidRDefault="0001256D" w:rsidP="00E9250B">
            <w:r w:rsidRPr="00C20D37">
              <w:t xml:space="preserve">Ilgalaikių skolų ir nuosavybės rodiklis, </w:t>
            </w:r>
          </w:p>
          <w:p w14:paraId="63F90C3A" w14:textId="77777777" w:rsidR="00D33EDB" w:rsidRDefault="0001256D" w:rsidP="00E9250B">
            <w:r w:rsidRPr="00C20D37">
              <w:t>koef.</w:t>
            </w:r>
            <w:r w:rsidR="00D33EDB">
              <w:t xml:space="preserve"> </w:t>
            </w:r>
          </w:p>
          <w:p w14:paraId="1B5C4159" w14:textId="31ECC973" w:rsidR="0001256D" w:rsidRDefault="0001256D" w:rsidP="00E9250B">
            <w:pPr>
              <w:rPr>
                <w:i/>
                <w:iCs/>
              </w:rPr>
            </w:pPr>
            <w:r w:rsidRPr="00C20D37">
              <w:rPr>
                <w:i/>
                <w:iCs/>
              </w:rPr>
              <w:t xml:space="preserve">(Po vienerių metų mokėtinos sumos ir kiti ilgalaikiai </w:t>
            </w:r>
            <w:r>
              <w:rPr>
                <w:i/>
                <w:iCs/>
              </w:rPr>
              <w:t>Į</w:t>
            </w:r>
            <w:r w:rsidRPr="00C20D37">
              <w:rPr>
                <w:i/>
                <w:iCs/>
              </w:rPr>
              <w:t>sipareigojimai)/</w:t>
            </w:r>
          </w:p>
          <w:p w14:paraId="3D43A72F" w14:textId="77777777" w:rsidR="0001256D" w:rsidRPr="00C20D37" w:rsidRDefault="0001256D" w:rsidP="00E9250B">
            <w:r w:rsidRPr="00C20D37">
              <w:rPr>
                <w:i/>
                <w:iCs/>
              </w:rPr>
              <w:t>(Nuosavas kapitalas)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7718439" w14:textId="77777777" w:rsidR="0001256D" w:rsidRPr="00C20D37" w:rsidRDefault="0001256D" w:rsidP="00E9250B">
            <w:pPr>
              <w:jc w:val="center"/>
            </w:pPr>
            <w:r w:rsidRPr="004924A2">
              <w:t>&lt; 0,5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8EA69DC" w14:textId="77777777" w:rsidR="0001256D" w:rsidRPr="00C20D37" w:rsidRDefault="0001256D" w:rsidP="00E9250B">
            <w:pPr>
              <w:jc w:val="center"/>
            </w:pPr>
            <w:r>
              <w:t>0</w:t>
            </w:r>
          </w:p>
        </w:tc>
        <w:tc>
          <w:tcPr>
            <w:tcW w:w="3402" w:type="dxa"/>
            <w:tcBorders>
              <w:top w:val="single" w:sz="4" w:space="0" w:color="auto"/>
              <w:left w:val="single" w:sz="4" w:space="0" w:color="auto"/>
              <w:bottom w:val="single" w:sz="4" w:space="0" w:color="auto"/>
              <w:right w:val="single" w:sz="4" w:space="0" w:color="auto"/>
            </w:tcBorders>
            <w:noWrap/>
          </w:tcPr>
          <w:p w14:paraId="23EBC6A9" w14:textId="77777777" w:rsidR="0001256D" w:rsidRPr="00C20D37" w:rsidRDefault="0001256D" w:rsidP="00E9250B"/>
        </w:tc>
      </w:tr>
      <w:tr w:rsidR="0001256D" w:rsidRPr="00C20D37" w14:paraId="7CA1EFC4" w14:textId="77777777" w:rsidTr="00E9250B">
        <w:trPr>
          <w:trHeight w:val="142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1D2EB52D" w14:textId="299DEDA0" w:rsidR="0001256D" w:rsidRPr="00C20D37" w:rsidRDefault="00D33EDB" w:rsidP="00E9250B">
            <w:pPr>
              <w:jc w:val="center"/>
            </w:pPr>
            <w:r>
              <w:t>6.</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3F599410" w14:textId="77777777" w:rsidR="00D33EDB" w:rsidRDefault="0001256D" w:rsidP="00E9250B">
            <w:r w:rsidRPr="00C20D37">
              <w:t>Nuosavo kapitalo grąža, siekiant užtikrinti dividendų akcininkams mokėjimą, proc.</w:t>
            </w:r>
            <w:r w:rsidR="00D33EDB">
              <w:t xml:space="preserve"> </w:t>
            </w:r>
          </w:p>
          <w:p w14:paraId="23E9433C" w14:textId="76E5928D" w:rsidR="0001256D" w:rsidRPr="00C20D37" w:rsidRDefault="0001256D" w:rsidP="00E9250B">
            <w:r w:rsidRPr="00C20D37">
              <w:rPr>
                <w:i/>
                <w:iCs/>
              </w:rPr>
              <w:t>(Grynasis pelnas (nuostoliai))/(Nuosavo kapitalo laikotarpio pradžioje ir pabaigoje vidurkis) ×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6C51E00" w14:textId="77777777" w:rsidR="0001256D" w:rsidRPr="00C20D37" w:rsidRDefault="0001256D" w:rsidP="00E9250B">
            <w:pPr>
              <w:jc w:val="center"/>
            </w:pPr>
            <w:r w:rsidRPr="004924A2">
              <w:t>&gt; 30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31CD19A" w14:textId="77777777" w:rsidR="0001256D" w:rsidRPr="00C20D37" w:rsidRDefault="0001256D" w:rsidP="00E9250B">
            <w:pPr>
              <w:jc w:val="center"/>
            </w:pPr>
            <w:r w:rsidRPr="00A613A2">
              <w:t>29,94</w:t>
            </w:r>
          </w:p>
        </w:tc>
        <w:tc>
          <w:tcPr>
            <w:tcW w:w="3402" w:type="dxa"/>
            <w:tcBorders>
              <w:top w:val="single" w:sz="4" w:space="0" w:color="auto"/>
              <w:left w:val="single" w:sz="4" w:space="0" w:color="auto"/>
              <w:bottom w:val="single" w:sz="4" w:space="0" w:color="auto"/>
              <w:right w:val="single" w:sz="4" w:space="0" w:color="auto"/>
            </w:tcBorders>
            <w:noWrap/>
          </w:tcPr>
          <w:p w14:paraId="53A1AE20" w14:textId="21F8A33A" w:rsidR="0001256D" w:rsidRPr="00C20D37" w:rsidRDefault="0001256D" w:rsidP="00E9250B">
            <w:r w:rsidRPr="00A613A2">
              <w:t>Siektina reikšmė nepasiekta dėl: išaugusių ilgalaikio turto nusidėvėjimo sąnaudų (buvo įsigyta daug naujos įrangos), išaugusių paslaugų kainos (draudimo, remonto, kalibravimo, palyginamųjų bandymų, akreditacijos), padidėjusių darbo užmokesčio sąnaudų</w:t>
            </w:r>
          </w:p>
        </w:tc>
      </w:tr>
      <w:tr w:rsidR="0001256D" w:rsidRPr="00C20D37" w14:paraId="185C5FCF" w14:textId="77777777" w:rsidTr="00E9250B">
        <w:trPr>
          <w:trHeight w:val="810"/>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6B7832DA" w14:textId="41BE1121" w:rsidR="0001256D" w:rsidRPr="00C20D37" w:rsidRDefault="00D33EDB" w:rsidP="00E9250B">
            <w:pPr>
              <w:jc w:val="center"/>
            </w:pPr>
            <w:r>
              <w:t>7.</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5CEC9FD7" w14:textId="77777777" w:rsidR="00D33EDB" w:rsidRDefault="0001256D" w:rsidP="00E9250B">
            <w:r w:rsidRPr="00C20D37">
              <w:t>Pardavimų savikainos lygis, proc.</w:t>
            </w:r>
          </w:p>
          <w:p w14:paraId="7D43D0C0" w14:textId="22E24137" w:rsidR="0001256D" w:rsidRDefault="00D33EDB" w:rsidP="00E9250B">
            <w:pPr>
              <w:rPr>
                <w:i/>
                <w:iCs/>
              </w:rPr>
            </w:pPr>
            <w:r>
              <w:t xml:space="preserve"> </w:t>
            </w:r>
            <w:r w:rsidR="0001256D" w:rsidRPr="00C20D37">
              <w:rPr>
                <w:i/>
                <w:iCs/>
              </w:rPr>
              <w:t>(Pardavimo savikaina)/</w:t>
            </w:r>
            <w:r>
              <w:rPr>
                <w:i/>
                <w:iCs/>
              </w:rPr>
              <w:t xml:space="preserve"> </w:t>
            </w:r>
          </w:p>
          <w:p w14:paraId="2DAC43D2" w14:textId="77777777" w:rsidR="0001256D" w:rsidRPr="00C20D37" w:rsidRDefault="0001256D" w:rsidP="00E9250B">
            <w:r w:rsidRPr="00C20D37">
              <w:rPr>
                <w:i/>
                <w:iCs/>
              </w:rPr>
              <w:t>(Pardavimo pajamos) x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4B2A2AF" w14:textId="77777777" w:rsidR="0001256D" w:rsidRPr="00C20D37" w:rsidRDefault="0001256D" w:rsidP="00E9250B">
            <w:pPr>
              <w:jc w:val="center"/>
            </w:pPr>
            <w:r w:rsidRPr="004924A2">
              <w:t>&lt; 65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417F3C9" w14:textId="77777777" w:rsidR="0001256D" w:rsidRPr="00C20D37" w:rsidRDefault="0001256D" w:rsidP="00E9250B">
            <w:pPr>
              <w:jc w:val="center"/>
            </w:pPr>
            <w:r w:rsidRPr="00A613A2">
              <w:t>69,39</w:t>
            </w:r>
          </w:p>
        </w:tc>
        <w:tc>
          <w:tcPr>
            <w:tcW w:w="3402" w:type="dxa"/>
            <w:tcBorders>
              <w:top w:val="single" w:sz="4" w:space="0" w:color="auto"/>
              <w:left w:val="single" w:sz="4" w:space="0" w:color="auto"/>
              <w:bottom w:val="single" w:sz="4" w:space="0" w:color="auto"/>
              <w:right w:val="single" w:sz="4" w:space="0" w:color="auto"/>
            </w:tcBorders>
          </w:tcPr>
          <w:p w14:paraId="75F0222F" w14:textId="5A9AA9A2" w:rsidR="0001256D" w:rsidRPr="00C20D37" w:rsidRDefault="0001256D" w:rsidP="00E9250B">
            <w:r w:rsidRPr="00A613A2">
              <w:t>Rodikliui įtakos turėjo sąnaudų didėjimas: darbo užmokesčio, įrengimų remonto, transporto remonto, draudimo</w:t>
            </w:r>
          </w:p>
        </w:tc>
      </w:tr>
      <w:tr w:rsidR="0001256D" w:rsidRPr="00C20D37" w14:paraId="6DF69626" w14:textId="77777777" w:rsidTr="00E9250B">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AD4500F" w14:textId="4DF9EFD4" w:rsidR="0001256D" w:rsidRPr="00C20D37" w:rsidRDefault="00D33EDB" w:rsidP="00E9250B">
            <w:pPr>
              <w:jc w:val="center"/>
            </w:pPr>
            <w:r>
              <w:t>8.</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2E100A58" w14:textId="08943529" w:rsidR="0001256D" w:rsidRDefault="0001256D" w:rsidP="00E9250B">
            <w:r w:rsidRPr="00C20D37">
              <w:t>Grynasis pelningumas, proc.</w:t>
            </w:r>
            <w:r w:rsidR="00D33EDB">
              <w:t xml:space="preserve"> </w:t>
            </w:r>
            <w:r w:rsidRPr="00C20D37">
              <w:rPr>
                <w:i/>
                <w:iCs/>
              </w:rPr>
              <w:t>(Grynasis pelnas )</w:t>
            </w:r>
            <w:r w:rsidRPr="00C20D37">
              <w:t>/</w:t>
            </w:r>
          </w:p>
          <w:p w14:paraId="3869A2F8" w14:textId="77777777" w:rsidR="0001256D" w:rsidRPr="00C20D37" w:rsidRDefault="0001256D" w:rsidP="00E9250B">
            <w:r w:rsidRPr="00C20D37">
              <w:t>(Pardavimo pajamos) x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79DC522" w14:textId="77777777" w:rsidR="0001256D" w:rsidRPr="00C20D37" w:rsidRDefault="0001256D" w:rsidP="00E9250B">
            <w:pPr>
              <w:jc w:val="center"/>
            </w:pPr>
            <w:r w:rsidRPr="004924A2">
              <w:t>&gt; 12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AA0764E" w14:textId="77777777" w:rsidR="0001256D" w:rsidRPr="00C20D37" w:rsidRDefault="0001256D" w:rsidP="00E9250B">
            <w:pPr>
              <w:jc w:val="center"/>
            </w:pPr>
            <w:r w:rsidRPr="00A613A2">
              <w:t>19,64</w:t>
            </w:r>
          </w:p>
        </w:tc>
        <w:tc>
          <w:tcPr>
            <w:tcW w:w="3402" w:type="dxa"/>
            <w:tcBorders>
              <w:top w:val="single" w:sz="4" w:space="0" w:color="auto"/>
              <w:left w:val="single" w:sz="4" w:space="0" w:color="auto"/>
              <w:bottom w:val="single" w:sz="4" w:space="0" w:color="auto"/>
              <w:right w:val="single" w:sz="4" w:space="0" w:color="auto"/>
            </w:tcBorders>
            <w:noWrap/>
          </w:tcPr>
          <w:p w14:paraId="48E756B7" w14:textId="77777777" w:rsidR="0001256D" w:rsidRPr="00C20D37" w:rsidRDefault="0001256D" w:rsidP="00E9250B"/>
        </w:tc>
      </w:tr>
      <w:tr w:rsidR="0001256D" w:rsidRPr="00C20D37" w14:paraId="059119D6" w14:textId="77777777" w:rsidTr="00E9250B">
        <w:trPr>
          <w:trHeight w:val="106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7EB30AF" w14:textId="1E88EE0A" w:rsidR="0001256D" w:rsidRPr="00C20D37" w:rsidRDefault="00D33EDB" w:rsidP="00E9250B">
            <w:pPr>
              <w:jc w:val="center"/>
            </w:pPr>
            <w:r>
              <w:t>9.</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65BCF175" w14:textId="77777777" w:rsidR="00D33EDB" w:rsidRDefault="0001256D" w:rsidP="00E9250B">
            <w:r w:rsidRPr="00C20D37">
              <w:t>Veiklos sąnaudų lygis, proc.</w:t>
            </w:r>
            <w:r w:rsidR="00D33EDB">
              <w:t xml:space="preserve"> </w:t>
            </w:r>
          </w:p>
          <w:p w14:paraId="04B76D3D" w14:textId="78A16C88" w:rsidR="0001256D" w:rsidRDefault="0001256D" w:rsidP="00E9250B">
            <w:pPr>
              <w:rPr>
                <w:i/>
                <w:iCs/>
              </w:rPr>
            </w:pPr>
            <w:r w:rsidRPr="00C20D37">
              <w:rPr>
                <w:i/>
                <w:iCs/>
              </w:rPr>
              <w:t>(Veiklos sąnaudos (Pardavimo sąn</w:t>
            </w:r>
            <w:r>
              <w:rPr>
                <w:i/>
                <w:iCs/>
              </w:rPr>
              <w:t xml:space="preserve">audos </w:t>
            </w:r>
            <w:r w:rsidRPr="00C20D37">
              <w:rPr>
                <w:i/>
                <w:iCs/>
              </w:rPr>
              <w:t>+</w:t>
            </w:r>
          </w:p>
          <w:p w14:paraId="0BE67177" w14:textId="77777777" w:rsidR="0001256D" w:rsidRPr="00C20D37" w:rsidRDefault="0001256D" w:rsidP="00E9250B">
            <w:r w:rsidRPr="00C20D37">
              <w:rPr>
                <w:i/>
                <w:iCs/>
              </w:rPr>
              <w:t xml:space="preserve">Bendrosios ir </w:t>
            </w:r>
            <w:r>
              <w:rPr>
                <w:i/>
                <w:iCs/>
              </w:rPr>
              <w:t>a</w:t>
            </w:r>
            <w:r w:rsidRPr="00C20D37">
              <w:rPr>
                <w:i/>
                <w:iCs/>
              </w:rPr>
              <w:t>dministracinės sąn</w:t>
            </w:r>
            <w:r>
              <w:rPr>
                <w:i/>
                <w:iCs/>
              </w:rPr>
              <w:t>audos</w:t>
            </w:r>
            <w:r w:rsidRPr="00C20D37">
              <w:rPr>
                <w:i/>
                <w:iCs/>
              </w:rPr>
              <w:t>))/(Pardavimo pajamos)</w:t>
            </w:r>
            <w:r>
              <w:rPr>
                <w:i/>
                <w:iCs/>
              </w:rPr>
              <w:t xml:space="preserve"> </w:t>
            </w:r>
            <w:r w:rsidRPr="009415BD">
              <w:rPr>
                <w:i/>
                <w:iCs/>
              </w:rPr>
              <w:t>x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29B8D77" w14:textId="77777777" w:rsidR="0001256D" w:rsidRPr="00C20D37" w:rsidRDefault="0001256D" w:rsidP="00E9250B">
            <w:pPr>
              <w:jc w:val="center"/>
            </w:pPr>
            <w:r w:rsidRPr="004924A2">
              <w:t>&lt; 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48EE0A7" w14:textId="77777777" w:rsidR="0001256D" w:rsidRPr="00C20D37" w:rsidRDefault="0001256D" w:rsidP="00E9250B">
            <w:pPr>
              <w:jc w:val="center"/>
            </w:pPr>
            <w:r w:rsidRPr="00A613A2">
              <w:t>9,99</w:t>
            </w:r>
          </w:p>
        </w:tc>
        <w:tc>
          <w:tcPr>
            <w:tcW w:w="3402" w:type="dxa"/>
            <w:tcBorders>
              <w:top w:val="single" w:sz="4" w:space="0" w:color="auto"/>
              <w:left w:val="single" w:sz="4" w:space="0" w:color="auto"/>
              <w:bottom w:val="single" w:sz="4" w:space="0" w:color="auto"/>
              <w:right w:val="single" w:sz="4" w:space="0" w:color="auto"/>
            </w:tcBorders>
          </w:tcPr>
          <w:p w14:paraId="384D3904" w14:textId="77777777" w:rsidR="0001256D" w:rsidRPr="00C20D37" w:rsidRDefault="0001256D" w:rsidP="00E9250B">
            <w:r w:rsidRPr="00A613A2">
              <w:t>Rodikliui įtakos turėjo ilgalaikio turto nusidėvėjimo sąnaudų didėjimas  (visas nusidėvėjimas įeina į veiklos sąnaudas)</w:t>
            </w:r>
          </w:p>
        </w:tc>
      </w:tr>
    </w:tbl>
    <w:p w14:paraId="2A98CFE1" w14:textId="1DDF3B04" w:rsidR="0001256D" w:rsidRDefault="0001256D" w:rsidP="0001256D"/>
    <w:p w14:paraId="17E7C526" w14:textId="5803DB38" w:rsidR="00D33EDB" w:rsidRDefault="00D33EDB" w:rsidP="0001256D"/>
    <w:p w14:paraId="26FDD43A" w14:textId="3EA2137F" w:rsidR="00D33EDB" w:rsidRDefault="00D33EDB" w:rsidP="0001256D"/>
    <w:p w14:paraId="6AD2CCB8" w14:textId="77777777" w:rsidR="00D33EDB" w:rsidRPr="00C20D37" w:rsidRDefault="00D33EDB" w:rsidP="0001256D"/>
    <w:p w14:paraId="436BB9DD" w14:textId="4B656EF8" w:rsidR="0001256D" w:rsidRPr="00C20D37" w:rsidRDefault="0001256D" w:rsidP="0001256D">
      <w:pPr>
        <w:jc w:val="center"/>
        <w:rPr>
          <w:b/>
          <w:bCs/>
        </w:rPr>
      </w:pPr>
      <w:r w:rsidRPr="00C20D37">
        <w:rPr>
          <w:b/>
          <w:bCs/>
        </w:rPr>
        <w:lastRenderedPageBreak/>
        <w:t>UAB „Kauno planas“ 202</w:t>
      </w:r>
      <w:r>
        <w:rPr>
          <w:b/>
          <w:bCs/>
        </w:rPr>
        <w:t>5</w:t>
      </w:r>
      <w:r w:rsidRPr="00C20D37">
        <w:rPr>
          <w:b/>
          <w:bCs/>
        </w:rPr>
        <w:t xml:space="preserve"> metų finansinių ir nefinansinių lūkesčių vertinimo rodiklių vertinimas</w:t>
      </w:r>
      <w:r w:rsidR="00D33EDB">
        <w:rPr>
          <w:b/>
          <w:bCs/>
        </w:rPr>
        <w:t xml:space="preserve"> </w:t>
      </w:r>
    </w:p>
    <w:p w14:paraId="16C625EF" w14:textId="77777777" w:rsidR="0001256D" w:rsidRPr="00C20D37" w:rsidRDefault="0001256D" w:rsidP="0001256D"/>
    <w:tbl>
      <w:tblPr>
        <w:tblW w:w="9493" w:type="dxa"/>
        <w:tblLook w:val="04A0" w:firstRow="1" w:lastRow="0" w:firstColumn="1" w:lastColumn="0" w:noHBand="0" w:noVBand="1"/>
      </w:tblPr>
      <w:tblGrid>
        <w:gridCol w:w="546"/>
        <w:gridCol w:w="2851"/>
        <w:gridCol w:w="1276"/>
        <w:gridCol w:w="1418"/>
        <w:gridCol w:w="3402"/>
      </w:tblGrid>
      <w:tr w:rsidR="0001256D" w:rsidRPr="00C20D37" w14:paraId="33AF618B" w14:textId="77777777" w:rsidTr="00E9250B">
        <w:trPr>
          <w:trHeight w:val="315"/>
          <w:tblHeader/>
        </w:trPr>
        <w:tc>
          <w:tcPr>
            <w:tcW w:w="546" w:type="dxa"/>
            <w:tcBorders>
              <w:top w:val="single" w:sz="4" w:space="0" w:color="auto"/>
              <w:left w:val="single" w:sz="4" w:space="0" w:color="auto"/>
              <w:bottom w:val="single" w:sz="4" w:space="0" w:color="auto"/>
              <w:right w:val="single" w:sz="4" w:space="0" w:color="auto"/>
            </w:tcBorders>
            <w:vAlign w:val="center"/>
            <w:hideMark/>
          </w:tcPr>
          <w:p w14:paraId="4AAA02B6" w14:textId="77777777" w:rsidR="0001256D" w:rsidRPr="00C20D37" w:rsidRDefault="0001256D" w:rsidP="00E9250B">
            <w:pPr>
              <w:jc w:val="center"/>
            </w:pPr>
            <w:r w:rsidRPr="00C20D37">
              <w:t>Eil. Nr.</w:t>
            </w:r>
          </w:p>
        </w:tc>
        <w:tc>
          <w:tcPr>
            <w:tcW w:w="2851" w:type="dxa"/>
            <w:tcBorders>
              <w:top w:val="single" w:sz="4" w:space="0" w:color="auto"/>
              <w:left w:val="nil"/>
              <w:bottom w:val="single" w:sz="4" w:space="0" w:color="auto"/>
              <w:right w:val="single" w:sz="4" w:space="0" w:color="auto"/>
            </w:tcBorders>
            <w:vAlign w:val="center"/>
            <w:hideMark/>
          </w:tcPr>
          <w:p w14:paraId="7736E57E" w14:textId="77777777" w:rsidR="0001256D" w:rsidRPr="00C20D37" w:rsidRDefault="0001256D" w:rsidP="00E9250B">
            <w:pPr>
              <w:jc w:val="center"/>
            </w:pPr>
            <w:r w:rsidRPr="00C20D37">
              <w:t>Rodiklis (pavadinimas, skaičiavimo būdas, mato vienetas)</w:t>
            </w:r>
          </w:p>
        </w:tc>
        <w:tc>
          <w:tcPr>
            <w:tcW w:w="1276" w:type="dxa"/>
            <w:tcBorders>
              <w:top w:val="single" w:sz="4" w:space="0" w:color="auto"/>
              <w:left w:val="nil"/>
              <w:bottom w:val="single" w:sz="4" w:space="0" w:color="auto"/>
              <w:right w:val="single" w:sz="4" w:space="0" w:color="auto"/>
            </w:tcBorders>
            <w:vAlign w:val="center"/>
            <w:hideMark/>
          </w:tcPr>
          <w:p w14:paraId="100F09C3" w14:textId="77777777" w:rsidR="0001256D" w:rsidRPr="00C20D37" w:rsidRDefault="0001256D" w:rsidP="00E9250B">
            <w:pPr>
              <w:jc w:val="center"/>
            </w:pPr>
            <w:r w:rsidRPr="00C20D37">
              <w:t>202</w:t>
            </w:r>
            <w:r>
              <w:t>5</w:t>
            </w:r>
            <w:r w:rsidRPr="00C20D37">
              <w:t xml:space="preserve"> m. planuota rodiklio reikšmė</w:t>
            </w:r>
          </w:p>
        </w:tc>
        <w:tc>
          <w:tcPr>
            <w:tcW w:w="1418" w:type="dxa"/>
            <w:tcBorders>
              <w:top w:val="single" w:sz="4" w:space="0" w:color="auto"/>
              <w:left w:val="nil"/>
              <w:bottom w:val="single" w:sz="4" w:space="0" w:color="auto"/>
              <w:right w:val="single" w:sz="4" w:space="0" w:color="auto"/>
            </w:tcBorders>
            <w:vAlign w:val="center"/>
            <w:hideMark/>
          </w:tcPr>
          <w:p w14:paraId="2BF64267" w14:textId="77777777" w:rsidR="0001256D" w:rsidRPr="00C20D37" w:rsidRDefault="0001256D" w:rsidP="00E9250B">
            <w:pPr>
              <w:jc w:val="center"/>
            </w:pPr>
            <w:r w:rsidRPr="00C20D37">
              <w:t>202</w:t>
            </w:r>
            <w:r>
              <w:t>5</w:t>
            </w:r>
            <w:r w:rsidRPr="00C20D37">
              <w:t xml:space="preserve"> m. pasiekta rodiklio reikšmė</w:t>
            </w:r>
          </w:p>
        </w:tc>
        <w:tc>
          <w:tcPr>
            <w:tcW w:w="3402" w:type="dxa"/>
            <w:tcBorders>
              <w:top w:val="single" w:sz="4" w:space="0" w:color="auto"/>
              <w:left w:val="nil"/>
              <w:bottom w:val="single" w:sz="4" w:space="0" w:color="auto"/>
              <w:right w:val="single" w:sz="4" w:space="0" w:color="auto"/>
            </w:tcBorders>
            <w:vAlign w:val="center"/>
            <w:hideMark/>
          </w:tcPr>
          <w:p w14:paraId="215E249D" w14:textId="77777777" w:rsidR="0001256D" w:rsidRPr="00C20D37" w:rsidRDefault="0001256D" w:rsidP="00E9250B">
            <w:pPr>
              <w:jc w:val="center"/>
            </w:pPr>
            <w:r w:rsidRPr="00C20D37">
              <w:t>Informacija apie vykdymą</w:t>
            </w:r>
          </w:p>
        </w:tc>
      </w:tr>
      <w:tr w:rsidR="0001256D" w:rsidRPr="00C20D37" w14:paraId="6409F8F5" w14:textId="77777777" w:rsidTr="00E9250B">
        <w:trPr>
          <w:trHeight w:val="465"/>
        </w:trPr>
        <w:tc>
          <w:tcPr>
            <w:tcW w:w="9493" w:type="dxa"/>
            <w:gridSpan w:val="5"/>
            <w:tcBorders>
              <w:top w:val="single" w:sz="4" w:space="0" w:color="auto"/>
              <w:left w:val="single" w:sz="4" w:space="0" w:color="auto"/>
              <w:bottom w:val="single" w:sz="4" w:space="0" w:color="auto"/>
              <w:right w:val="single" w:sz="4" w:space="0" w:color="auto"/>
            </w:tcBorders>
            <w:hideMark/>
          </w:tcPr>
          <w:p w14:paraId="6A3DE869" w14:textId="77777777" w:rsidR="0001256D" w:rsidRPr="00C20D37" w:rsidRDefault="0001256D" w:rsidP="00E9250B">
            <w:r w:rsidRPr="00C20D37">
              <w:rPr>
                <w:b/>
                <w:bCs/>
              </w:rPr>
              <w:t>Nefinansinių lūkesčių vertinimo rodikliai:</w:t>
            </w:r>
          </w:p>
        </w:tc>
      </w:tr>
      <w:tr w:rsidR="0001256D" w:rsidRPr="00C20D37" w14:paraId="08EF0AA3" w14:textId="77777777" w:rsidTr="00E9250B">
        <w:trPr>
          <w:trHeight w:val="885"/>
        </w:trPr>
        <w:tc>
          <w:tcPr>
            <w:tcW w:w="546" w:type="dxa"/>
            <w:tcBorders>
              <w:top w:val="single" w:sz="4" w:space="0" w:color="auto"/>
              <w:left w:val="single" w:sz="4" w:space="0" w:color="auto"/>
              <w:bottom w:val="single" w:sz="4" w:space="0" w:color="auto"/>
              <w:right w:val="single" w:sz="4" w:space="0" w:color="auto"/>
            </w:tcBorders>
            <w:hideMark/>
          </w:tcPr>
          <w:p w14:paraId="6DA0AFA9" w14:textId="7FC177B1" w:rsidR="0001256D" w:rsidRPr="00C20D37" w:rsidRDefault="0001256D" w:rsidP="00E9250B">
            <w:pPr>
              <w:jc w:val="center"/>
            </w:pPr>
            <w:r w:rsidRPr="00C20D37">
              <w:t>1</w:t>
            </w:r>
            <w:r w:rsidR="0059460C">
              <w:t>.</w:t>
            </w:r>
          </w:p>
        </w:tc>
        <w:tc>
          <w:tcPr>
            <w:tcW w:w="2851" w:type="dxa"/>
            <w:tcBorders>
              <w:top w:val="single" w:sz="4" w:space="0" w:color="auto"/>
              <w:left w:val="single" w:sz="4" w:space="0" w:color="auto"/>
              <w:bottom w:val="single" w:sz="4" w:space="0" w:color="auto"/>
              <w:right w:val="single" w:sz="4" w:space="0" w:color="auto"/>
            </w:tcBorders>
            <w:hideMark/>
          </w:tcPr>
          <w:p w14:paraId="487FCC5F" w14:textId="77777777" w:rsidR="0001256D" w:rsidRPr="009C50EF" w:rsidRDefault="0001256D" w:rsidP="00E9250B">
            <w:r w:rsidRPr="009C50EF">
              <w:t xml:space="preserve">Per metus naujai sukurtų (atnaujintų) </w:t>
            </w:r>
          </w:p>
          <w:p w14:paraId="69D03A97" w14:textId="77777777" w:rsidR="0001256D" w:rsidRPr="00C20D37" w:rsidRDefault="0001256D" w:rsidP="00E9250B">
            <w:r w:rsidRPr="009C50EF">
              <w:t>GIS aplikacijų, skirtų su geolokacija susijusiems miesto priežiūros ir planavimo darbams efektyvinti, skaičius, vnt.</w:t>
            </w:r>
          </w:p>
        </w:tc>
        <w:tc>
          <w:tcPr>
            <w:tcW w:w="1276" w:type="dxa"/>
            <w:tcBorders>
              <w:top w:val="single" w:sz="4" w:space="0" w:color="auto"/>
              <w:left w:val="single" w:sz="4" w:space="0" w:color="auto"/>
              <w:bottom w:val="single" w:sz="4" w:space="0" w:color="auto"/>
              <w:right w:val="single" w:sz="4" w:space="0" w:color="auto"/>
            </w:tcBorders>
          </w:tcPr>
          <w:p w14:paraId="7464AA23" w14:textId="77777777" w:rsidR="0001256D" w:rsidRPr="00C20D37" w:rsidRDefault="0001256D" w:rsidP="00E9250B">
            <w:pPr>
              <w:jc w:val="center"/>
            </w:pPr>
            <w:r>
              <w:t>4</w:t>
            </w:r>
          </w:p>
        </w:tc>
        <w:tc>
          <w:tcPr>
            <w:tcW w:w="1418" w:type="dxa"/>
            <w:tcBorders>
              <w:top w:val="single" w:sz="4" w:space="0" w:color="auto"/>
              <w:left w:val="single" w:sz="4" w:space="0" w:color="auto"/>
              <w:bottom w:val="single" w:sz="4" w:space="0" w:color="auto"/>
              <w:right w:val="single" w:sz="4" w:space="0" w:color="auto"/>
            </w:tcBorders>
          </w:tcPr>
          <w:p w14:paraId="54E00783" w14:textId="77777777" w:rsidR="0001256D" w:rsidRPr="00C20D37" w:rsidRDefault="0001256D" w:rsidP="00E9250B">
            <w:pPr>
              <w:jc w:val="center"/>
            </w:pPr>
            <w:r>
              <w:t>16</w:t>
            </w:r>
          </w:p>
        </w:tc>
        <w:tc>
          <w:tcPr>
            <w:tcW w:w="3402" w:type="dxa"/>
            <w:tcBorders>
              <w:top w:val="single" w:sz="4" w:space="0" w:color="auto"/>
              <w:left w:val="single" w:sz="4" w:space="0" w:color="auto"/>
              <w:bottom w:val="single" w:sz="4" w:space="0" w:color="auto"/>
              <w:right w:val="single" w:sz="4" w:space="0" w:color="auto"/>
            </w:tcBorders>
            <w:noWrap/>
            <w:hideMark/>
          </w:tcPr>
          <w:p w14:paraId="05F54947" w14:textId="77777777" w:rsidR="00D33EDB" w:rsidRDefault="0001256D" w:rsidP="00E9250B">
            <w:r w:rsidRPr="00466CA1">
              <w:t xml:space="preserve">Naujai sukurtos (atnaujintos) GIS aplikacijos : Strateginio plano stebėsenos rodiklių aplikacija (SPP rodikliai); digital.kaunas.lt portalo sukūrimas ir vartotojų integravimas su KMSA sistema; KMSA teminių žemėlapių </w:t>
            </w:r>
          </w:p>
          <w:p w14:paraId="14CB4CA8" w14:textId="77777777" w:rsidR="00D33EDB" w:rsidRDefault="0001256D" w:rsidP="00E9250B">
            <w:r w:rsidRPr="00466CA1">
              <w:t xml:space="preserve">GIS aplikacija; Šienavimo </w:t>
            </w:r>
          </w:p>
          <w:p w14:paraId="3C493B4E" w14:textId="77777777" w:rsidR="00D33EDB" w:rsidRDefault="0001256D" w:rsidP="00E9250B">
            <w:r w:rsidRPr="00466CA1">
              <w:t xml:space="preserve">GIS aplikacijos perdarymas digital.kaunas.lt portalui; Gatvių tvarkymo priežiūros GIS aplikacijos sukūrimas; "Urbanistų formos" aplikacijos parengimas; Konteinerių aikštelių GIS aplikacija; Aplinkos kokybės GIS aplikacija (oro taršos davikliai, triukšmo žemėlapis); Paveldosaugos objektų GIS aplikacija; Statinių priežiūros kontrolės sistema, </w:t>
            </w:r>
          </w:p>
          <w:p w14:paraId="6B3C29D1" w14:textId="77777777" w:rsidR="00D33EDB" w:rsidRDefault="0001256D" w:rsidP="00E9250B">
            <w:r w:rsidRPr="00466CA1">
              <w:t xml:space="preserve">GIS aplikacija; Miesto tvarkymo redagavimo GIS aplikacija; Kapinių priežiūros GIS aplikacijos perdarymas; Formuojamų sklypų GIS aplikacija; Kauno m. BP rengimo GIS aplikacija; GKTR aplikacijos migracija, atnaujinimas ir integracija į teminius žemėlapius; Atvirų GIS </w:t>
            </w:r>
          </w:p>
          <w:p w14:paraId="318CFDBD" w14:textId="79130F3A" w:rsidR="0001256D" w:rsidRPr="00C20D37" w:rsidRDefault="0001256D" w:rsidP="00E9250B">
            <w:r w:rsidRPr="00466CA1">
              <w:t>duomenų portalas</w:t>
            </w:r>
          </w:p>
        </w:tc>
      </w:tr>
      <w:tr w:rsidR="0001256D" w:rsidRPr="00C20D37" w14:paraId="1C9ACF43" w14:textId="77777777" w:rsidTr="00E9250B">
        <w:trPr>
          <w:trHeight w:val="765"/>
        </w:trPr>
        <w:tc>
          <w:tcPr>
            <w:tcW w:w="546" w:type="dxa"/>
            <w:tcBorders>
              <w:top w:val="single" w:sz="4" w:space="0" w:color="auto"/>
              <w:left w:val="single" w:sz="4" w:space="0" w:color="auto"/>
              <w:bottom w:val="single" w:sz="4" w:space="0" w:color="auto"/>
              <w:right w:val="single" w:sz="4" w:space="0" w:color="auto"/>
            </w:tcBorders>
            <w:hideMark/>
          </w:tcPr>
          <w:p w14:paraId="5577D3EC" w14:textId="7759FBA2" w:rsidR="0001256D" w:rsidRPr="00C20D37" w:rsidRDefault="0001256D" w:rsidP="00E9250B">
            <w:pPr>
              <w:jc w:val="center"/>
            </w:pPr>
            <w:r w:rsidRPr="00C20D37">
              <w:t>2</w:t>
            </w:r>
            <w:r w:rsidR="0059460C">
              <w:t>.</w:t>
            </w:r>
          </w:p>
        </w:tc>
        <w:tc>
          <w:tcPr>
            <w:tcW w:w="2851" w:type="dxa"/>
            <w:tcBorders>
              <w:top w:val="single" w:sz="4" w:space="0" w:color="auto"/>
              <w:left w:val="single" w:sz="4" w:space="0" w:color="auto"/>
              <w:bottom w:val="single" w:sz="4" w:space="0" w:color="auto"/>
              <w:right w:val="single" w:sz="4" w:space="0" w:color="auto"/>
            </w:tcBorders>
            <w:hideMark/>
          </w:tcPr>
          <w:p w14:paraId="7109F43A" w14:textId="77777777" w:rsidR="0001256D" w:rsidRPr="00C20D37" w:rsidRDefault="0001256D" w:rsidP="00E9250B">
            <w:r w:rsidRPr="00C20D37">
              <w:t>Kauno miesto geografinių skaitmeninių duomenų centro įkūrimas, proc.</w:t>
            </w:r>
          </w:p>
        </w:tc>
        <w:tc>
          <w:tcPr>
            <w:tcW w:w="1276" w:type="dxa"/>
            <w:tcBorders>
              <w:top w:val="single" w:sz="4" w:space="0" w:color="auto"/>
              <w:left w:val="single" w:sz="4" w:space="0" w:color="auto"/>
              <w:bottom w:val="single" w:sz="4" w:space="0" w:color="auto"/>
              <w:right w:val="single" w:sz="4" w:space="0" w:color="auto"/>
            </w:tcBorders>
          </w:tcPr>
          <w:p w14:paraId="25EB39B3" w14:textId="77777777" w:rsidR="0001256D" w:rsidRPr="00C20D37" w:rsidRDefault="0001256D" w:rsidP="00E9250B">
            <w:pPr>
              <w:jc w:val="center"/>
            </w:pPr>
            <w:r>
              <w:t>35</w:t>
            </w:r>
          </w:p>
        </w:tc>
        <w:tc>
          <w:tcPr>
            <w:tcW w:w="1418" w:type="dxa"/>
            <w:tcBorders>
              <w:top w:val="single" w:sz="4" w:space="0" w:color="auto"/>
              <w:left w:val="single" w:sz="4" w:space="0" w:color="auto"/>
              <w:bottom w:val="single" w:sz="4" w:space="0" w:color="auto"/>
              <w:right w:val="single" w:sz="4" w:space="0" w:color="auto"/>
            </w:tcBorders>
          </w:tcPr>
          <w:p w14:paraId="4C115FC5" w14:textId="77777777" w:rsidR="0001256D" w:rsidRPr="00C20D37" w:rsidRDefault="0001256D" w:rsidP="00E9250B">
            <w:pPr>
              <w:jc w:val="center"/>
            </w:pPr>
            <w:r>
              <w:t>35</w:t>
            </w:r>
          </w:p>
        </w:tc>
        <w:tc>
          <w:tcPr>
            <w:tcW w:w="3402" w:type="dxa"/>
            <w:tcBorders>
              <w:top w:val="single" w:sz="4" w:space="0" w:color="auto"/>
              <w:left w:val="single" w:sz="4" w:space="0" w:color="auto"/>
              <w:bottom w:val="single" w:sz="4" w:space="0" w:color="auto"/>
              <w:right w:val="single" w:sz="4" w:space="0" w:color="auto"/>
            </w:tcBorders>
            <w:noWrap/>
            <w:hideMark/>
          </w:tcPr>
          <w:p w14:paraId="5193D6F1" w14:textId="44451A88" w:rsidR="0001256D" w:rsidRPr="0025256A" w:rsidRDefault="0001256D" w:rsidP="00E9250B">
            <w:r w:rsidRPr="0025256A">
              <w:t>Metinis rodiklis (35 proc.) apima infrastruktūros ir duomenų valdymo proceso sukūrimą (plėtojimą): sukurtas</w:t>
            </w:r>
            <w:r w:rsidR="00D33EDB">
              <w:t xml:space="preserve"> </w:t>
            </w:r>
          </w:p>
          <w:p w14:paraId="2FA9B53E" w14:textId="6D468380" w:rsidR="0001256D" w:rsidRPr="00C20D37" w:rsidRDefault="0001256D" w:rsidP="00D33EDB">
            <w:r w:rsidRPr="0025256A">
              <w:t xml:space="preserve">digital.kaunas.lt portalas, iš seno portalo perkeltos visos GIS aplikacijos ir kuriamos naujos; sukonfigūruotas ir įgyvendintas atvirų duomenų portalas </w:t>
            </w:r>
            <w:r w:rsidRPr="0025256A">
              <w:lastRenderedPageBreak/>
              <w:t>atvirasgis.kaunas.lt, pildomas duomenimis pagal S</w:t>
            </w:r>
            <w:r w:rsidR="00D33EDB">
              <w:t>avivaldybės administracijos</w:t>
            </w:r>
            <w:r w:rsidRPr="0025256A">
              <w:t xml:space="preserve"> poreikį</w:t>
            </w:r>
          </w:p>
        </w:tc>
      </w:tr>
      <w:tr w:rsidR="0001256D" w:rsidRPr="00C20D37" w14:paraId="59812FCC" w14:textId="77777777" w:rsidTr="00E9250B">
        <w:trPr>
          <w:trHeight w:val="630"/>
        </w:trPr>
        <w:tc>
          <w:tcPr>
            <w:tcW w:w="546" w:type="dxa"/>
            <w:tcBorders>
              <w:top w:val="single" w:sz="4" w:space="0" w:color="auto"/>
              <w:left w:val="single" w:sz="4" w:space="0" w:color="auto"/>
              <w:bottom w:val="single" w:sz="4" w:space="0" w:color="auto"/>
              <w:right w:val="single" w:sz="4" w:space="0" w:color="auto"/>
            </w:tcBorders>
            <w:hideMark/>
          </w:tcPr>
          <w:p w14:paraId="7A0DF89B" w14:textId="1B50B6A2" w:rsidR="0001256D" w:rsidRPr="00C20D37" w:rsidRDefault="0001256D" w:rsidP="00E9250B">
            <w:pPr>
              <w:jc w:val="center"/>
            </w:pPr>
            <w:r w:rsidRPr="00C20D37">
              <w:lastRenderedPageBreak/>
              <w:t>3</w:t>
            </w:r>
            <w:r w:rsidR="0059460C">
              <w:t>.</w:t>
            </w:r>
          </w:p>
        </w:tc>
        <w:tc>
          <w:tcPr>
            <w:tcW w:w="2851" w:type="dxa"/>
            <w:tcBorders>
              <w:top w:val="single" w:sz="4" w:space="0" w:color="auto"/>
              <w:left w:val="single" w:sz="4" w:space="0" w:color="auto"/>
              <w:bottom w:val="single" w:sz="4" w:space="0" w:color="auto"/>
              <w:right w:val="single" w:sz="4" w:space="0" w:color="auto"/>
            </w:tcBorders>
            <w:hideMark/>
          </w:tcPr>
          <w:p w14:paraId="05074627" w14:textId="77777777" w:rsidR="0001256D" w:rsidRPr="00C20D37" w:rsidRDefault="0001256D" w:rsidP="00E9250B">
            <w:r w:rsidRPr="00C20D37">
              <w:t>Parengtų teritorijų planavimo (strateginių) dokumentų skaičius, vnt.</w:t>
            </w:r>
          </w:p>
        </w:tc>
        <w:tc>
          <w:tcPr>
            <w:tcW w:w="1276" w:type="dxa"/>
            <w:tcBorders>
              <w:top w:val="single" w:sz="4" w:space="0" w:color="auto"/>
              <w:left w:val="single" w:sz="4" w:space="0" w:color="auto"/>
              <w:bottom w:val="single" w:sz="4" w:space="0" w:color="auto"/>
              <w:right w:val="single" w:sz="4" w:space="0" w:color="auto"/>
            </w:tcBorders>
          </w:tcPr>
          <w:p w14:paraId="031AF2C1" w14:textId="77777777" w:rsidR="0001256D" w:rsidRPr="00C20D37" w:rsidRDefault="0001256D" w:rsidP="00E9250B">
            <w:pPr>
              <w:jc w:val="center"/>
            </w:pPr>
            <w:r>
              <w:t>2</w:t>
            </w:r>
          </w:p>
        </w:tc>
        <w:tc>
          <w:tcPr>
            <w:tcW w:w="1418" w:type="dxa"/>
            <w:tcBorders>
              <w:top w:val="single" w:sz="4" w:space="0" w:color="auto"/>
              <w:left w:val="single" w:sz="4" w:space="0" w:color="auto"/>
              <w:bottom w:val="single" w:sz="4" w:space="0" w:color="auto"/>
              <w:right w:val="single" w:sz="4" w:space="0" w:color="auto"/>
            </w:tcBorders>
          </w:tcPr>
          <w:p w14:paraId="3BDF8C83" w14:textId="77777777" w:rsidR="0001256D" w:rsidRPr="00C20D37" w:rsidRDefault="0001256D" w:rsidP="00E9250B">
            <w:pPr>
              <w:jc w:val="center"/>
            </w:pPr>
            <w:r>
              <w:t>0</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0A1E527D" w14:textId="52A77550" w:rsidR="0001256D" w:rsidRDefault="0001256D" w:rsidP="00E9250B">
            <w:r w:rsidRPr="001F0131">
              <w:t xml:space="preserve">Rengiami 5 strateginiai teritorijų planavimo dokumentai: Kauno miesto bendrasis planas; Kauno miesto susisiekimo komunikacijų inžinerinės infrastruktūros vystymo specialusis planas (parengti sprendiniai perduoti </w:t>
            </w:r>
            <w:r w:rsidR="00D33EDB">
              <w:t xml:space="preserve">Savivaldybės administracijai </w:t>
            </w:r>
            <w:r w:rsidRPr="001F0131">
              <w:t xml:space="preserve"> 2024-12-02, pakoreguoti pagal gautas pastabas pateikti </w:t>
            </w:r>
          </w:p>
          <w:p w14:paraId="484F482C" w14:textId="77777777" w:rsidR="0001256D" w:rsidRDefault="0001256D" w:rsidP="00E9250B">
            <w:r w:rsidRPr="001F0131">
              <w:t>2025-06-02. Laukiama derinimo arba pastabų, kad darbai būtų tęsiami ir SP būtų baigtas</w:t>
            </w:r>
          </w:p>
          <w:p w14:paraId="03738A3A" w14:textId="77777777" w:rsidR="00D33EDB" w:rsidRDefault="0001256D" w:rsidP="00D33EDB">
            <w:r w:rsidRPr="001F0131">
              <w:t xml:space="preserve">2026 m.); </w:t>
            </w:r>
            <w:r w:rsidR="00D33EDB">
              <w:t>S</w:t>
            </w:r>
            <w:r w:rsidRPr="001F0131">
              <w:t xml:space="preserve">avivaldybės teritorijos dalies (Žemosios Fredos) bendrojo plano keitimas (BP keitimas parengtas ir </w:t>
            </w:r>
          </w:p>
          <w:p w14:paraId="1AD13672" w14:textId="77777777" w:rsidR="00D33EDB" w:rsidRDefault="0001256D" w:rsidP="00D33EDB">
            <w:r w:rsidRPr="001F0131">
              <w:t>2025-09-23 pateiktas derin</w:t>
            </w:r>
            <w:r w:rsidR="00D33EDB">
              <w:t xml:space="preserve">ti </w:t>
            </w:r>
          </w:p>
          <w:p w14:paraId="2530F8F1" w14:textId="77777777" w:rsidR="00D33EDB" w:rsidRDefault="0001256D" w:rsidP="00D33EDB">
            <w:r w:rsidRPr="001F0131">
              <w:t xml:space="preserve">TPDRIS sistemoje. Šiuo metu taisomas pagal nederinimo pastabas bei laukiama papildomų procedūrų rezultato, kurios nepriklauso nuo </w:t>
            </w:r>
          </w:p>
          <w:p w14:paraId="249093C2" w14:textId="54537685" w:rsidR="0001256D" w:rsidRPr="00C20D37" w:rsidRDefault="0001256D" w:rsidP="00D33EDB">
            <w:r w:rsidRPr="001F0131">
              <w:t>BP rengėjo. Planuojama užbaigti 2026 m.); Vandens tiekimo ir nuotekų tvarkymo specialiojo plano korektūra (2026-01-28 parengta koncepcija perduota S</w:t>
            </w:r>
            <w:r w:rsidR="00D33EDB">
              <w:t xml:space="preserve">avivaldybės administracijai </w:t>
            </w:r>
            <w:r w:rsidRPr="001F0131">
              <w:t>tvirtin</w:t>
            </w:r>
            <w:r w:rsidR="00D33EDB">
              <w:t>ti</w:t>
            </w:r>
            <w:r w:rsidRPr="001F0131">
              <w:t xml:space="preserve">, planuojama užbaigti 2026 m.); </w:t>
            </w:r>
            <w:r w:rsidR="00D33EDB">
              <w:t>Savivaldybės</w:t>
            </w:r>
            <w:r w:rsidRPr="001F0131">
              <w:t xml:space="preserve"> teritorijos dalies (Aleksoto dalies) BP parengimas (rengiama koncepcija)</w:t>
            </w:r>
          </w:p>
        </w:tc>
      </w:tr>
      <w:tr w:rsidR="0001256D" w:rsidRPr="00C20D37" w14:paraId="26F0B44D" w14:textId="77777777" w:rsidTr="00E9250B">
        <w:trPr>
          <w:trHeight w:val="405"/>
        </w:trPr>
        <w:tc>
          <w:tcPr>
            <w:tcW w:w="9493" w:type="dxa"/>
            <w:gridSpan w:val="5"/>
            <w:tcBorders>
              <w:top w:val="single" w:sz="4" w:space="0" w:color="auto"/>
              <w:left w:val="single" w:sz="4" w:space="0" w:color="auto"/>
              <w:bottom w:val="single" w:sz="4" w:space="0" w:color="auto"/>
              <w:right w:val="single" w:sz="4" w:space="0" w:color="auto"/>
            </w:tcBorders>
            <w:hideMark/>
          </w:tcPr>
          <w:p w14:paraId="4C139966" w14:textId="77777777" w:rsidR="0001256D" w:rsidRPr="00C20D37" w:rsidRDefault="0001256D" w:rsidP="00E9250B">
            <w:pPr>
              <w:rPr>
                <w:b/>
                <w:bCs/>
              </w:rPr>
            </w:pPr>
            <w:r w:rsidRPr="00C20D37">
              <w:rPr>
                <w:b/>
                <w:bCs/>
              </w:rPr>
              <w:t>Finansinių lūkesčių vertinimo rodikliai: </w:t>
            </w:r>
          </w:p>
        </w:tc>
      </w:tr>
      <w:tr w:rsidR="0001256D" w:rsidRPr="00C20D37" w14:paraId="557639F2" w14:textId="77777777" w:rsidTr="00E9250B">
        <w:trPr>
          <w:trHeight w:val="1065"/>
        </w:trPr>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7B41A411" w14:textId="04721F31" w:rsidR="0001256D" w:rsidRPr="00C20D37" w:rsidRDefault="0059460C" w:rsidP="00E9250B">
            <w:pPr>
              <w:jc w:val="center"/>
            </w:pPr>
            <w:r>
              <w:t>4.</w:t>
            </w:r>
          </w:p>
        </w:tc>
        <w:tc>
          <w:tcPr>
            <w:tcW w:w="2851" w:type="dxa"/>
            <w:tcBorders>
              <w:top w:val="single" w:sz="4" w:space="0" w:color="auto"/>
              <w:left w:val="single" w:sz="4" w:space="0" w:color="auto"/>
              <w:bottom w:val="single" w:sz="4" w:space="0" w:color="auto"/>
              <w:right w:val="single" w:sz="4" w:space="0" w:color="auto"/>
            </w:tcBorders>
            <w:hideMark/>
          </w:tcPr>
          <w:p w14:paraId="204025ED" w14:textId="77777777" w:rsidR="0001256D" w:rsidRDefault="0001256D" w:rsidP="00E9250B">
            <w:pPr>
              <w:rPr>
                <w:i/>
                <w:iCs/>
              </w:rPr>
            </w:pPr>
            <w:r w:rsidRPr="00C20D37">
              <w:t>EBITDA marža, proc.</w:t>
            </w:r>
            <w:r w:rsidRPr="00C20D37">
              <w:br/>
            </w:r>
            <w:r w:rsidRPr="00C20D37">
              <w:rPr>
                <w:i/>
                <w:iCs/>
              </w:rPr>
              <w:t>(EBIT+Nusidėvėjimo ir amortizacijos sąnaudos)/</w:t>
            </w:r>
          </w:p>
          <w:p w14:paraId="57FBB16A" w14:textId="77777777" w:rsidR="0001256D" w:rsidRPr="00C20D37" w:rsidRDefault="0001256D" w:rsidP="00E9250B">
            <w:r w:rsidRPr="00C20D37">
              <w:rPr>
                <w:i/>
                <w:iCs/>
              </w:rPr>
              <w:t>(pardavimo pajamos) x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DD211D0" w14:textId="77777777" w:rsidR="0001256D" w:rsidRPr="00C20D37" w:rsidRDefault="0001256D" w:rsidP="00E9250B">
            <w:pPr>
              <w:jc w:val="center"/>
            </w:pPr>
            <w:r>
              <w:t>10,2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F023E64" w14:textId="77777777" w:rsidR="0001256D" w:rsidRPr="00C20D37" w:rsidRDefault="0001256D" w:rsidP="00E9250B">
            <w:pPr>
              <w:jc w:val="center"/>
            </w:pPr>
            <w:r>
              <w:t>7,16</w:t>
            </w:r>
          </w:p>
        </w:tc>
        <w:tc>
          <w:tcPr>
            <w:tcW w:w="3402" w:type="dxa"/>
            <w:vMerge w:val="restart"/>
            <w:tcBorders>
              <w:top w:val="single" w:sz="4" w:space="0" w:color="auto"/>
              <w:left w:val="single" w:sz="4" w:space="0" w:color="auto"/>
              <w:bottom w:val="single" w:sz="4" w:space="0" w:color="auto"/>
              <w:right w:val="single" w:sz="4" w:space="0" w:color="auto"/>
            </w:tcBorders>
            <w:noWrap/>
            <w:hideMark/>
          </w:tcPr>
          <w:p w14:paraId="0420567A" w14:textId="1DC02F9C" w:rsidR="0001256D" w:rsidRPr="004624E3" w:rsidRDefault="0001256D" w:rsidP="00E9250B">
            <w:r w:rsidRPr="004624E3">
              <w:t xml:space="preserve">Nors 2025 m. bendrovės pardavimo pajamos sudarė 970202 </w:t>
            </w:r>
            <w:r w:rsidR="00D33EDB">
              <w:t>Eur</w:t>
            </w:r>
            <w:r w:rsidRPr="004624E3">
              <w:t xml:space="preserve"> ir veiklos rezultatas buvo 36512 </w:t>
            </w:r>
            <w:r w:rsidR="00D33EDB">
              <w:t xml:space="preserve">Eur </w:t>
            </w:r>
            <w:r w:rsidRPr="004624E3">
              <w:t xml:space="preserve">grynasis pelnas, tačiau to nepakako, kad būtų </w:t>
            </w:r>
            <w:r w:rsidRPr="004624E3">
              <w:lastRenderedPageBreak/>
              <w:t>pasiektos suplanuotos finansinių lūkesčių vertinimo rodiklių reikšmės. Didžiąją bendrovės gaunamų pajamų dalį sudaro ilgalaikiai užsakymai, gaunami iš S</w:t>
            </w:r>
            <w:r w:rsidR="009C6543">
              <w:t>avivaldybės</w:t>
            </w:r>
            <w:r w:rsidRPr="004624E3">
              <w:t xml:space="preserve">. Šie užsakymai pasižymi ilgesniu įgyvendinimo ciklu ir pajamų pripažinimas tiesiogiai priklauso nuo darbų užbaigtumo. Dėl šios priežasties atitinkama pajamų dalis nebuvo pripažinta ataskaitiniu laikotarpiu ir finansinių metų grynasis pelnas yra mažesnis, nei galėtų būti užbaigus visus planuotus užsakymus laiku. </w:t>
            </w:r>
          </w:p>
          <w:p w14:paraId="67A2391F" w14:textId="75062487" w:rsidR="0001256D" w:rsidRPr="00C20D37" w:rsidRDefault="0001256D" w:rsidP="00E9250B">
            <w:r w:rsidRPr="004624E3">
              <w:t>Šių rodiklių nukrypimai nuo plano daugiausia yra laikino pobūdžio ir susiję su pajamų pripažinimo laiko neatitikimu, o ne su bendrovės veiklos efektyvumo ar finansinio stabilumo pablogėjimu</w:t>
            </w:r>
          </w:p>
        </w:tc>
      </w:tr>
      <w:tr w:rsidR="0001256D" w:rsidRPr="00C20D37" w14:paraId="5887CAD5" w14:textId="77777777" w:rsidTr="00CE0688">
        <w:trPr>
          <w:trHeight w:val="1005"/>
        </w:trPr>
        <w:tc>
          <w:tcPr>
            <w:tcW w:w="546" w:type="dxa"/>
            <w:tcBorders>
              <w:top w:val="single" w:sz="4" w:space="0" w:color="auto"/>
              <w:left w:val="single" w:sz="4" w:space="0" w:color="auto"/>
              <w:bottom w:val="single" w:sz="4" w:space="0" w:color="auto"/>
              <w:right w:val="single" w:sz="4" w:space="0" w:color="auto"/>
            </w:tcBorders>
            <w:shd w:val="clear" w:color="000000" w:fill="FFFFFF"/>
          </w:tcPr>
          <w:p w14:paraId="3399D108" w14:textId="30080405" w:rsidR="0001256D" w:rsidRPr="00C20D37" w:rsidRDefault="0059460C" w:rsidP="00E9250B">
            <w:pPr>
              <w:jc w:val="center"/>
            </w:pPr>
            <w:bookmarkStart w:id="7" w:name="_Hlk225168283"/>
            <w:r>
              <w:lastRenderedPageBreak/>
              <w:t>5.</w:t>
            </w:r>
          </w:p>
        </w:tc>
        <w:tc>
          <w:tcPr>
            <w:tcW w:w="2851" w:type="dxa"/>
            <w:tcBorders>
              <w:top w:val="single" w:sz="4" w:space="0" w:color="auto"/>
              <w:left w:val="single" w:sz="4" w:space="0" w:color="auto"/>
              <w:bottom w:val="single" w:sz="4" w:space="0" w:color="auto"/>
              <w:right w:val="single" w:sz="4" w:space="0" w:color="auto"/>
            </w:tcBorders>
          </w:tcPr>
          <w:p w14:paraId="2EF4EAC3" w14:textId="77777777" w:rsidR="0001256D" w:rsidRPr="00C20D37" w:rsidRDefault="0001256D" w:rsidP="00E9250B">
            <w:r w:rsidRPr="00C20D37">
              <w:t>Nuosavo kapitalo pelningumas, siekiant užtikrinti pelno įmokos savininkui mokėjimą, proc.</w:t>
            </w:r>
            <w:r w:rsidRPr="00C20D37">
              <w:br/>
            </w:r>
            <w:r w:rsidRPr="00C20D37">
              <w:rPr>
                <w:i/>
                <w:iCs/>
              </w:rPr>
              <w:t>(Grynasis pelnas (nuostoliai))/(Nuosavo kapitalo laikotarpio pradžioje ir pabaigoje vidurkis) ×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4DEFFED" w14:textId="77777777" w:rsidR="0001256D" w:rsidRPr="00C20D37" w:rsidRDefault="0001256D" w:rsidP="00E9250B">
            <w:pPr>
              <w:jc w:val="center"/>
            </w:pPr>
            <w:r w:rsidRPr="008070FD">
              <w:t>&gt; 15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A0CECB4" w14:textId="77777777" w:rsidR="0001256D" w:rsidRPr="00C20D37" w:rsidRDefault="0001256D" w:rsidP="00E9250B">
            <w:pPr>
              <w:jc w:val="center"/>
            </w:pPr>
            <w:r>
              <w:t>10,58</w:t>
            </w:r>
          </w:p>
        </w:tc>
        <w:tc>
          <w:tcPr>
            <w:tcW w:w="3402" w:type="dxa"/>
            <w:vMerge/>
            <w:tcBorders>
              <w:top w:val="single" w:sz="4" w:space="0" w:color="auto"/>
              <w:left w:val="single" w:sz="4" w:space="0" w:color="auto"/>
              <w:bottom w:val="single" w:sz="4" w:space="0" w:color="auto"/>
              <w:right w:val="single" w:sz="4" w:space="0" w:color="auto"/>
            </w:tcBorders>
          </w:tcPr>
          <w:p w14:paraId="5CE1ABC7" w14:textId="77777777" w:rsidR="0001256D" w:rsidRPr="00C20D37" w:rsidRDefault="0001256D" w:rsidP="00E9250B"/>
        </w:tc>
      </w:tr>
      <w:tr w:rsidR="0001256D" w:rsidRPr="00C20D37" w14:paraId="529AE085" w14:textId="77777777" w:rsidTr="00CE0688">
        <w:trPr>
          <w:trHeight w:val="1425"/>
        </w:trPr>
        <w:tc>
          <w:tcPr>
            <w:tcW w:w="546" w:type="dxa"/>
            <w:tcBorders>
              <w:top w:val="single" w:sz="4" w:space="0" w:color="auto"/>
              <w:left w:val="single" w:sz="4" w:space="0" w:color="auto"/>
              <w:bottom w:val="single" w:sz="4" w:space="0" w:color="auto"/>
              <w:right w:val="single" w:sz="4" w:space="0" w:color="auto"/>
            </w:tcBorders>
            <w:shd w:val="clear" w:color="000000" w:fill="FFFFFF"/>
          </w:tcPr>
          <w:p w14:paraId="6C7D298A" w14:textId="4113BD47" w:rsidR="0001256D" w:rsidRPr="00C20D37" w:rsidRDefault="0059460C" w:rsidP="00E9250B">
            <w:pPr>
              <w:jc w:val="center"/>
            </w:pPr>
            <w:bookmarkStart w:id="8" w:name="_Hlk225168425"/>
            <w:bookmarkEnd w:id="7"/>
            <w:r>
              <w:t>6.</w:t>
            </w:r>
          </w:p>
        </w:tc>
        <w:tc>
          <w:tcPr>
            <w:tcW w:w="2851" w:type="dxa"/>
            <w:tcBorders>
              <w:top w:val="single" w:sz="4" w:space="0" w:color="auto"/>
              <w:left w:val="single" w:sz="4" w:space="0" w:color="auto"/>
              <w:bottom w:val="single" w:sz="4" w:space="0" w:color="auto"/>
              <w:right w:val="single" w:sz="4" w:space="0" w:color="auto"/>
            </w:tcBorders>
          </w:tcPr>
          <w:p w14:paraId="18AF7D02" w14:textId="77777777" w:rsidR="0001256D" w:rsidRPr="00747897" w:rsidRDefault="0001256D" w:rsidP="00E9250B">
            <w:r w:rsidRPr="00747897">
              <w:t xml:space="preserve">Grynasis pelningumas, proc. </w:t>
            </w:r>
          </w:p>
          <w:p w14:paraId="1F5B8288" w14:textId="77777777" w:rsidR="0001256D" w:rsidRDefault="0001256D" w:rsidP="00E9250B">
            <w:pPr>
              <w:rPr>
                <w:i/>
                <w:iCs/>
              </w:rPr>
            </w:pPr>
            <w:r w:rsidRPr="00687393">
              <w:rPr>
                <w:i/>
                <w:iCs/>
              </w:rPr>
              <w:t>(Grynasis pelnas</w:t>
            </w:r>
            <w:r>
              <w:rPr>
                <w:i/>
                <w:iCs/>
              </w:rPr>
              <w:t>)</w:t>
            </w:r>
            <w:r w:rsidRPr="00687393">
              <w:rPr>
                <w:i/>
                <w:iCs/>
              </w:rPr>
              <w:t>/</w:t>
            </w:r>
          </w:p>
          <w:p w14:paraId="14AB55DA" w14:textId="77777777" w:rsidR="0001256D" w:rsidRPr="00687393" w:rsidRDefault="0001256D" w:rsidP="00E9250B">
            <w:pPr>
              <w:rPr>
                <w:i/>
                <w:iCs/>
              </w:rPr>
            </w:pPr>
            <w:r>
              <w:rPr>
                <w:i/>
                <w:iCs/>
              </w:rPr>
              <w:t>(</w:t>
            </w:r>
            <w:r w:rsidRPr="00687393">
              <w:rPr>
                <w:i/>
                <w:iCs/>
              </w:rPr>
              <w:t>pardavimo pajamos)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C0959C0" w14:textId="77777777" w:rsidR="0001256D" w:rsidRPr="00C20D37" w:rsidRDefault="0001256D" w:rsidP="00E9250B">
            <w:pPr>
              <w:jc w:val="center"/>
            </w:pPr>
            <w:r w:rsidRPr="009C50EF">
              <w:t>&gt; 12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DC4CE26" w14:textId="77777777" w:rsidR="0001256D" w:rsidRPr="00C20D37" w:rsidRDefault="0001256D" w:rsidP="00E9250B">
            <w:pPr>
              <w:jc w:val="center"/>
            </w:pPr>
            <w:r>
              <w:t>4,10</w:t>
            </w:r>
          </w:p>
        </w:tc>
        <w:tc>
          <w:tcPr>
            <w:tcW w:w="3402" w:type="dxa"/>
            <w:vMerge/>
            <w:tcBorders>
              <w:top w:val="single" w:sz="4" w:space="0" w:color="auto"/>
              <w:left w:val="single" w:sz="4" w:space="0" w:color="auto"/>
              <w:bottom w:val="single" w:sz="4" w:space="0" w:color="auto"/>
              <w:right w:val="single" w:sz="4" w:space="0" w:color="auto"/>
            </w:tcBorders>
            <w:noWrap/>
            <w:hideMark/>
          </w:tcPr>
          <w:p w14:paraId="622578DF" w14:textId="77777777" w:rsidR="0001256D" w:rsidRPr="00C20D37" w:rsidRDefault="0001256D" w:rsidP="00E9250B"/>
        </w:tc>
      </w:tr>
      <w:bookmarkEnd w:id="8"/>
      <w:tr w:rsidR="0001256D" w:rsidRPr="00C20D37" w14:paraId="6359959E" w14:textId="77777777" w:rsidTr="00CE0688">
        <w:trPr>
          <w:trHeight w:val="1779"/>
        </w:trPr>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1AA44288" w14:textId="14C57C22" w:rsidR="0001256D" w:rsidRPr="00C20D37" w:rsidRDefault="0059460C" w:rsidP="00E9250B">
            <w:pPr>
              <w:jc w:val="center"/>
            </w:pPr>
            <w:r>
              <w:t>7.</w:t>
            </w:r>
          </w:p>
        </w:tc>
        <w:tc>
          <w:tcPr>
            <w:tcW w:w="2851" w:type="dxa"/>
            <w:tcBorders>
              <w:top w:val="single" w:sz="4" w:space="0" w:color="auto"/>
              <w:left w:val="single" w:sz="4" w:space="0" w:color="auto"/>
              <w:bottom w:val="single" w:sz="4" w:space="0" w:color="auto"/>
              <w:right w:val="single" w:sz="4" w:space="0" w:color="auto"/>
            </w:tcBorders>
            <w:hideMark/>
          </w:tcPr>
          <w:p w14:paraId="2A992AAF" w14:textId="77777777" w:rsidR="0001256D" w:rsidRDefault="0001256D" w:rsidP="00E9250B">
            <w:r w:rsidRPr="00B964F9">
              <w:t>Pardavimų savikainos lygis, proc.</w:t>
            </w:r>
          </w:p>
          <w:p w14:paraId="510735CB" w14:textId="77777777" w:rsidR="0001256D" w:rsidRDefault="0001256D" w:rsidP="00E9250B">
            <w:pPr>
              <w:rPr>
                <w:i/>
                <w:iCs/>
              </w:rPr>
            </w:pPr>
            <w:r w:rsidRPr="00B964F9">
              <w:t>(</w:t>
            </w:r>
            <w:r w:rsidRPr="00687393">
              <w:rPr>
                <w:i/>
                <w:iCs/>
              </w:rPr>
              <w:t>Pardavimo savikaina)/</w:t>
            </w:r>
          </w:p>
          <w:p w14:paraId="1CA78BC2" w14:textId="77777777" w:rsidR="0001256D" w:rsidRPr="00C20D37" w:rsidRDefault="0001256D" w:rsidP="00E9250B">
            <w:r w:rsidRPr="00687393">
              <w:rPr>
                <w:i/>
                <w:iCs/>
              </w:rPr>
              <w:t>(Pardavimo pajamos) x 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A9513D" w14:textId="77777777" w:rsidR="0001256D" w:rsidRPr="00C20D37" w:rsidRDefault="0001256D" w:rsidP="00E9250B">
            <w:pPr>
              <w:jc w:val="center"/>
            </w:pPr>
            <w:r w:rsidRPr="00747897">
              <w:t>&lt; 65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49E811B" w14:textId="77777777" w:rsidR="0001256D" w:rsidRPr="00C20D37" w:rsidRDefault="0001256D" w:rsidP="00E9250B">
            <w:pPr>
              <w:jc w:val="center"/>
            </w:pPr>
            <w:r>
              <w:t>72,40</w:t>
            </w:r>
          </w:p>
        </w:tc>
        <w:tc>
          <w:tcPr>
            <w:tcW w:w="3402" w:type="dxa"/>
            <w:vMerge/>
            <w:tcBorders>
              <w:top w:val="single" w:sz="4" w:space="0" w:color="auto"/>
              <w:left w:val="single" w:sz="4" w:space="0" w:color="auto"/>
              <w:bottom w:val="single" w:sz="4" w:space="0" w:color="auto"/>
              <w:right w:val="single" w:sz="4" w:space="0" w:color="auto"/>
            </w:tcBorders>
          </w:tcPr>
          <w:p w14:paraId="1FCBAA86" w14:textId="77777777" w:rsidR="0001256D" w:rsidRPr="00C20D37" w:rsidRDefault="0001256D" w:rsidP="00E9250B"/>
        </w:tc>
      </w:tr>
      <w:tr w:rsidR="0001256D" w:rsidRPr="00C20D37" w14:paraId="5C9F3DEE" w14:textId="77777777" w:rsidTr="00E9250B">
        <w:trPr>
          <w:trHeight w:val="825"/>
        </w:trPr>
        <w:tc>
          <w:tcPr>
            <w:tcW w:w="546" w:type="dxa"/>
            <w:tcBorders>
              <w:top w:val="single" w:sz="4" w:space="0" w:color="auto"/>
              <w:left w:val="single" w:sz="4" w:space="0" w:color="auto"/>
              <w:bottom w:val="single" w:sz="4" w:space="0" w:color="auto"/>
              <w:right w:val="single" w:sz="4" w:space="0" w:color="auto"/>
            </w:tcBorders>
            <w:shd w:val="clear" w:color="000000" w:fill="FFFFFF"/>
          </w:tcPr>
          <w:p w14:paraId="7ECDBE6A" w14:textId="672C69AD" w:rsidR="0001256D" w:rsidRPr="00C20D37" w:rsidRDefault="0059460C" w:rsidP="00E9250B">
            <w:pPr>
              <w:jc w:val="center"/>
            </w:pPr>
            <w:r>
              <w:t>8.</w:t>
            </w:r>
          </w:p>
        </w:tc>
        <w:tc>
          <w:tcPr>
            <w:tcW w:w="2851" w:type="dxa"/>
            <w:tcBorders>
              <w:top w:val="single" w:sz="4" w:space="0" w:color="auto"/>
              <w:left w:val="single" w:sz="4" w:space="0" w:color="auto"/>
              <w:bottom w:val="single" w:sz="4" w:space="0" w:color="auto"/>
              <w:right w:val="single" w:sz="4" w:space="0" w:color="auto"/>
            </w:tcBorders>
          </w:tcPr>
          <w:p w14:paraId="360ED78D" w14:textId="77777777" w:rsidR="0001256D" w:rsidRPr="00C20D37" w:rsidRDefault="0001256D" w:rsidP="00E9250B">
            <w:r w:rsidRPr="00C20D37">
              <w:t>Ilgalaikių skolų ir nuosavybės rodiklis, koef.</w:t>
            </w:r>
            <w:r w:rsidRPr="00C20D37">
              <w:br/>
            </w:r>
            <w:r w:rsidRPr="00C20D37">
              <w:rPr>
                <w:i/>
                <w:iCs/>
              </w:rPr>
              <w:t>(Po vienerių metų mokėtinos sumos ir kiti ilgalaikiai įsipareigojimai)/(Nuosavas kapitalas)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2701D8D" w14:textId="77777777" w:rsidR="0001256D" w:rsidRPr="00C20D37" w:rsidRDefault="0001256D" w:rsidP="00E9250B">
            <w:pPr>
              <w:jc w:val="center"/>
            </w:pPr>
            <w:r w:rsidRPr="008070FD">
              <w:t>&lt; 0,5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22AA88D" w14:textId="77777777" w:rsidR="0001256D" w:rsidRPr="00C20D37" w:rsidRDefault="0001256D" w:rsidP="00E9250B">
            <w:pPr>
              <w:jc w:val="center"/>
            </w:pPr>
            <w:r>
              <w:t>0,17</w:t>
            </w:r>
          </w:p>
        </w:tc>
        <w:tc>
          <w:tcPr>
            <w:tcW w:w="3402" w:type="dxa"/>
            <w:tcBorders>
              <w:top w:val="single" w:sz="4" w:space="0" w:color="auto"/>
              <w:left w:val="single" w:sz="4" w:space="0" w:color="auto"/>
              <w:bottom w:val="single" w:sz="4" w:space="0" w:color="auto"/>
              <w:right w:val="single" w:sz="4" w:space="0" w:color="auto"/>
            </w:tcBorders>
            <w:noWrap/>
          </w:tcPr>
          <w:p w14:paraId="49910CA7" w14:textId="77777777" w:rsidR="0001256D" w:rsidRPr="00C20D37" w:rsidRDefault="0001256D" w:rsidP="00E9250B"/>
        </w:tc>
      </w:tr>
    </w:tbl>
    <w:p w14:paraId="6417B670" w14:textId="77777777" w:rsidR="0001256D" w:rsidRPr="00C20D37" w:rsidRDefault="0001256D" w:rsidP="0001256D"/>
    <w:p w14:paraId="7CBEE4DD" w14:textId="77777777" w:rsidR="0001256D" w:rsidRPr="00C20D37" w:rsidRDefault="0001256D" w:rsidP="0001256D">
      <w:pPr>
        <w:jc w:val="center"/>
        <w:rPr>
          <w:b/>
          <w:bCs/>
        </w:rPr>
      </w:pPr>
      <w:r w:rsidRPr="00C20D37">
        <w:rPr>
          <w:b/>
          <w:bCs/>
        </w:rPr>
        <w:t>UAB „Centrinis knygynas“ 202</w:t>
      </w:r>
      <w:r>
        <w:rPr>
          <w:b/>
          <w:bCs/>
        </w:rPr>
        <w:t>5</w:t>
      </w:r>
      <w:r w:rsidRPr="00C20D37">
        <w:rPr>
          <w:b/>
          <w:bCs/>
        </w:rPr>
        <w:t xml:space="preserve"> metų finansinių ir nefinansinių lūkesčių vertinimo rodiklių vertinimas </w:t>
      </w:r>
    </w:p>
    <w:p w14:paraId="425EEDFE" w14:textId="77777777" w:rsidR="0001256D" w:rsidRPr="009C6543" w:rsidRDefault="0001256D" w:rsidP="0001256D">
      <w:pPr>
        <w:rPr>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17"/>
        <w:gridCol w:w="1276"/>
        <w:gridCol w:w="1418"/>
        <w:gridCol w:w="3402"/>
      </w:tblGrid>
      <w:tr w:rsidR="0001256D" w:rsidRPr="00C20D37" w14:paraId="52988017" w14:textId="77777777" w:rsidTr="00E9250B">
        <w:trPr>
          <w:trHeight w:val="315"/>
          <w:tblHeader/>
        </w:trPr>
        <w:tc>
          <w:tcPr>
            <w:tcW w:w="580" w:type="dxa"/>
            <w:vAlign w:val="center"/>
            <w:hideMark/>
          </w:tcPr>
          <w:p w14:paraId="4EDCFEEA" w14:textId="77777777" w:rsidR="0001256D" w:rsidRPr="00C20D37" w:rsidRDefault="0001256D" w:rsidP="00E9250B">
            <w:pPr>
              <w:jc w:val="center"/>
            </w:pPr>
            <w:r w:rsidRPr="00C20D37">
              <w:t>Eil. Nr.</w:t>
            </w:r>
          </w:p>
        </w:tc>
        <w:tc>
          <w:tcPr>
            <w:tcW w:w="2817" w:type="dxa"/>
            <w:vAlign w:val="center"/>
            <w:hideMark/>
          </w:tcPr>
          <w:p w14:paraId="0F2C4874" w14:textId="77777777" w:rsidR="0001256D" w:rsidRPr="00C20D37" w:rsidRDefault="0001256D" w:rsidP="00E9250B">
            <w:pPr>
              <w:jc w:val="center"/>
            </w:pPr>
            <w:r w:rsidRPr="00C20D37">
              <w:t xml:space="preserve"> Rodiklis (pavadinimas, skaičiavimo būdas, mato vienetas)</w:t>
            </w:r>
          </w:p>
        </w:tc>
        <w:tc>
          <w:tcPr>
            <w:tcW w:w="1276" w:type="dxa"/>
            <w:vAlign w:val="center"/>
            <w:hideMark/>
          </w:tcPr>
          <w:p w14:paraId="30E43DC4" w14:textId="77777777" w:rsidR="0001256D" w:rsidRPr="00C20D37" w:rsidRDefault="0001256D" w:rsidP="00E9250B">
            <w:pPr>
              <w:jc w:val="center"/>
            </w:pPr>
            <w:r w:rsidRPr="00C20D37">
              <w:t>202</w:t>
            </w:r>
            <w:r>
              <w:t>5</w:t>
            </w:r>
            <w:r w:rsidRPr="00C20D37">
              <w:t xml:space="preserve"> m. planuota rodiklio reikšmė</w:t>
            </w:r>
          </w:p>
        </w:tc>
        <w:tc>
          <w:tcPr>
            <w:tcW w:w="1418" w:type="dxa"/>
            <w:vAlign w:val="center"/>
            <w:hideMark/>
          </w:tcPr>
          <w:p w14:paraId="3F2267D0" w14:textId="77777777" w:rsidR="0001256D" w:rsidRPr="00C20D37" w:rsidRDefault="0001256D" w:rsidP="00E9250B">
            <w:pPr>
              <w:jc w:val="center"/>
            </w:pPr>
            <w:r w:rsidRPr="00C20D37">
              <w:t>202</w:t>
            </w:r>
            <w:r>
              <w:t>5</w:t>
            </w:r>
            <w:r w:rsidRPr="00C20D37">
              <w:t xml:space="preserve"> m. pasiekta rodiklio reikšmė</w:t>
            </w:r>
          </w:p>
        </w:tc>
        <w:tc>
          <w:tcPr>
            <w:tcW w:w="3402" w:type="dxa"/>
            <w:vAlign w:val="center"/>
            <w:hideMark/>
          </w:tcPr>
          <w:p w14:paraId="25F567B6" w14:textId="77777777" w:rsidR="0001256D" w:rsidRPr="00C20D37" w:rsidRDefault="0001256D" w:rsidP="00E9250B">
            <w:pPr>
              <w:jc w:val="center"/>
            </w:pPr>
            <w:r w:rsidRPr="00C20D37">
              <w:t>Informacija apie vykdymą</w:t>
            </w:r>
          </w:p>
        </w:tc>
      </w:tr>
      <w:tr w:rsidR="0001256D" w:rsidRPr="00C20D37" w14:paraId="4E198E17" w14:textId="77777777" w:rsidTr="00E9250B">
        <w:trPr>
          <w:trHeight w:val="300"/>
        </w:trPr>
        <w:tc>
          <w:tcPr>
            <w:tcW w:w="9493" w:type="dxa"/>
            <w:gridSpan w:val="5"/>
            <w:vAlign w:val="center"/>
            <w:hideMark/>
          </w:tcPr>
          <w:p w14:paraId="3F76DD6E" w14:textId="77777777" w:rsidR="0001256D" w:rsidRPr="00C20D37" w:rsidRDefault="0001256D" w:rsidP="00E9250B">
            <w:pPr>
              <w:rPr>
                <w:b/>
                <w:bCs/>
              </w:rPr>
            </w:pPr>
            <w:r w:rsidRPr="00C20D37">
              <w:rPr>
                <w:b/>
                <w:bCs/>
              </w:rPr>
              <w:t> Nefinansinių lūkesčių vertinimo rodikliai:</w:t>
            </w:r>
          </w:p>
        </w:tc>
      </w:tr>
      <w:tr w:rsidR="0001256D" w:rsidRPr="00C20D37" w14:paraId="310E3019" w14:textId="77777777" w:rsidTr="00E9250B">
        <w:trPr>
          <w:trHeight w:val="945"/>
        </w:trPr>
        <w:tc>
          <w:tcPr>
            <w:tcW w:w="580" w:type="dxa"/>
            <w:hideMark/>
          </w:tcPr>
          <w:p w14:paraId="456CECFC" w14:textId="44FB36D0" w:rsidR="0001256D" w:rsidRPr="00C20D37" w:rsidRDefault="0001256D" w:rsidP="00E9250B">
            <w:pPr>
              <w:jc w:val="center"/>
            </w:pPr>
            <w:r w:rsidRPr="00C20D37">
              <w:t>1</w:t>
            </w:r>
            <w:r w:rsidR="0059460C">
              <w:t>.</w:t>
            </w:r>
          </w:p>
        </w:tc>
        <w:tc>
          <w:tcPr>
            <w:tcW w:w="2817" w:type="dxa"/>
            <w:hideMark/>
          </w:tcPr>
          <w:p w14:paraId="7ECC5736" w14:textId="77777777" w:rsidR="0001256D" w:rsidRPr="00C20D37" w:rsidRDefault="0001256D" w:rsidP="00E9250B">
            <w:r w:rsidRPr="00C20D37">
              <w:t xml:space="preserve">Nuomos sutarties vykdymo kontrolė – suorganizuotų kultūros renginių (susitikimai su autoriais, naujų knygų pristatymai, spektakliai, </w:t>
            </w:r>
            <w:r w:rsidRPr="00C20D37">
              <w:lastRenderedPageBreak/>
              <w:t>parodos ir pan.) skaičius, vnt.</w:t>
            </w:r>
          </w:p>
        </w:tc>
        <w:tc>
          <w:tcPr>
            <w:tcW w:w="1276" w:type="dxa"/>
          </w:tcPr>
          <w:p w14:paraId="003AA064" w14:textId="77777777" w:rsidR="0001256D" w:rsidRPr="00C20D37" w:rsidRDefault="0001256D" w:rsidP="00E9250B">
            <w:pPr>
              <w:jc w:val="center"/>
            </w:pPr>
            <w:r>
              <w:lastRenderedPageBreak/>
              <w:t>12</w:t>
            </w:r>
          </w:p>
        </w:tc>
        <w:tc>
          <w:tcPr>
            <w:tcW w:w="1418" w:type="dxa"/>
          </w:tcPr>
          <w:p w14:paraId="6427D3D9" w14:textId="77777777" w:rsidR="0001256D" w:rsidRPr="00C20D37" w:rsidRDefault="0001256D" w:rsidP="00E9250B">
            <w:pPr>
              <w:jc w:val="center"/>
            </w:pPr>
            <w:r>
              <w:t>-</w:t>
            </w:r>
          </w:p>
        </w:tc>
        <w:tc>
          <w:tcPr>
            <w:tcW w:w="3402" w:type="dxa"/>
            <w:vMerge w:val="restart"/>
            <w:hideMark/>
          </w:tcPr>
          <w:p w14:paraId="66F71C86" w14:textId="07B4486E" w:rsidR="0001256D" w:rsidRPr="00C20D37" w:rsidRDefault="0001256D" w:rsidP="00E9250B">
            <w:r w:rsidRPr="00747D72">
              <w:t>Nėra patvirtintas Bendrovės strateginis veiklos planas</w:t>
            </w:r>
          </w:p>
        </w:tc>
      </w:tr>
      <w:tr w:rsidR="0001256D" w:rsidRPr="00C20D37" w14:paraId="2630DBB8" w14:textId="77777777" w:rsidTr="00E9250B">
        <w:trPr>
          <w:trHeight w:val="945"/>
        </w:trPr>
        <w:tc>
          <w:tcPr>
            <w:tcW w:w="580" w:type="dxa"/>
            <w:hideMark/>
          </w:tcPr>
          <w:p w14:paraId="08580CBF" w14:textId="73F61BB5" w:rsidR="0001256D" w:rsidRPr="00C20D37" w:rsidRDefault="0001256D" w:rsidP="00E9250B">
            <w:pPr>
              <w:jc w:val="center"/>
            </w:pPr>
            <w:r w:rsidRPr="00C20D37">
              <w:t>2</w:t>
            </w:r>
            <w:r w:rsidR="0059460C">
              <w:t>.</w:t>
            </w:r>
          </w:p>
        </w:tc>
        <w:tc>
          <w:tcPr>
            <w:tcW w:w="2817" w:type="dxa"/>
            <w:hideMark/>
          </w:tcPr>
          <w:p w14:paraId="34EDB0D0" w14:textId="77777777" w:rsidR="0001256D" w:rsidRPr="00C20D37" w:rsidRDefault="0001256D" w:rsidP="00E9250B">
            <w:pPr>
              <w:jc w:val="both"/>
            </w:pPr>
            <w:r w:rsidRPr="00C20D37">
              <w:t>Pasiūlymų dėl Bendrovei nuosavybės teise priklausančio nekilnojamojo turto efektyvaus valdymo, pasibaigus nuomos sutarčiai, pateikimas, vnt.</w:t>
            </w:r>
          </w:p>
        </w:tc>
        <w:tc>
          <w:tcPr>
            <w:tcW w:w="1276" w:type="dxa"/>
          </w:tcPr>
          <w:p w14:paraId="1DA4E299" w14:textId="77777777" w:rsidR="0001256D" w:rsidRPr="00C20D37" w:rsidRDefault="0001256D" w:rsidP="00E9250B">
            <w:pPr>
              <w:jc w:val="center"/>
            </w:pPr>
            <w:r w:rsidRPr="00A86FE4">
              <w:t>≥ 2-3</w:t>
            </w:r>
          </w:p>
        </w:tc>
        <w:tc>
          <w:tcPr>
            <w:tcW w:w="1418" w:type="dxa"/>
          </w:tcPr>
          <w:p w14:paraId="5995C28D" w14:textId="77777777" w:rsidR="0001256D" w:rsidRPr="00C20D37" w:rsidRDefault="0001256D" w:rsidP="00E9250B">
            <w:pPr>
              <w:jc w:val="center"/>
            </w:pPr>
            <w:r>
              <w:t>-</w:t>
            </w:r>
          </w:p>
        </w:tc>
        <w:tc>
          <w:tcPr>
            <w:tcW w:w="3402" w:type="dxa"/>
            <w:vMerge/>
            <w:hideMark/>
          </w:tcPr>
          <w:p w14:paraId="61557330" w14:textId="77777777" w:rsidR="0001256D" w:rsidRPr="00C20D37" w:rsidRDefault="0001256D" w:rsidP="00E9250B"/>
        </w:tc>
      </w:tr>
      <w:tr w:rsidR="0001256D" w:rsidRPr="00C20D37" w14:paraId="6A092FD7" w14:textId="77777777" w:rsidTr="00E9250B">
        <w:trPr>
          <w:trHeight w:val="300"/>
        </w:trPr>
        <w:tc>
          <w:tcPr>
            <w:tcW w:w="9493" w:type="dxa"/>
            <w:gridSpan w:val="5"/>
            <w:hideMark/>
          </w:tcPr>
          <w:p w14:paraId="3B69EF2C" w14:textId="77777777" w:rsidR="0001256D" w:rsidRPr="00C20D37" w:rsidRDefault="0001256D" w:rsidP="00E9250B">
            <w:r w:rsidRPr="00C20D37">
              <w:rPr>
                <w:b/>
                <w:bCs/>
              </w:rPr>
              <w:t>Finansinių lūkesčių vertinimo rodikliai:</w:t>
            </w:r>
            <w:r w:rsidRPr="00C20D37">
              <w:t> </w:t>
            </w:r>
          </w:p>
        </w:tc>
      </w:tr>
      <w:tr w:rsidR="0001256D" w:rsidRPr="00C20D37" w14:paraId="0AEE8490" w14:textId="77777777" w:rsidTr="00E9250B">
        <w:trPr>
          <w:trHeight w:val="657"/>
        </w:trPr>
        <w:tc>
          <w:tcPr>
            <w:tcW w:w="580" w:type="dxa"/>
            <w:shd w:val="clear" w:color="000000" w:fill="FFFFFF"/>
            <w:hideMark/>
          </w:tcPr>
          <w:p w14:paraId="7D7D4888" w14:textId="00308526" w:rsidR="0001256D" w:rsidRPr="00C20D37" w:rsidRDefault="0059460C" w:rsidP="00E9250B">
            <w:pPr>
              <w:jc w:val="center"/>
            </w:pPr>
            <w:r>
              <w:t>3.</w:t>
            </w:r>
          </w:p>
        </w:tc>
        <w:tc>
          <w:tcPr>
            <w:tcW w:w="2817" w:type="dxa"/>
            <w:hideMark/>
          </w:tcPr>
          <w:p w14:paraId="4A548C28" w14:textId="77777777" w:rsidR="0001256D" w:rsidRDefault="0001256D" w:rsidP="00E9250B">
            <w:pPr>
              <w:rPr>
                <w:i/>
                <w:iCs/>
              </w:rPr>
            </w:pPr>
            <w:r w:rsidRPr="00C20D37">
              <w:t>EBITDA marža, proc.</w:t>
            </w:r>
            <w:r w:rsidRPr="00C20D37">
              <w:br/>
            </w:r>
            <w:r w:rsidRPr="00C20D37">
              <w:rPr>
                <w:i/>
                <w:iCs/>
              </w:rPr>
              <w:t>(EBIT+Nusidėvėjimo ir amortizacijos sąnaudos)/</w:t>
            </w:r>
          </w:p>
          <w:p w14:paraId="2891B306" w14:textId="77777777" w:rsidR="0001256D" w:rsidRPr="00C20D37" w:rsidRDefault="0001256D" w:rsidP="00E9250B">
            <w:r w:rsidRPr="00C20D37">
              <w:rPr>
                <w:i/>
                <w:iCs/>
              </w:rPr>
              <w:t>(pardavimo pajamos) x 100</w:t>
            </w:r>
          </w:p>
        </w:tc>
        <w:tc>
          <w:tcPr>
            <w:tcW w:w="1276" w:type="dxa"/>
          </w:tcPr>
          <w:p w14:paraId="788DB482" w14:textId="77777777" w:rsidR="0001256D" w:rsidRPr="00C20D37" w:rsidRDefault="0001256D" w:rsidP="00E9250B">
            <w:pPr>
              <w:jc w:val="center"/>
            </w:pPr>
            <w:r>
              <w:t>76</w:t>
            </w:r>
          </w:p>
        </w:tc>
        <w:tc>
          <w:tcPr>
            <w:tcW w:w="1418" w:type="dxa"/>
            <w:shd w:val="clear" w:color="000000" w:fill="FFFFFF"/>
          </w:tcPr>
          <w:p w14:paraId="6F52DC6E" w14:textId="77777777" w:rsidR="0001256D" w:rsidRPr="00C20D37" w:rsidRDefault="0001256D" w:rsidP="00E9250B">
            <w:pPr>
              <w:jc w:val="center"/>
            </w:pPr>
            <w:r>
              <w:t>72,9</w:t>
            </w:r>
          </w:p>
        </w:tc>
        <w:tc>
          <w:tcPr>
            <w:tcW w:w="3402" w:type="dxa"/>
          </w:tcPr>
          <w:p w14:paraId="58DF55E1" w14:textId="2A4B6154" w:rsidR="0001256D" w:rsidRPr="00C20D37" w:rsidRDefault="0001256D" w:rsidP="00E9250B">
            <w:r w:rsidRPr="00A86FE4">
              <w:t xml:space="preserve">Įtakojo padidėję bendrosios ir administracinės sąnaudos </w:t>
            </w:r>
            <w:r>
              <w:t xml:space="preserve">– dėl </w:t>
            </w:r>
            <w:r w:rsidRPr="00ED13B3">
              <w:t>vadovų pasikeitim</w:t>
            </w:r>
            <w:r>
              <w:t>o</w:t>
            </w:r>
            <w:r w:rsidRPr="00ED13B3">
              <w:t xml:space="preserve"> ir išmokėt</w:t>
            </w:r>
            <w:r>
              <w:t>ų</w:t>
            </w:r>
            <w:r w:rsidRPr="00ED13B3">
              <w:t xml:space="preserve"> nepanaudotų atostogų kompensacij</w:t>
            </w:r>
            <w:r>
              <w:t>ų šiek tiek</w:t>
            </w:r>
            <w:r w:rsidRPr="00A86FE4">
              <w:t xml:space="preserve"> išaugo darbo užmokesčio sąnaudos</w:t>
            </w:r>
            <w:r>
              <w:t xml:space="preserve"> </w:t>
            </w:r>
          </w:p>
        </w:tc>
      </w:tr>
      <w:tr w:rsidR="0001256D" w:rsidRPr="00C20D37" w14:paraId="57D8EDF8" w14:textId="77777777" w:rsidTr="00E9250B">
        <w:trPr>
          <w:trHeight w:val="1275"/>
        </w:trPr>
        <w:tc>
          <w:tcPr>
            <w:tcW w:w="580" w:type="dxa"/>
            <w:shd w:val="clear" w:color="000000" w:fill="FFFFFF"/>
            <w:hideMark/>
          </w:tcPr>
          <w:p w14:paraId="7B604A65" w14:textId="4C1506F8" w:rsidR="0001256D" w:rsidRPr="00C20D37" w:rsidRDefault="0059460C" w:rsidP="00E9250B">
            <w:pPr>
              <w:jc w:val="center"/>
            </w:pPr>
            <w:r>
              <w:t>4.</w:t>
            </w:r>
          </w:p>
        </w:tc>
        <w:tc>
          <w:tcPr>
            <w:tcW w:w="2817" w:type="dxa"/>
            <w:hideMark/>
          </w:tcPr>
          <w:p w14:paraId="38130CD6" w14:textId="77777777" w:rsidR="0001256D" w:rsidRPr="00C20D37" w:rsidRDefault="0001256D" w:rsidP="00E9250B">
            <w:r w:rsidRPr="00C20D37">
              <w:t>Nuosavo kapitalo grąža, siekiant užtikrinti dividendų akcininkams mokėjimą, koef.</w:t>
            </w:r>
            <w:r w:rsidRPr="00C20D37">
              <w:br/>
            </w:r>
            <w:r w:rsidRPr="00C20D37">
              <w:rPr>
                <w:i/>
                <w:iCs/>
              </w:rPr>
              <w:t>(Grynasis pelnas (nuostoliai))/(Nuosavo kapitalo laikotarpio pradžioje ir pabaigoje vidurkis) × 100</w:t>
            </w:r>
          </w:p>
        </w:tc>
        <w:tc>
          <w:tcPr>
            <w:tcW w:w="1276" w:type="dxa"/>
          </w:tcPr>
          <w:p w14:paraId="4DE0493B" w14:textId="77777777" w:rsidR="0001256D" w:rsidRPr="00C20D37" w:rsidRDefault="0001256D" w:rsidP="00E9250B">
            <w:pPr>
              <w:jc w:val="center"/>
            </w:pPr>
            <w:r w:rsidRPr="00A86FE4">
              <w:t>&gt; 35</w:t>
            </w:r>
          </w:p>
        </w:tc>
        <w:tc>
          <w:tcPr>
            <w:tcW w:w="1418" w:type="dxa"/>
            <w:shd w:val="clear" w:color="000000" w:fill="FFFFFF"/>
          </w:tcPr>
          <w:p w14:paraId="30662DF5" w14:textId="77777777" w:rsidR="0001256D" w:rsidRPr="00C20D37" w:rsidRDefault="0001256D" w:rsidP="00E9250B">
            <w:pPr>
              <w:jc w:val="center"/>
            </w:pPr>
            <w:r>
              <w:t>38,77</w:t>
            </w:r>
          </w:p>
        </w:tc>
        <w:tc>
          <w:tcPr>
            <w:tcW w:w="3402" w:type="dxa"/>
            <w:noWrap/>
          </w:tcPr>
          <w:p w14:paraId="5AFDDB75" w14:textId="77777777" w:rsidR="0001256D" w:rsidRPr="00C20D37" w:rsidRDefault="0001256D" w:rsidP="00E9250B"/>
        </w:tc>
      </w:tr>
    </w:tbl>
    <w:p w14:paraId="382E3476" w14:textId="77777777" w:rsidR="0001256D" w:rsidRPr="00C20D37" w:rsidRDefault="0001256D" w:rsidP="009C6543"/>
    <w:p w14:paraId="5F9F65E3" w14:textId="77777777" w:rsidR="0001256D" w:rsidRPr="00C20D37" w:rsidRDefault="0001256D" w:rsidP="0001256D">
      <w:pPr>
        <w:jc w:val="center"/>
        <w:rPr>
          <w:b/>
          <w:bCs/>
        </w:rPr>
      </w:pPr>
      <w:r w:rsidRPr="00C20D37">
        <w:rPr>
          <w:b/>
          <w:bCs/>
        </w:rPr>
        <w:t>Kauno savivaldybės įmonės „Kapinių priežiūra“ 202</w:t>
      </w:r>
      <w:r>
        <w:rPr>
          <w:b/>
          <w:bCs/>
        </w:rPr>
        <w:t>5</w:t>
      </w:r>
      <w:r w:rsidRPr="00C20D37">
        <w:rPr>
          <w:b/>
          <w:bCs/>
        </w:rPr>
        <w:t xml:space="preserve"> metų finansinių ir nefinansinių lūkesčių vertinimo rodiklių vertinimas </w:t>
      </w:r>
    </w:p>
    <w:p w14:paraId="01149933" w14:textId="77777777" w:rsidR="0001256D" w:rsidRPr="00C20D37" w:rsidRDefault="0001256D" w:rsidP="0001256D"/>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827"/>
        <w:gridCol w:w="1209"/>
        <w:gridCol w:w="1418"/>
        <w:gridCol w:w="3402"/>
      </w:tblGrid>
      <w:tr w:rsidR="0001256D" w:rsidRPr="00C20D37" w14:paraId="47C10250" w14:textId="77777777" w:rsidTr="009C6543">
        <w:trPr>
          <w:trHeight w:val="1932"/>
          <w:tblHeader/>
        </w:trPr>
        <w:tc>
          <w:tcPr>
            <w:tcW w:w="637" w:type="dxa"/>
            <w:vAlign w:val="center"/>
            <w:hideMark/>
          </w:tcPr>
          <w:p w14:paraId="0E45E3F1" w14:textId="77777777" w:rsidR="0001256D" w:rsidRPr="00C20D37" w:rsidRDefault="0001256D" w:rsidP="00E9250B">
            <w:pPr>
              <w:jc w:val="center"/>
            </w:pPr>
            <w:r w:rsidRPr="00C20D37">
              <w:t>Eil. Nr.</w:t>
            </w:r>
          </w:p>
        </w:tc>
        <w:tc>
          <w:tcPr>
            <w:tcW w:w="2827" w:type="dxa"/>
            <w:vAlign w:val="center"/>
            <w:hideMark/>
          </w:tcPr>
          <w:p w14:paraId="2A4640B0" w14:textId="77777777" w:rsidR="0001256D" w:rsidRPr="00C20D37" w:rsidRDefault="0001256D" w:rsidP="00E9250B">
            <w:pPr>
              <w:jc w:val="center"/>
            </w:pPr>
            <w:r w:rsidRPr="00C20D37">
              <w:t>Rodiklis (pavadinimas, skaičiavimo būdas, mato vienetas)</w:t>
            </w:r>
          </w:p>
        </w:tc>
        <w:tc>
          <w:tcPr>
            <w:tcW w:w="1209" w:type="dxa"/>
            <w:vAlign w:val="center"/>
            <w:hideMark/>
          </w:tcPr>
          <w:p w14:paraId="642C5E63" w14:textId="77777777" w:rsidR="0001256D" w:rsidRPr="00C20D37" w:rsidRDefault="0001256D" w:rsidP="00E9250B">
            <w:pPr>
              <w:jc w:val="center"/>
            </w:pPr>
            <w:r w:rsidRPr="00C20D37">
              <w:t>202</w:t>
            </w:r>
            <w:r>
              <w:t>5</w:t>
            </w:r>
            <w:r w:rsidRPr="00C20D37">
              <w:t xml:space="preserve"> m. planuota rodiklio reikšmė</w:t>
            </w:r>
          </w:p>
        </w:tc>
        <w:tc>
          <w:tcPr>
            <w:tcW w:w="1418" w:type="dxa"/>
            <w:vAlign w:val="center"/>
            <w:hideMark/>
          </w:tcPr>
          <w:p w14:paraId="152DF83D" w14:textId="77777777" w:rsidR="0001256D" w:rsidRPr="00C20D37" w:rsidRDefault="0001256D" w:rsidP="00E9250B">
            <w:pPr>
              <w:jc w:val="center"/>
            </w:pPr>
            <w:r w:rsidRPr="00C20D37">
              <w:t>202</w:t>
            </w:r>
            <w:r>
              <w:t>5</w:t>
            </w:r>
            <w:r w:rsidRPr="00C20D37">
              <w:t xml:space="preserve"> m. pasiekta rodiklio reikšmė</w:t>
            </w:r>
          </w:p>
        </w:tc>
        <w:tc>
          <w:tcPr>
            <w:tcW w:w="3402" w:type="dxa"/>
            <w:vAlign w:val="center"/>
            <w:hideMark/>
          </w:tcPr>
          <w:p w14:paraId="1F98E61F" w14:textId="77777777" w:rsidR="0001256D" w:rsidRPr="00C20D37" w:rsidRDefault="0001256D" w:rsidP="00E9250B">
            <w:pPr>
              <w:jc w:val="center"/>
            </w:pPr>
            <w:r w:rsidRPr="00C20D37">
              <w:t>Informacija apie vykdymą</w:t>
            </w:r>
          </w:p>
        </w:tc>
      </w:tr>
      <w:tr w:rsidR="0001256D" w:rsidRPr="00C20D37" w14:paraId="73DE7808" w14:textId="77777777" w:rsidTr="00E9250B">
        <w:trPr>
          <w:trHeight w:val="495"/>
        </w:trPr>
        <w:tc>
          <w:tcPr>
            <w:tcW w:w="9493" w:type="dxa"/>
            <w:gridSpan w:val="5"/>
            <w:hideMark/>
          </w:tcPr>
          <w:p w14:paraId="528282BD" w14:textId="77777777" w:rsidR="0001256D" w:rsidRPr="00C20D37" w:rsidRDefault="0001256D" w:rsidP="00E9250B">
            <w:pPr>
              <w:rPr>
                <w:b/>
                <w:bCs/>
              </w:rPr>
            </w:pPr>
            <w:r w:rsidRPr="00C20D37">
              <w:rPr>
                <w:b/>
                <w:bCs/>
              </w:rPr>
              <w:t> Nefinansinių lūkesčių vertinimo rodikliai:</w:t>
            </w:r>
          </w:p>
        </w:tc>
      </w:tr>
      <w:tr w:rsidR="0001256D" w:rsidRPr="00C20D37" w14:paraId="714AAEE3" w14:textId="77777777" w:rsidTr="00E9250B">
        <w:trPr>
          <w:trHeight w:val="1080"/>
        </w:trPr>
        <w:tc>
          <w:tcPr>
            <w:tcW w:w="637" w:type="dxa"/>
            <w:hideMark/>
          </w:tcPr>
          <w:p w14:paraId="38AFAFE9" w14:textId="6572B589" w:rsidR="0001256D" w:rsidRPr="00C20D37" w:rsidRDefault="0001256D" w:rsidP="00E9250B">
            <w:pPr>
              <w:jc w:val="center"/>
            </w:pPr>
            <w:r>
              <w:t>1</w:t>
            </w:r>
            <w:r w:rsidR="0059460C">
              <w:t>.</w:t>
            </w:r>
          </w:p>
        </w:tc>
        <w:tc>
          <w:tcPr>
            <w:tcW w:w="2827" w:type="dxa"/>
            <w:shd w:val="clear" w:color="000000" w:fill="FFFFFF"/>
            <w:hideMark/>
          </w:tcPr>
          <w:p w14:paraId="46FC51CA" w14:textId="77777777" w:rsidR="0001256D" w:rsidRPr="00C20D37" w:rsidRDefault="0001256D" w:rsidP="00E9250B">
            <w:r w:rsidRPr="00C20D37">
              <w:t>Įmonės teikiamų paslaugų ir veiklų skaitmenizavimo lygis (skaitmenizuotų paslaugų skaičius nuo visų galimų skaitmenizuoti paslaugų), proc.</w:t>
            </w:r>
          </w:p>
        </w:tc>
        <w:tc>
          <w:tcPr>
            <w:tcW w:w="1209" w:type="dxa"/>
            <w:shd w:val="clear" w:color="000000" w:fill="FFFFFF"/>
          </w:tcPr>
          <w:p w14:paraId="58DA8B8C" w14:textId="77777777" w:rsidR="0001256D" w:rsidRPr="00C20D37" w:rsidRDefault="0001256D" w:rsidP="00E9250B">
            <w:pPr>
              <w:jc w:val="center"/>
            </w:pPr>
            <w:r>
              <w:t>40</w:t>
            </w:r>
          </w:p>
        </w:tc>
        <w:tc>
          <w:tcPr>
            <w:tcW w:w="1418" w:type="dxa"/>
          </w:tcPr>
          <w:p w14:paraId="5328598B" w14:textId="77777777" w:rsidR="0001256D" w:rsidRPr="00C20D37" w:rsidRDefault="0001256D" w:rsidP="00E9250B">
            <w:pPr>
              <w:jc w:val="center"/>
            </w:pPr>
            <w:r>
              <w:t>40</w:t>
            </w:r>
          </w:p>
        </w:tc>
        <w:tc>
          <w:tcPr>
            <w:tcW w:w="3402" w:type="dxa"/>
            <w:shd w:val="clear" w:color="000000" w:fill="FFFFFF"/>
          </w:tcPr>
          <w:p w14:paraId="4E00019C" w14:textId="28E1A44A" w:rsidR="0001256D" w:rsidRPr="00C20D37" w:rsidRDefault="0001256D" w:rsidP="00E9250B">
            <w:r w:rsidRPr="00CF0519">
              <w:t xml:space="preserve">Skaitmenizuotos paslaugos: leidimo kirsti, pašalinti, genėti saugotinus medžius ir krūmus išdavimas, už kapavietės ar kolumbariumo nišos priežiūrą </w:t>
            </w:r>
            <w:r w:rsidRPr="00CF0519">
              <w:lastRenderedPageBreak/>
              <w:t>atsakingo asmens pakeitimas, prašymas įmonei</w:t>
            </w:r>
          </w:p>
        </w:tc>
      </w:tr>
      <w:tr w:rsidR="0001256D" w:rsidRPr="00C20D37" w14:paraId="00D122F9" w14:textId="77777777" w:rsidTr="00E9250B">
        <w:trPr>
          <w:trHeight w:val="2130"/>
        </w:trPr>
        <w:tc>
          <w:tcPr>
            <w:tcW w:w="637" w:type="dxa"/>
            <w:hideMark/>
          </w:tcPr>
          <w:p w14:paraId="592425E9" w14:textId="0930E951" w:rsidR="0001256D" w:rsidRPr="00C20D37" w:rsidRDefault="0001256D" w:rsidP="00E9250B">
            <w:pPr>
              <w:jc w:val="center"/>
            </w:pPr>
            <w:r>
              <w:lastRenderedPageBreak/>
              <w:t>2</w:t>
            </w:r>
            <w:r w:rsidR="0059460C">
              <w:t>.</w:t>
            </w:r>
          </w:p>
        </w:tc>
        <w:tc>
          <w:tcPr>
            <w:tcW w:w="2827" w:type="dxa"/>
            <w:shd w:val="clear" w:color="000000" w:fill="FFFFFF"/>
            <w:hideMark/>
          </w:tcPr>
          <w:p w14:paraId="5ACF47C4" w14:textId="77777777" w:rsidR="0001256D" w:rsidRPr="00C20D37" w:rsidRDefault="0001256D" w:rsidP="00E9250B">
            <w:r w:rsidRPr="00C20D37">
              <w:t>Kapinių žemės sklypų efektyvaus panaudojimo rodiklis (skirtų mažesnių kapaviečių skaičius nuo visų naujai skirtų kapaviečių), proc.</w:t>
            </w:r>
          </w:p>
        </w:tc>
        <w:tc>
          <w:tcPr>
            <w:tcW w:w="1209" w:type="dxa"/>
            <w:shd w:val="clear" w:color="000000" w:fill="FFFFFF"/>
          </w:tcPr>
          <w:p w14:paraId="5D010829" w14:textId="77777777" w:rsidR="0001256D" w:rsidRPr="00C20D37" w:rsidRDefault="0001256D" w:rsidP="00E9250B">
            <w:pPr>
              <w:jc w:val="center"/>
            </w:pPr>
            <w:r>
              <w:t>12</w:t>
            </w:r>
          </w:p>
        </w:tc>
        <w:tc>
          <w:tcPr>
            <w:tcW w:w="1418" w:type="dxa"/>
          </w:tcPr>
          <w:p w14:paraId="0BA3048F" w14:textId="77777777" w:rsidR="0001256D" w:rsidRPr="00C20D37" w:rsidRDefault="0001256D" w:rsidP="00E9250B">
            <w:pPr>
              <w:jc w:val="center"/>
            </w:pPr>
            <w:r>
              <w:t>14,60</w:t>
            </w:r>
          </w:p>
        </w:tc>
        <w:tc>
          <w:tcPr>
            <w:tcW w:w="3402" w:type="dxa"/>
            <w:shd w:val="clear" w:color="000000" w:fill="FFFFFF"/>
          </w:tcPr>
          <w:p w14:paraId="6087D607" w14:textId="77777777" w:rsidR="009C6543" w:rsidRDefault="0001256D" w:rsidP="00E9250B">
            <w:r w:rsidRPr="00E66271">
              <w:t xml:space="preserve">Per 2025 m. Kauno m. viešosiose kapinėse buvo suformuota 116 naujų kapaviečių urnoms, iš jų </w:t>
            </w:r>
          </w:p>
          <w:p w14:paraId="07F29880" w14:textId="3BCDC83E" w:rsidR="0001256D" w:rsidRPr="00C20D37" w:rsidRDefault="0001256D" w:rsidP="00E9250B">
            <w:r w:rsidRPr="00E66271">
              <w:t>17 suformuotos mažesniųjų kapaviečių kvartale</w:t>
            </w:r>
          </w:p>
        </w:tc>
      </w:tr>
      <w:tr w:rsidR="0001256D" w:rsidRPr="00C20D37" w14:paraId="0D2A53A0" w14:textId="77777777" w:rsidTr="00E9250B">
        <w:trPr>
          <w:trHeight w:val="1305"/>
        </w:trPr>
        <w:tc>
          <w:tcPr>
            <w:tcW w:w="637" w:type="dxa"/>
            <w:hideMark/>
          </w:tcPr>
          <w:p w14:paraId="72374DF8" w14:textId="225F2E67" w:rsidR="0001256D" w:rsidRPr="00C20D37" w:rsidRDefault="0001256D" w:rsidP="00E9250B">
            <w:pPr>
              <w:jc w:val="center"/>
            </w:pPr>
            <w:r>
              <w:t>3</w:t>
            </w:r>
            <w:r w:rsidR="0059460C">
              <w:t>.</w:t>
            </w:r>
          </w:p>
        </w:tc>
        <w:tc>
          <w:tcPr>
            <w:tcW w:w="2827" w:type="dxa"/>
            <w:shd w:val="clear" w:color="000000" w:fill="FFFFFF"/>
            <w:hideMark/>
          </w:tcPr>
          <w:p w14:paraId="6BD6EA7C" w14:textId="77777777" w:rsidR="0001256D" w:rsidRDefault="0001256D" w:rsidP="00E9250B">
            <w:r w:rsidRPr="00C20D37">
              <w:t>Kapinių, kuriose numatytas efektyvus atliekų rūšiavimas, skaičius, vnt.</w:t>
            </w:r>
          </w:p>
          <w:p w14:paraId="4EB7270B" w14:textId="54C02EF9" w:rsidR="009C6543" w:rsidRPr="00C20D37" w:rsidRDefault="009C6543" w:rsidP="00E9250B"/>
        </w:tc>
        <w:tc>
          <w:tcPr>
            <w:tcW w:w="1209" w:type="dxa"/>
            <w:shd w:val="clear" w:color="000000" w:fill="FFFFFF"/>
          </w:tcPr>
          <w:p w14:paraId="6361B16D" w14:textId="77777777" w:rsidR="0001256D" w:rsidRPr="00C20D37" w:rsidRDefault="0001256D" w:rsidP="00E9250B">
            <w:pPr>
              <w:jc w:val="center"/>
            </w:pPr>
            <w:r>
              <w:t>3</w:t>
            </w:r>
          </w:p>
        </w:tc>
        <w:tc>
          <w:tcPr>
            <w:tcW w:w="1418" w:type="dxa"/>
          </w:tcPr>
          <w:p w14:paraId="35E09A09" w14:textId="77777777" w:rsidR="0001256D" w:rsidRPr="00C20D37" w:rsidRDefault="0001256D" w:rsidP="00E9250B">
            <w:pPr>
              <w:jc w:val="center"/>
            </w:pPr>
            <w:r>
              <w:t>3</w:t>
            </w:r>
          </w:p>
        </w:tc>
        <w:tc>
          <w:tcPr>
            <w:tcW w:w="3402" w:type="dxa"/>
          </w:tcPr>
          <w:p w14:paraId="04821348" w14:textId="0A9ECB8E" w:rsidR="0001256D" w:rsidRPr="00C20D37" w:rsidRDefault="0001256D" w:rsidP="00E9250B">
            <w:r w:rsidRPr="002D43C1">
              <w:t>Efektyvus atliekų rūšiavimas vykdomas Eigulių, Petrašiūnų ir Panemunės viešosiose kapinėse</w:t>
            </w:r>
          </w:p>
        </w:tc>
      </w:tr>
      <w:tr w:rsidR="0001256D" w:rsidRPr="00C20D37" w14:paraId="6ED744E3" w14:textId="77777777" w:rsidTr="00E9250B">
        <w:trPr>
          <w:trHeight w:val="360"/>
        </w:trPr>
        <w:tc>
          <w:tcPr>
            <w:tcW w:w="9493" w:type="dxa"/>
            <w:gridSpan w:val="5"/>
            <w:hideMark/>
          </w:tcPr>
          <w:p w14:paraId="2BD6E9E2" w14:textId="77777777" w:rsidR="0001256D" w:rsidRPr="00C20D37" w:rsidRDefault="0001256D" w:rsidP="00E9250B">
            <w:r w:rsidRPr="00C20D37">
              <w:rPr>
                <w:b/>
                <w:bCs/>
              </w:rPr>
              <w:t>Finansinių lūkesčių vertinimo rodikliai:</w:t>
            </w:r>
            <w:r w:rsidRPr="00C20D37">
              <w:t> </w:t>
            </w:r>
          </w:p>
        </w:tc>
      </w:tr>
      <w:tr w:rsidR="0001256D" w:rsidRPr="00C20D37" w14:paraId="012FD193" w14:textId="77777777" w:rsidTr="00E9250B">
        <w:trPr>
          <w:trHeight w:val="657"/>
        </w:trPr>
        <w:tc>
          <w:tcPr>
            <w:tcW w:w="637" w:type="dxa"/>
            <w:shd w:val="clear" w:color="000000" w:fill="FFFFFF"/>
            <w:hideMark/>
          </w:tcPr>
          <w:p w14:paraId="537AA4BC" w14:textId="258AE30D" w:rsidR="0001256D" w:rsidRPr="00C20D37" w:rsidRDefault="0059460C" w:rsidP="00E9250B">
            <w:pPr>
              <w:jc w:val="center"/>
            </w:pPr>
            <w:r>
              <w:t>4.</w:t>
            </w:r>
          </w:p>
        </w:tc>
        <w:tc>
          <w:tcPr>
            <w:tcW w:w="2827" w:type="dxa"/>
            <w:hideMark/>
          </w:tcPr>
          <w:p w14:paraId="230EAC45" w14:textId="77777777" w:rsidR="0001256D" w:rsidRPr="00C20D37" w:rsidRDefault="0001256D" w:rsidP="00E9250B">
            <w:pPr>
              <w:spacing w:after="240"/>
            </w:pPr>
            <w:r w:rsidRPr="00C20D37">
              <w:t>EBITDA marža, proc.</w:t>
            </w:r>
            <w:r w:rsidRPr="00C20D37">
              <w:br/>
            </w:r>
            <w:r w:rsidRPr="00C20D37">
              <w:rPr>
                <w:i/>
                <w:iCs/>
              </w:rPr>
              <w:t xml:space="preserve">(EBIT+Nusidėvėjimo ir amortizacijos sąnaudos)/ </w:t>
            </w:r>
            <w:r>
              <w:rPr>
                <w:i/>
                <w:iCs/>
              </w:rPr>
              <w:t>(</w:t>
            </w:r>
            <w:r w:rsidRPr="00C20D37">
              <w:rPr>
                <w:i/>
                <w:iCs/>
              </w:rPr>
              <w:t>pardavimo pajamos) x 100</w:t>
            </w:r>
          </w:p>
        </w:tc>
        <w:tc>
          <w:tcPr>
            <w:tcW w:w="1209" w:type="dxa"/>
            <w:shd w:val="clear" w:color="000000" w:fill="FFFFFF"/>
          </w:tcPr>
          <w:p w14:paraId="04F3A318" w14:textId="77777777" w:rsidR="0001256D" w:rsidRPr="00C20D37" w:rsidRDefault="0001256D" w:rsidP="00E9250B">
            <w:pPr>
              <w:jc w:val="center"/>
            </w:pPr>
            <w:r w:rsidRPr="00914118">
              <w:t>&gt; 12</w:t>
            </w:r>
          </w:p>
        </w:tc>
        <w:tc>
          <w:tcPr>
            <w:tcW w:w="1418" w:type="dxa"/>
            <w:shd w:val="clear" w:color="000000" w:fill="FFFFFF"/>
          </w:tcPr>
          <w:p w14:paraId="11C482E6" w14:textId="77777777" w:rsidR="0001256D" w:rsidRPr="00C20D37" w:rsidRDefault="0001256D" w:rsidP="00E9250B">
            <w:pPr>
              <w:jc w:val="center"/>
            </w:pPr>
            <w:r w:rsidRPr="009A1C34">
              <w:t>12,63</w:t>
            </w:r>
          </w:p>
        </w:tc>
        <w:tc>
          <w:tcPr>
            <w:tcW w:w="3402" w:type="dxa"/>
            <w:noWrap/>
            <w:hideMark/>
          </w:tcPr>
          <w:p w14:paraId="3ADE675B" w14:textId="77777777" w:rsidR="0001256D" w:rsidRPr="00C20D37" w:rsidRDefault="0001256D" w:rsidP="00E9250B">
            <w:r w:rsidRPr="00C20D37">
              <w:t> </w:t>
            </w:r>
          </w:p>
        </w:tc>
      </w:tr>
      <w:tr w:rsidR="0001256D" w:rsidRPr="00C20D37" w14:paraId="5BF9DD3A" w14:textId="77777777" w:rsidTr="00E9250B">
        <w:trPr>
          <w:trHeight w:val="1410"/>
        </w:trPr>
        <w:tc>
          <w:tcPr>
            <w:tcW w:w="637" w:type="dxa"/>
            <w:shd w:val="clear" w:color="000000" w:fill="FFFFFF"/>
            <w:hideMark/>
          </w:tcPr>
          <w:p w14:paraId="22879AC5" w14:textId="535BDC6C" w:rsidR="0001256D" w:rsidRPr="00C20D37" w:rsidRDefault="0059460C" w:rsidP="00E9250B">
            <w:pPr>
              <w:jc w:val="center"/>
            </w:pPr>
            <w:r>
              <w:t>5.</w:t>
            </w:r>
          </w:p>
        </w:tc>
        <w:tc>
          <w:tcPr>
            <w:tcW w:w="2827" w:type="dxa"/>
            <w:hideMark/>
          </w:tcPr>
          <w:p w14:paraId="47492B0B" w14:textId="77777777" w:rsidR="0001256D" w:rsidRDefault="0001256D" w:rsidP="00E9250B">
            <w:pPr>
              <w:rPr>
                <w:i/>
                <w:iCs/>
              </w:rPr>
            </w:pPr>
            <w:r w:rsidRPr="00C20D37">
              <w:t>Ilgalaikių skolų ir nuosavybės rodiklis, koef.</w:t>
            </w:r>
            <w:r w:rsidRPr="00C20D37">
              <w:br/>
            </w:r>
            <w:r w:rsidRPr="00C20D37">
              <w:rPr>
                <w:i/>
                <w:iCs/>
              </w:rPr>
              <w:t>(Po vienerių metų mokėtinos sumos ir kiti ilgalaikiai įsipareigojimai)/</w:t>
            </w:r>
          </w:p>
          <w:p w14:paraId="2F36E479" w14:textId="2B84BD90" w:rsidR="0001256D" w:rsidRDefault="0001256D" w:rsidP="00E9250B">
            <w:pPr>
              <w:rPr>
                <w:i/>
                <w:iCs/>
              </w:rPr>
            </w:pPr>
            <w:r w:rsidRPr="00C20D37">
              <w:rPr>
                <w:i/>
                <w:iCs/>
              </w:rPr>
              <w:t>(Nuosavas kapitalas)</w:t>
            </w:r>
            <w:r w:rsidR="009C6543">
              <w:rPr>
                <w:i/>
                <w:iCs/>
              </w:rPr>
              <w:t xml:space="preserve"> </w:t>
            </w:r>
          </w:p>
          <w:p w14:paraId="5D05222B" w14:textId="1D646301" w:rsidR="009C6543" w:rsidRPr="00C20D37" w:rsidRDefault="009C6543" w:rsidP="00E9250B"/>
        </w:tc>
        <w:tc>
          <w:tcPr>
            <w:tcW w:w="1209" w:type="dxa"/>
            <w:shd w:val="clear" w:color="000000" w:fill="FFFFFF"/>
          </w:tcPr>
          <w:p w14:paraId="28FCB3A0" w14:textId="77777777" w:rsidR="0001256D" w:rsidRPr="00C20D37" w:rsidRDefault="0001256D" w:rsidP="00E9250B">
            <w:pPr>
              <w:jc w:val="center"/>
            </w:pPr>
            <w:r w:rsidRPr="00914118">
              <w:t>&lt; 0,5</w:t>
            </w:r>
          </w:p>
        </w:tc>
        <w:tc>
          <w:tcPr>
            <w:tcW w:w="1418" w:type="dxa"/>
            <w:shd w:val="clear" w:color="000000" w:fill="FFFFFF"/>
          </w:tcPr>
          <w:p w14:paraId="0183B91A" w14:textId="77777777" w:rsidR="0001256D" w:rsidRPr="00C20D37" w:rsidRDefault="0001256D" w:rsidP="00E9250B">
            <w:pPr>
              <w:jc w:val="center"/>
            </w:pPr>
            <w:r>
              <w:t>0</w:t>
            </w:r>
          </w:p>
        </w:tc>
        <w:tc>
          <w:tcPr>
            <w:tcW w:w="3402" w:type="dxa"/>
            <w:noWrap/>
            <w:hideMark/>
          </w:tcPr>
          <w:p w14:paraId="3560C1DC" w14:textId="77777777" w:rsidR="0001256D" w:rsidRPr="00C20D37" w:rsidRDefault="0001256D" w:rsidP="00E9250B">
            <w:r w:rsidRPr="00C20D37">
              <w:t> </w:t>
            </w:r>
          </w:p>
        </w:tc>
      </w:tr>
      <w:tr w:rsidR="0001256D" w:rsidRPr="00C20D37" w14:paraId="0D91D79A" w14:textId="77777777" w:rsidTr="00E9250B">
        <w:trPr>
          <w:trHeight w:val="1440"/>
        </w:trPr>
        <w:tc>
          <w:tcPr>
            <w:tcW w:w="637" w:type="dxa"/>
            <w:shd w:val="clear" w:color="000000" w:fill="FFFFFF"/>
            <w:hideMark/>
          </w:tcPr>
          <w:p w14:paraId="1BA8EA47" w14:textId="510035E5" w:rsidR="0001256D" w:rsidRPr="00C20D37" w:rsidRDefault="0059460C" w:rsidP="00E9250B">
            <w:pPr>
              <w:jc w:val="center"/>
            </w:pPr>
            <w:r>
              <w:t>6.</w:t>
            </w:r>
          </w:p>
        </w:tc>
        <w:tc>
          <w:tcPr>
            <w:tcW w:w="2827" w:type="dxa"/>
            <w:hideMark/>
          </w:tcPr>
          <w:p w14:paraId="2ABF3052" w14:textId="5B3DC308" w:rsidR="0001256D" w:rsidRDefault="0001256D" w:rsidP="00E9250B">
            <w:pPr>
              <w:rPr>
                <w:i/>
                <w:iCs/>
              </w:rPr>
            </w:pPr>
            <w:r w:rsidRPr="00C20D37">
              <w:t>Nuosavo kapitalo pelningumas, siekiant užtikrinti pelno įmokos savininkui mokėjimą, proc.</w:t>
            </w:r>
            <w:r w:rsidRPr="00C20D37">
              <w:br/>
            </w:r>
            <w:r w:rsidRPr="00C20D37">
              <w:rPr>
                <w:i/>
                <w:iCs/>
              </w:rPr>
              <w:t>(Grynasis pelnas (nuostoliai)/(Nuosavo kapitalo laikotarpio pradžioje ir pabaigoje vidurkis) × 100</w:t>
            </w:r>
            <w:r w:rsidR="009C6543">
              <w:rPr>
                <w:i/>
                <w:iCs/>
              </w:rPr>
              <w:t xml:space="preserve"> </w:t>
            </w:r>
          </w:p>
          <w:p w14:paraId="3A306CAD" w14:textId="59764EF0" w:rsidR="009C6543" w:rsidRPr="00C20D37" w:rsidRDefault="009C6543" w:rsidP="00E9250B"/>
        </w:tc>
        <w:tc>
          <w:tcPr>
            <w:tcW w:w="1209" w:type="dxa"/>
            <w:shd w:val="clear" w:color="000000" w:fill="FFFFFF"/>
          </w:tcPr>
          <w:p w14:paraId="6EC5FC3E" w14:textId="77777777" w:rsidR="0001256D" w:rsidRPr="00C20D37" w:rsidRDefault="0001256D" w:rsidP="00E9250B">
            <w:pPr>
              <w:jc w:val="center"/>
            </w:pPr>
            <w:r w:rsidRPr="00914118">
              <w:t>&gt; 12</w:t>
            </w:r>
          </w:p>
        </w:tc>
        <w:tc>
          <w:tcPr>
            <w:tcW w:w="1418" w:type="dxa"/>
            <w:shd w:val="clear" w:color="000000" w:fill="FFFFFF"/>
          </w:tcPr>
          <w:p w14:paraId="3C6AB6BB" w14:textId="77777777" w:rsidR="0001256D" w:rsidRPr="00C20D37" w:rsidRDefault="0001256D" w:rsidP="00E9250B">
            <w:pPr>
              <w:jc w:val="center"/>
            </w:pPr>
            <w:r>
              <w:t>17,12</w:t>
            </w:r>
          </w:p>
        </w:tc>
        <w:tc>
          <w:tcPr>
            <w:tcW w:w="3402" w:type="dxa"/>
            <w:noWrap/>
            <w:hideMark/>
          </w:tcPr>
          <w:p w14:paraId="64F10676" w14:textId="77777777" w:rsidR="0001256D" w:rsidRPr="00C20D37" w:rsidRDefault="0001256D" w:rsidP="00E9250B">
            <w:r w:rsidRPr="00C20D37">
              <w:t> </w:t>
            </w:r>
          </w:p>
        </w:tc>
      </w:tr>
      <w:tr w:rsidR="0001256D" w:rsidRPr="00C20D37" w14:paraId="7F32A7E8" w14:textId="77777777" w:rsidTr="00E9250B">
        <w:trPr>
          <w:trHeight w:val="1095"/>
        </w:trPr>
        <w:tc>
          <w:tcPr>
            <w:tcW w:w="637" w:type="dxa"/>
            <w:shd w:val="clear" w:color="000000" w:fill="FFFFFF"/>
            <w:hideMark/>
          </w:tcPr>
          <w:p w14:paraId="2F08F6A7" w14:textId="47316005" w:rsidR="0001256D" w:rsidRPr="00C20D37" w:rsidRDefault="0059460C" w:rsidP="00E9250B">
            <w:pPr>
              <w:jc w:val="center"/>
            </w:pPr>
            <w:r>
              <w:t>7.</w:t>
            </w:r>
          </w:p>
        </w:tc>
        <w:tc>
          <w:tcPr>
            <w:tcW w:w="2827" w:type="dxa"/>
            <w:hideMark/>
          </w:tcPr>
          <w:p w14:paraId="6C2E7B86" w14:textId="77777777" w:rsidR="009C6543" w:rsidRDefault="0001256D" w:rsidP="00E9250B">
            <w:r w:rsidRPr="00C20D37">
              <w:t>Veiklos sąnaudų lygis, proc.</w:t>
            </w:r>
            <w:r w:rsidR="009C6543">
              <w:t xml:space="preserve"> </w:t>
            </w:r>
          </w:p>
          <w:p w14:paraId="05EB37FE" w14:textId="0F0FCCBF" w:rsidR="0001256D" w:rsidRDefault="0001256D" w:rsidP="00E9250B">
            <w:pPr>
              <w:rPr>
                <w:i/>
                <w:iCs/>
              </w:rPr>
            </w:pPr>
            <w:r w:rsidRPr="00C20D37">
              <w:rPr>
                <w:i/>
                <w:iCs/>
              </w:rPr>
              <w:t>(Veiklos sąnaudos (Pardavimo sąn</w:t>
            </w:r>
            <w:r>
              <w:rPr>
                <w:i/>
                <w:iCs/>
              </w:rPr>
              <w:t>audos</w:t>
            </w:r>
            <w:r w:rsidRPr="00C20D37">
              <w:rPr>
                <w:i/>
                <w:iCs/>
              </w:rPr>
              <w:t>+</w:t>
            </w:r>
          </w:p>
          <w:p w14:paraId="4523D212" w14:textId="453238AD" w:rsidR="0001256D" w:rsidRDefault="0001256D" w:rsidP="00E9250B">
            <w:pPr>
              <w:rPr>
                <w:i/>
                <w:iCs/>
              </w:rPr>
            </w:pPr>
            <w:r w:rsidRPr="00C20D37">
              <w:rPr>
                <w:i/>
                <w:iCs/>
              </w:rPr>
              <w:lastRenderedPageBreak/>
              <w:t>Bendrosios ir administracinės sąn</w:t>
            </w:r>
            <w:r>
              <w:rPr>
                <w:i/>
                <w:iCs/>
              </w:rPr>
              <w:t>audos</w:t>
            </w:r>
            <w:r w:rsidRPr="00C20D37">
              <w:rPr>
                <w:i/>
                <w:iCs/>
              </w:rPr>
              <w:t>))/(Pardavimo pajamos)</w:t>
            </w:r>
            <w:r w:rsidR="009C6543">
              <w:rPr>
                <w:i/>
                <w:iCs/>
              </w:rPr>
              <w:t xml:space="preserve"> </w:t>
            </w:r>
          </w:p>
          <w:p w14:paraId="2BCFBE27" w14:textId="743F8D7C" w:rsidR="009C6543" w:rsidRPr="00C20D37" w:rsidRDefault="009C6543" w:rsidP="00E9250B"/>
        </w:tc>
        <w:tc>
          <w:tcPr>
            <w:tcW w:w="1209" w:type="dxa"/>
            <w:shd w:val="clear" w:color="000000" w:fill="FFFFFF"/>
          </w:tcPr>
          <w:p w14:paraId="5BBE9E75" w14:textId="77777777" w:rsidR="0001256D" w:rsidRPr="00C20D37" w:rsidRDefault="0001256D" w:rsidP="00E9250B">
            <w:pPr>
              <w:jc w:val="center"/>
            </w:pPr>
            <w:r w:rsidRPr="00914118">
              <w:lastRenderedPageBreak/>
              <w:t>28,7</w:t>
            </w:r>
          </w:p>
        </w:tc>
        <w:tc>
          <w:tcPr>
            <w:tcW w:w="1418" w:type="dxa"/>
            <w:shd w:val="clear" w:color="000000" w:fill="FFFFFF"/>
          </w:tcPr>
          <w:p w14:paraId="3AD1C280" w14:textId="77777777" w:rsidR="0001256D" w:rsidRPr="00C20D37" w:rsidRDefault="0001256D" w:rsidP="00E9250B">
            <w:pPr>
              <w:jc w:val="center"/>
            </w:pPr>
            <w:r>
              <w:t>32,17</w:t>
            </w:r>
          </w:p>
        </w:tc>
        <w:tc>
          <w:tcPr>
            <w:tcW w:w="3402" w:type="dxa"/>
            <w:hideMark/>
          </w:tcPr>
          <w:p w14:paraId="1C1F73BB" w14:textId="1861FA24" w:rsidR="0001256D" w:rsidRPr="005A1AC5" w:rsidRDefault="0001256D" w:rsidP="00E9250B">
            <w:r w:rsidRPr="005A1AC5">
              <w:t>Rodiklis neįvykdytas dėl 2025 m. įvykusio šio pajamų ir sąnaudų pokyčio:</w:t>
            </w:r>
            <w:r w:rsidR="009C6543">
              <w:t xml:space="preserve"> </w:t>
            </w:r>
          </w:p>
          <w:p w14:paraId="7DA78E7E" w14:textId="7FD28D4F" w:rsidR="0001256D" w:rsidRPr="005A1AC5" w:rsidRDefault="0001256D" w:rsidP="00E9250B">
            <w:r w:rsidRPr="005A1AC5">
              <w:t xml:space="preserve">Pajamos. Įmonė negavo suplanuotų pajamų, nes </w:t>
            </w:r>
            <w:r w:rsidRPr="005A1AC5">
              <w:lastRenderedPageBreak/>
              <w:t>paslaugų įkainiai buvo pakelti tik nuo rugsėjo mėnesio, todėl padidinti tarifai neturėjo reikšmingos įtakos metiniam pajamų lygiui</w:t>
            </w:r>
            <w:r w:rsidR="009C6543">
              <w:t xml:space="preserve"> </w:t>
            </w:r>
          </w:p>
          <w:p w14:paraId="00289D4F" w14:textId="685C98EF" w:rsidR="0001256D" w:rsidRDefault="0001256D" w:rsidP="00E9250B">
            <w:r w:rsidRPr="005A1AC5">
              <w:t>Sąnaudos. 2025 m., siekiant išlaikyti kvalifikuotą darbo jėgą, buvo padidinti administracijos darbuotojų atlyginimai, kas lėmė veiklos sąnaudų augimą. Dėl darbuotojų kaitos įmonės administracijoje buvo patirtos nenumatytos kompensacijų išmokos. Be to, dalis administracinių išlaidų didėjo dėl bendro kainų augimo, pavyzdžiui, patalpų nuomos kaštų padidėjimo. Įmonė taip pat patyrė nenumatytas ilgalaikio turto remonto išlaidas, kurios nepagerino turto naudingųjų savybių, tačiau buvo būtinos siekiant užtikrinti tolesnę saugią turto eksploataciją</w:t>
            </w:r>
            <w:r w:rsidR="009C6543">
              <w:t xml:space="preserve"> </w:t>
            </w:r>
          </w:p>
          <w:p w14:paraId="4363F9E4" w14:textId="77777777" w:rsidR="009C6543" w:rsidRDefault="009C6543" w:rsidP="00E9250B"/>
          <w:p w14:paraId="20127581" w14:textId="7A2F359C" w:rsidR="009C6543" w:rsidRPr="00C20D37" w:rsidRDefault="009C6543" w:rsidP="00E9250B"/>
        </w:tc>
      </w:tr>
      <w:tr w:rsidR="0001256D" w:rsidRPr="00C20D37" w14:paraId="34580963" w14:textId="77777777" w:rsidTr="00E9250B">
        <w:trPr>
          <w:trHeight w:val="765"/>
        </w:trPr>
        <w:tc>
          <w:tcPr>
            <w:tcW w:w="637" w:type="dxa"/>
            <w:shd w:val="clear" w:color="000000" w:fill="FFFFFF"/>
            <w:hideMark/>
          </w:tcPr>
          <w:p w14:paraId="55606B83" w14:textId="5C12438C" w:rsidR="0001256D" w:rsidRPr="00C20D37" w:rsidRDefault="0059460C" w:rsidP="00E9250B">
            <w:pPr>
              <w:jc w:val="center"/>
            </w:pPr>
            <w:r>
              <w:lastRenderedPageBreak/>
              <w:t>8.</w:t>
            </w:r>
          </w:p>
        </w:tc>
        <w:tc>
          <w:tcPr>
            <w:tcW w:w="2827" w:type="dxa"/>
            <w:shd w:val="clear" w:color="000000" w:fill="FFFFFF"/>
            <w:hideMark/>
          </w:tcPr>
          <w:p w14:paraId="6F0960B8" w14:textId="77777777" w:rsidR="0001256D" w:rsidRDefault="0001256D" w:rsidP="00E9250B">
            <w:pPr>
              <w:rPr>
                <w:i/>
                <w:iCs/>
              </w:rPr>
            </w:pPr>
            <w:r w:rsidRPr="00C20D37">
              <w:t>Pardavimų savikainos lygis, proc.</w:t>
            </w:r>
            <w:r w:rsidRPr="00C20D37">
              <w:br/>
            </w:r>
            <w:r w:rsidRPr="00C20D37">
              <w:rPr>
                <w:i/>
                <w:iCs/>
              </w:rPr>
              <w:t>(Pardavimo savikaina )/</w:t>
            </w:r>
          </w:p>
          <w:p w14:paraId="74732CD6" w14:textId="77777777" w:rsidR="0001256D" w:rsidRDefault="0001256D" w:rsidP="00E9250B">
            <w:pPr>
              <w:rPr>
                <w:i/>
                <w:iCs/>
              </w:rPr>
            </w:pPr>
            <w:r w:rsidRPr="00C20D37">
              <w:rPr>
                <w:i/>
                <w:iCs/>
              </w:rPr>
              <w:t>(Pardavimo pajamos) x 100</w:t>
            </w:r>
          </w:p>
          <w:p w14:paraId="55D074C5" w14:textId="1F5AAB87" w:rsidR="009C6543" w:rsidRPr="00C20D37" w:rsidRDefault="009C6543" w:rsidP="00E9250B"/>
        </w:tc>
        <w:tc>
          <w:tcPr>
            <w:tcW w:w="1209" w:type="dxa"/>
            <w:shd w:val="clear" w:color="000000" w:fill="FFFFFF"/>
          </w:tcPr>
          <w:p w14:paraId="391C8235" w14:textId="77777777" w:rsidR="0001256D" w:rsidRPr="00C20D37" w:rsidRDefault="0001256D" w:rsidP="00E9250B">
            <w:pPr>
              <w:jc w:val="center"/>
            </w:pPr>
            <w:r w:rsidRPr="00914118">
              <w:t>&lt; 60</w:t>
            </w:r>
          </w:p>
        </w:tc>
        <w:tc>
          <w:tcPr>
            <w:tcW w:w="1418" w:type="dxa"/>
            <w:shd w:val="clear" w:color="000000" w:fill="FFFFFF"/>
          </w:tcPr>
          <w:p w14:paraId="15BC0086" w14:textId="77777777" w:rsidR="0001256D" w:rsidRPr="00C20D37" w:rsidRDefault="0001256D" w:rsidP="00E9250B">
            <w:pPr>
              <w:jc w:val="center"/>
            </w:pPr>
            <w:r>
              <w:t>57,04</w:t>
            </w:r>
          </w:p>
        </w:tc>
        <w:tc>
          <w:tcPr>
            <w:tcW w:w="3402" w:type="dxa"/>
            <w:noWrap/>
            <w:hideMark/>
          </w:tcPr>
          <w:p w14:paraId="686CE347" w14:textId="77777777" w:rsidR="0001256D" w:rsidRPr="00C20D37" w:rsidRDefault="0001256D" w:rsidP="00E9250B">
            <w:r w:rsidRPr="00C20D37">
              <w:t> </w:t>
            </w:r>
          </w:p>
        </w:tc>
      </w:tr>
    </w:tbl>
    <w:p w14:paraId="306CF8B4" w14:textId="066E0A59" w:rsidR="0001256D" w:rsidRDefault="0001256D" w:rsidP="009C6543">
      <w:pPr>
        <w:rPr>
          <w:bCs/>
        </w:rPr>
      </w:pPr>
    </w:p>
    <w:p w14:paraId="468FB386" w14:textId="43E06F96" w:rsidR="009C6543" w:rsidRDefault="009C6543" w:rsidP="009C6543">
      <w:pPr>
        <w:rPr>
          <w:bCs/>
        </w:rPr>
      </w:pPr>
    </w:p>
    <w:p w14:paraId="39C0DC79" w14:textId="77777777" w:rsidR="009C6543" w:rsidRDefault="009C6543" w:rsidP="009C6543">
      <w:pPr>
        <w:rPr>
          <w:bCs/>
        </w:rPr>
      </w:pPr>
    </w:p>
    <w:p w14:paraId="79B1AC57" w14:textId="77777777" w:rsidR="004265FC" w:rsidRPr="009C6543" w:rsidRDefault="004265FC" w:rsidP="009C6543">
      <w:pPr>
        <w:rPr>
          <w:bCs/>
        </w:rPr>
      </w:pPr>
    </w:p>
    <w:p w14:paraId="5F8DCDC8" w14:textId="77777777" w:rsidR="0001256D" w:rsidRPr="005639EE" w:rsidRDefault="0001256D" w:rsidP="0001256D">
      <w:pPr>
        <w:jc w:val="center"/>
        <w:rPr>
          <w:b/>
          <w:bCs/>
        </w:rPr>
      </w:pPr>
      <w:r w:rsidRPr="005639EE">
        <w:rPr>
          <w:b/>
          <w:bCs/>
        </w:rPr>
        <w:t>XII SKYRIUS</w:t>
      </w:r>
    </w:p>
    <w:p w14:paraId="5E1C5AEE" w14:textId="77777777" w:rsidR="0001256D" w:rsidRPr="005639EE" w:rsidRDefault="0001256D" w:rsidP="0001256D">
      <w:pPr>
        <w:jc w:val="center"/>
        <w:rPr>
          <w:b/>
          <w:bCs/>
        </w:rPr>
      </w:pPr>
      <w:r w:rsidRPr="005639EE">
        <w:rPr>
          <w:b/>
          <w:bCs/>
        </w:rPr>
        <w:t xml:space="preserve">VIEŠŲJŲ ĮSTAIGŲ, KURIŲ FINANSINIŲ ATASKAITŲ AUDITĄ PRIVALOMA ATLIKTI PAGAL LIETUVOS RESPUBLIKOS VIEŠŲJŲ ĮSTAIGŲ ĮSTATYMĄ, VEIKLOS ATASKAITOS </w:t>
      </w:r>
    </w:p>
    <w:p w14:paraId="2932CC11" w14:textId="77777777" w:rsidR="0001256D" w:rsidRPr="005639EE" w:rsidRDefault="0001256D" w:rsidP="009C6543"/>
    <w:p w14:paraId="1CCB76DB" w14:textId="77777777" w:rsidR="0001256D" w:rsidRDefault="0001256D" w:rsidP="0001256D">
      <w:pPr>
        <w:spacing w:line="360" w:lineRule="auto"/>
        <w:ind w:firstLine="1296"/>
        <w:jc w:val="both"/>
      </w:pPr>
      <w:r w:rsidRPr="005639EE">
        <w:t xml:space="preserve">Vadovaujantis Viešojo sektoriaus subjekto metinės veiklos ataskaitos, viešojo sektoriaus subjektų grupės metinės veiklos ataskaitos ir valstybės pažangos ataskaitos rengimo </w:t>
      </w:r>
      <w:r w:rsidRPr="005639EE">
        <w:lastRenderedPageBreak/>
        <w:t xml:space="preserve">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8 punktu, 5 priede pateikiamos </w:t>
      </w:r>
      <w:r w:rsidRPr="007A13A5">
        <w:t>viešojo sektoriaus subjektų grupės -</w:t>
      </w:r>
      <w:r>
        <w:t xml:space="preserve"> </w:t>
      </w:r>
      <w:r w:rsidRPr="005639EE">
        <w:t>viešųjų įstaigų, kurių finansinių ataskaitų auditą privaloma atlikti pagal Lietuvos Respublikos viešųjų įstaigų įstatymą,</w:t>
      </w:r>
      <w:r>
        <w:t xml:space="preserve"> –</w:t>
      </w:r>
      <w:r w:rsidRPr="005639EE">
        <w:t xml:space="preserve"> veiklos ataskaitos. </w:t>
      </w:r>
    </w:p>
    <w:p w14:paraId="183640D4" w14:textId="77777777" w:rsidR="009C6543" w:rsidRPr="009C6543" w:rsidRDefault="009C6543" w:rsidP="009C6543"/>
    <w:p w14:paraId="4BCE7AF3" w14:textId="5723EC8A" w:rsidR="00A44A77" w:rsidRPr="005639EE" w:rsidRDefault="00A44A77" w:rsidP="009C6543">
      <w:pPr>
        <w:jc w:val="center"/>
        <w:rPr>
          <w:b/>
        </w:rPr>
      </w:pPr>
      <w:r w:rsidRPr="005639EE">
        <w:rPr>
          <w:b/>
        </w:rPr>
        <w:t xml:space="preserve">XIII SKYRIUS </w:t>
      </w:r>
    </w:p>
    <w:p w14:paraId="4B4F9538" w14:textId="77777777" w:rsidR="00A44A77" w:rsidRPr="005639EE" w:rsidRDefault="00A44A77" w:rsidP="009C6543">
      <w:pPr>
        <w:tabs>
          <w:tab w:val="left" w:pos="720"/>
        </w:tabs>
        <w:jc w:val="center"/>
        <w:rPr>
          <w:b/>
        </w:rPr>
      </w:pPr>
      <w:r w:rsidRPr="005639EE">
        <w:rPr>
          <w:b/>
          <w:bCs/>
        </w:rPr>
        <w:t xml:space="preserve">KITA SVARBI SU SAVIVALDYBĖS VEIKLA SUSIJUSI INFORMACIJA </w:t>
      </w:r>
    </w:p>
    <w:p w14:paraId="04B0478E" w14:textId="77777777" w:rsidR="00B77204" w:rsidRPr="005639EE" w:rsidRDefault="00B77204" w:rsidP="00A44A77">
      <w:pPr>
        <w:spacing w:line="360" w:lineRule="auto"/>
        <w:jc w:val="both"/>
        <w:rPr>
          <w:highlight w:val="yellow"/>
        </w:rPr>
      </w:pPr>
    </w:p>
    <w:p w14:paraId="243A99BE" w14:textId="65BBFFFF" w:rsidR="00A44A77" w:rsidRPr="00CE141C" w:rsidRDefault="00A44A77" w:rsidP="00CE141C">
      <w:pPr>
        <w:spacing w:line="360" w:lineRule="auto"/>
        <w:ind w:firstLine="1298"/>
        <w:jc w:val="both"/>
        <w:rPr>
          <w:szCs w:val="24"/>
        </w:rPr>
      </w:pPr>
      <w:r w:rsidRPr="00CE141C">
        <w:rPr>
          <w:szCs w:val="24"/>
        </w:rPr>
        <w:t>Pagal Lietuvos Respublikos viešojo sektoriaus atskaitomybės įstatymo 6 straipsnio 1 dalies 1–3 punktus</w:t>
      </w:r>
      <w:r w:rsidRPr="00CE141C">
        <w:rPr>
          <w:rStyle w:val="Dokumentoinaosnumeris"/>
          <w:szCs w:val="24"/>
        </w:rPr>
        <w:endnoteReference w:id="1"/>
      </w:r>
      <w:r w:rsidRPr="00CE141C">
        <w:rPr>
          <w:szCs w:val="24"/>
        </w:rPr>
        <w:t>, Įstaigos 202</w:t>
      </w:r>
      <w:r w:rsidR="008C549D">
        <w:rPr>
          <w:szCs w:val="24"/>
        </w:rPr>
        <w:t>5</w:t>
      </w:r>
      <w:r w:rsidRPr="00CE141C">
        <w:rPr>
          <w:szCs w:val="24"/>
        </w:rPr>
        <w:t xml:space="preserve"> metų metinių ataskaitų rinkinį sudaro ne tik ši ataskaita, bet ir biudžeto vykdymo ataskaitų rinkinys</w:t>
      </w:r>
      <w:r w:rsidRPr="00CE141C">
        <w:rPr>
          <w:rStyle w:val="Dokumentoinaosnumeris"/>
          <w:szCs w:val="24"/>
        </w:rPr>
        <w:endnoteReference w:id="2"/>
      </w:r>
      <w:r w:rsidRPr="00CE141C">
        <w:rPr>
          <w:szCs w:val="24"/>
        </w:rPr>
        <w:t xml:space="preserve"> ir metinių finansinių ataskaitų rinkinys</w:t>
      </w:r>
      <w:r w:rsidRPr="00CE141C">
        <w:rPr>
          <w:rStyle w:val="Dokumentoinaosnumeris"/>
          <w:szCs w:val="24"/>
        </w:rPr>
        <w:endnoteReference w:id="3"/>
      </w:r>
      <w:r w:rsidRPr="00CE141C">
        <w:rPr>
          <w:szCs w:val="24"/>
        </w:rPr>
        <w:t xml:space="preserve">, kuriuose pateikta detalesnė informacija apie Įstaigos finansinius duomenis. </w:t>
      </w:r>
    </w:p>
    <w:p w14:paraId="3074DF6F" w14:textId="5B6648CE" w:rsidR="00CE141C" w:rsidRDefault="00CE141C" w:rsidP="00CE141C">
      <w:pPr>
        <w:pStyle w:val="Pagrindinistekstas"/>
        <w:jc w:val="both"/>
        <w:rPr>
          <w:snapToGrid w:val="0"/>
          <w:szCs w:val="24"/>
        </w:rPr>
      </w:pPr>
      <w:r w:rsidRPr="00CE141C">
        <w:rPr>
          <w:szCs w:val="24"/>
        </w:rPr>
        <w:t xml:space="preserve">Vykdant </w:t>
      </w:r>
      <w:r w:rsidRPr="00CE141C">
        <w:rPr>
          <w:snapToGrid w:val="0"/>
          <w:szCs w:val="24"/>
        </w:rPr>
        <w:t xml:space="preserve">Lietuvos Respublikos administracinės naštos mažinimo įstatymo 7 straipsnio 3 dalies reikalavimus, </w:t>
      </w:r>
      <w:r w:rsidRPr="00CE141C">
        <w:rPr>
          <w:szCs w:val="24"/>
        </w:rPr>
        <w:t>Kauno miesto savivaldybės administracijos Centralizuoto vidaus audito skyrius atli</w:t>
      </w:r>
      <w:r>
        <w:rPr>
          <w:szCs w:val="24"/>
        </w:rPr>
        <w:t>e</w:t>
      </w:r>
      <w:r w:rsidRPr="00CE141C">
        <w:rPr>
          <w:szCs w:val="24"/>
        </w:rPr>
        <w:t>k</w:t>
      </w:r>
      <w:r>
        <w:rPr>
          <w:szCs w:val="24"/>
        </w:rPr>
        <w:t>a</w:t>
      </w:r>
      <w:r w:rsidRPr="00CE141C">
        <w:rPr>
          <w:szCs w:val="24"/>
        </w:rPr>
        <w:t xml:space="preserve"> Kauno miesto savivaldybės strateginiame veiklos plane numatytų</w:t>
      </w:r>
      <w:r w:rsidRPr="00CE141C">
        <w:rPr>
          <w:snapToGrid w:val="0"/>
          <w:szCs w:val="24"/>
        </w:rPr>
        <w:t xml:space="preserve"> administracinės naštos mažinimo priemonių vykdymo vertinimo vidaus audit</w:t>
      </w:r>
      <w:r>
        <w:rPr>
          <w:snapToGrid w:val="0"/>
          <w:szCs w:val="24"/>
        </w:rPr>
        <w:t>us. K</w:t>
      </w:r>
      <w:r w:rsidRPr="00CE141C">
        <w:rPr>
          <w:snapToGrid w:val="0"/>
          <w:szCs w:val="24"/>
        </w:rPr>
        <w:t>auno miesto savivaldybės strateginiame veiklos plane numatytų</w:t>
      </w:r>
      <w:r>
        <w:rPr>
          <w:snapToGrid w:val="0"/>
          <w:szCs w:val="24"/>
        </w:rPr>
        <w:t xml:space="preserve"> </w:t>
      </w:r>
      <w:r w:rsidRPr="00CE141C">
        <w:rPr>
          <w:snapToGrid w:val="0"/>
          <w:szCs w:val="24"/>
        </w:rPr>
        <w:t>administracinės naštos mažinimo priemonių vykdymo vertinimo</w:t>
      </w:r>
      <w:r>
        <w:rPr>
          <w:snapToGrid w:val="0"/>
          <w:szCs w:val="24"/>
        </w:rPr>
        <w:t xml:space="preserve"> </w:t>
      </w:r>
      <w:r w:rsidRPr="00CE141C">
        <w:rPr>
          <w:snapToGrid w:val="0"/>
          <w:szCs w:val="24"/>
        </w:rPr>
        <w:t>vidaus audito ataskait</w:t>
      </w:r>
      <w:r>
        <w:rPr>
          <w:snapToGrid w:val="0"/>
          <w:szCs w:val="24"/>
        </w:rPr>
        <w:t>ose</w:t>
      </w:r>
      <w:r w:rsidR="00F83F81" w:rsidRPr="00CE141C">
        <w:rPr>
          <w:rStyle w:val="Dokumentoinaosnumeris"/>
          <w:szCs w:val="24"/>
        </w:rPr>
        <w:endnoteReference w:id="4"/>
      </w:r>
      <w:r>
        <w:rPr>
          <w:snapToGrid w:val="0"/>
          <w:szCs w:val="24"/>
        </w:rPr>
        <w:t xml:space="preserve"> pateikta detalesnė informacija apie atliktus </w:t>
      </w:r>
      <w:r w:rsidRPr="00CE141C">
        <w:rPr>
          <w:snapToGrid w:val="0"/>
          <w:szCs w:val="24"/>
        </w:rPr>
        <w:t xml:space="preserve">administracinės naštos mažinimo priemonių, numatytų </w:t>
      </w:r>
      <w:r>
        <w:rPr>
          <w:snapToGrid w:val="0"/>
          <w:szCs w:val="24"/>
        </w:rPr>
        <w:t>Savivaldybės</w:t>
      </w:r>
      <w:r w:rsidRPr="00CE141C">
        <w:rPr>
          <w:snapToGrid w:val="0"/>
          <w:szCs w:val="24"/>
        </w:rPr>
        <w:t xml:space="preserve"> 2025-2027 m. strateginiame veiklos plane, vykdymo </w:t>
      </w:r>
      <w:r>
        <w:rPr>
          <w:snapToGrid w:val="0"/>
          <w:szCs w:val="24"/>
        </w:rPr>
        <w:t>2025 m</w:t>
      </w:r>
      <w:r w:rsidR="00C76C1B">
        <w:rPr>
          <w:snapToGrid w:val="0"/>
          <w:szCs w:val="24"/>
        </w:rPr>
        <w:t>etų</w:t>
      </w:r>
      <w:r>
        <w:rPr>
          <w:snapToGrid w:val="0"/>
          <w:szCs w:val="24"/>
        </w:rPr>
        <w:t xml:space="preserve"> </w:t>
      </w:r>
      <w:r w:rsidR="00C76C1B">
        <w:rPr>
          <w:snapToGrid w:val="0"/>
          <w:szCs w:val="24"/>
        </w:rPr>
        <w:t xml:space="preserve">I ir II pusmečių </w:t>
      </w:r>
      <w:r w:rsidRPr="00CE141C">
        <w:rPr>
          <w:snapToGrid w:val="0"/>
          <w:szCs w:val="24"/>
        </w:rPr>
        <w:t>vertinim</w:t>
      </w:r>
      <w:r>
        <w:rPr>
          <w:snapToGrid w:val="0"/>
          <w:szCs w:val="24"/>
        </w:rPr>
        <w:t>us</w:t>
      </w:r>
      <w:r w:rsidRPr="00CE141C">
        <w:rPr>
          <w:snapToGrid w:val="0"/>
          <w:szCs w:val="24"/>
        </w:rPr>
        <w:t>.</w:t>
      </w:r>
      <w:r w:rsidR="00F83F81">
        <w:rPr>
          <w:snapToGrid w:val="0"/>
          <w:szCs w:val="24"/>
        </w:rPr>
        <w:t xml:space="preserve"> Į </w:t>
      </w:r>
      <w:r w:rsidR="00F83F81" w:rsidRPr="00F83F81">
        <w:rPr>
          <w:snapToGrid w:val="0"/>
          <w:szCs w:val="24"/>
        </w:rPr>
        <w:t>administracinės naštos mažinimo 202</w:t>
      </w:r>
      <w:r w:rsidR="00F83F81">
        <w:rPr>
          <w:snapToGrid w:val="0"/>
          <w:szCs w:val="24"/>
        </w:rPr>
        <w:t>5</w:t>
      </w:r>
      <w:r w:rsidR="00F83F81" w:rsidRPr="00F83F81">
        <w:rPr>
          <w:snapToGrid w:val="0"/>
          <w:szCs w:val="24"/>
        </w:rPr>
        <w:t xml:space="preserve"> m. priemonių planą įtrauktos papriemonės</w:t>
      </w:r>
      <w:r w:rsidR="009332A6">
        <w:rPr>
          <w:snapToGrid w:val="0"/>
          <w:szCs w:val="24"/>
        </w:rPr>
        <w:t xml:space="preserve"> 3 priede pažymėtos simboliu </w:t>
      </w:r>
      <w:r w:rsidR="009332A6" w:rsidRPr="00F83F81">
        <w:rPr>
          <w:snapToGrid w:val="0"/>
          <w:szCs w:val="24"/>
        </w:rPr>
        <w:t>(A)</w:t>
      </w:r>
      <w:r w:rsidR="009332A6">
        <w:rPr>
          <w:snapToGrid w:val="0"/>
          <w:szCs w:val="24"/>
        </w:rPr>
        <w:t>.</w:t>
      </w:r>
      <w:r w:rsidR="009C6543">
        <w:rPr>
          <w:snapToGrid w:val="0"/>
          <w:szCs w:val="24"/>
        </w:rPr>
        <w:t xml:space="preserve"> </w:t>
      </w:r>
    </w:p>
    <w:p w14:paraId="3A405048" w14:textId="0551443F" w:rsidR="009332A6" w:rsidRDefault="006A3B76" w:rsidP="00194D09">
      <w:pPr>
        <w:pStyle w:val="Pagrindinistekstas"/>
        <w:jc w:val="both"/>
        <w:rPr>
          <w:snapToGrid w:val="0"/>
          <w:szCs w:val="24"/>
        </w:rPr>
      </w:pPr>
      <w:r>
        <w:rPr>
          <w:snapToGrid w:val="0"/>
          <w:szCs w:val="24"/>
        </w:rPr>
        <w:t xml:space="preserve">Į 2022-2030 m. </w:t>
      </w:r>
      <w:r w:rsidRPr="006A3B76">
        <w:rPr>
          <w:snapToGrid w:val="0"/>
          <w:szCs w:val="24"/>
        </w:rPr>
        <w:t>Kauno regiono plėtros planą</w:t>
      </w:r>
      <w:r>
        <w:rPr>
          <w:snapToGrid w:val="0"/>
          <w:szCs w:val="24"/>
        </w:rPr>
        <w:t xml:space="preserve">, vadovaujantis </w:t>
      </w:r>
      <w:r w:rsidRPr="006A3B76">
        <w:rPr>
          <w:snapToGrid w:val="0"/>
          <w:szCs w:val="24"/>
        </w:rPr>
        <w:t>Lietuvos Respublikos regioninės plėtros įstatymo 23 straipsnio 1 dalies 1 punktu</w:t>
      </w:r>
      <w:r w:rsidR="00194D09">
        <w:rPr>
          <w:snapToGrid w:val="0"/>
          <w:szCs w:val="24"/>
        </w:rPr>
        <w:t xml:space="preserve"> patvirtintą</w:t>
      </w:r>
      <w:r>
        <w:rPr>
          <w:snapToGrid w:val="0"/>
          <w:szCs w:val="24"/>
        </w:rPr>
        <w:t xml:space="preserve"> Kauno regiono plėtros tarybos</w:t>
      </w:r>
      <w:r w:rsidRPr="006A3B76">
        <w:rPr>
          <w:snapToGrid w:val="0"/>
          <w:szCs w:val="24"/>
        </w:rPr>
        <w:t xml:space="preserve"> </w:t>
      </w:r>
      <w:r w:rsidR="00194D09">
        <w:rPr>
          <w:snapToGrid w:val="0"/>
          <w:szCs w:val="24"/>
        </w:rPr>
        <w:t>kolegijos 2023 m. vasario 23 d. sprendimu Nr. 6KS-8 „</w:t>
      </w:r>
      <w:r w:rsidR="00194D09" w:rsidRPr="00194D09">
        <w:rPr>
          <w:snapToGrid w:val="0"/>
          <w:szCs w:val="24"/>
        </w:rPr>
        <w:t xml:space="preserve">Dėl 2022–2030 </w:t>
      </w:r>
      <w:r w:rsidR="00194D09">
        <w:rPr>
          <w:snapToGrid w:val="0"/>
          <w:szCs w:val="24"/>
        </w:rPr>
        <w:t>m</w:t>
      </w:r>
      <w:r w:rsidR="00194D09" w:rsidRPr="00194D09">
        <w:rPr>
          <w:snapToGrid w:val="0"/>
          <w:szCs w:val="24"/>
        </w:rPr>
        <w:t xml:space="preserve">. </w:t>
      </w:r>
      <w:r w:rsidR="00194D09">
        <w:rPr>
          <w:snapToGrid w:val="0"/>
          <w:szCs w:val="24"/>
        </w:rPr>
        <w:t>K</w:t>
      </w:r>
      <w:r w:rsidR="00194D09" w:rsidRPr="00194D09">
        <w:rPr>
          <w:snapToGrid w:val="0"/>
          <w:szCs w:val="24"/>
        </w:rPr>
        <w:t>auno regiono plėtros plano patvirtinimo</w:t>
      </w:r>
      <w:r w:rsidR="00194D09">
        <w:rPr>
          <w:snapToGrid w:val="0"/>
          <w:szCs w:val="24"/>
        </w:rPr>
        <w:t>“,</w:t>
      </w:r>
      <w:r w:rsidR="00194D09" w:rsidRPr="00194D09">
        <w:rPr>
          <w:snapToGrid w:val="0"/>
          <w:szCs w:val="24"/>
        </w:rPr>
        <w:t xml:space="preserve"> </w:t>
      </w:r>
      <w:r w:rsidRPr="006A3B76">
        <w:rPr>
          <w:snapToGrid w:val="0"/>
          <w:szCs w:val="24"/>
        </w:rPr>
        <w:t>įtraukti projektai</w:t>
      </w:r>
      <w:r w:rsidR="00194D09">
        <w:rPr>
          <w:snapToGrid w:val="0"/>
          <w:szCs w:val="24"/>
        </w:rPr>
        <w:t xml:space="preserve"> 2 ir 3 prieduose pažymėti simboliu </w:t>
      </w:r>
      <w:r w:rsidR="00194D09" w:rsidRPr="006A3B76">
        <w:rPr>
          <w:snapToGrid w:val="0"/>
          <w:szCs w:val="24"/>
        </w:rPr>
        <w:t>(R)</w:t>
      </w:r>
      <w:r w:rsidR="00194D09">
        <w:rPr>
          <w:snapToGrid w:val="0"/>
          <w:szCs w:val="24"/>
        </w:rPr>
        <w:t>.</w:t>
      </w:r>
      <w:r w:rsidR="009C6543">
        <w:rPr>
          <w:snapToGrid w:val="0"/>
          <w:szCs w:val="24"/>
        </w:rPr>
        <w:t xml:space="preserve"> </w:t>
      </w:r>
    </w:p>
    <w:p w14:paraId="72F2FDA1" w14:textId="79B130CD" w:rsidR="0062337A" w:rsidRDefault="0062337A" w:rsidP="0039038B">
      <w:pPr>
        <w:pStyle w:val="Pagrindinistekstas"/>
        <w:jc w:val="both"/>
        <w:rPr>
          <w:snapToGrid w:val="0"/>
          <w:szCs w:val="24"/>
        </w:rPr>
      </w:pPr>
      <w:bookmarkStart w:id="9" w:name="_Hlk227226235"/>
      <w:r w:rsidRPr="0062337A">
        <w:rPr>
          <w:snapToGrid w:val="0"/>
          <w:szCs w:val="24"/>
        </w:rPr>
        <w:t>Vadovaujantis Lietuvos Respublikos savivaldybių infrastruktūros plėtros įstatymo nuostatomis, 2026 m. balandžio 1 d. įsakym</w:t>
      </w:r>
      <w:r>
        <w:rPr>
          <w:snapToGrid w:val="0"/>
          <w:szCs w:val="24"/>
        </w:rPr>
        <w:t>u</w:t>
      </w:r>
      <w:r w:rsidRPr="0062337A">
        <w:rPr>
          <w:snapToGrid w:val="0"/>
          <w:szCs w:val="24"/>
        </w:rPr>
        <w:t xml:space="preserve"> Nr. A-407 „Dėl </w:t>
      </w:r>
      <w:bookmarkStart w:id="10" w:name="_Hlk227227675"/>
      <w:r w:rsidRPr="0062337A">
        <w:rPr>
          <w:snapToGrid w:val="0"/>
          <w:szCs w:val="24"/>
        </w:rPr>
        <w:t xml:space="preserve">Kauno miesto savivaldybės infrastruktūros plėtros programos ir jos administravimo lėšų panaudojimo 2025 metų ataskaitos </w:t>
      </w:r>
      <w:bookmarkEnd w:id="10"/>
      <w:r w:rsidRPr="0062337A">
        <w:rPr>
          <w:snapToGrid w:val="0"/>
          <w:szCs w:val="24"/>
        </w:rPr>
        <w:t>patvirtinimo“</w:t>
      </w:r>
      <w:r>
        <w:rPr>
          <w:snapToGrid w:val="0"/>
          <w:szCs w:val="24"/>
        </w:rPr>
        <w:t xml:space="preserve"> patvirtinta S</w:t>
      </w:r>
      <w:r w:rsidRPr="0062337A">
        <w:rPr>
          <w:snapToGrid w:val="0"/>
          <w:szCs w:val="24"/>
        </w:rPr>
        <w:t>avivaldybės infrastruktūros plėtros programos ir jos administravimo lėšų panaudojimo 2025 metų ataskait</w:t>
      </w:r>
      <w:r>
        <w:rPr>
          <w:snapToGrid w:val="0"/>
          <w:szCs w:val="24"/>
        </w:rPr>
        <w:t>a</w:t>
      </w:r>
      <w:r w:rsidR="00BF1147">
        <w:rPr>
          <w:snapToGrid w:val="0"/>
          <w:szCs w:val="24"/>
        </w:rPr>
        <w:t xml:space="preserve"> </w:t>
      </w:r>
      <w:r w:rsidRPr="0062337A">
        <w:rPr>
          <w:snapToGrid w:val="0"/>
          <w:szCs w:val="24"/>
        </w:rPr>
        <w:t xml:space="preserve">pateikta Savivaldybės kontrolės ir audito tarnybai. Gavus audito išvadą ir Savivaldybės infrastruktūros plėtros rėmimo programos komisijai (toliau – Komisija) nustačius, kad lėšos panaudotos pagrįstai, Savivaldybės infrastruktūros plėtros programos ir jos </w:t>
      </w:r>
      <w:r w:rsidRPr="0062337A">
        <w:rPr>
          <w:snapToGrid w:val="0"/>
          <w:szCs w:val="24"/>
        </w:rPr>
        <w:lastRenderedPageBreak/>
        <w:t>administravimo lėšų panaudojimo atskaita, kartu su Komisijos išvada, bus teikiamos tvirtinti Savivaldybės tarybai.</w:t>
      </w:r>
      <w:r w:rsidR="009C6543">
        <w:rPr>
          <w:snapToGrid w:val="0"/>
          <w:szCs w:val="24"/>
        </w:rPr>
        <w:t xml:space="preserve"> </w:t>
      </w:r>
    </w:p>
    <w:bookmarkEnd w:id="9"/>
    <w:p w14:paraId="43D06280" w14:textId="77777777" w:rsidR="0018204F" w:rsidRPr="009C6543" w:rsidRDefault="0018204F" w:rsidP="0018204F">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D33D1F" w14:paraId="6CCFD3CD" w14:textId="77777777" w:rsidTr="00FA6F86">
        <w:trPr>
          <w:cantSplit/>
          <w:trHeight w:val="277"/>
        </w:trPr>
        <w:tc>
          <w:tcPr>
            <w:tcW w:w="4817" w:type="dxa"/>
            <w:vAlign w:val="bottom"/>
          </w:tcPr>
          <w:p w14:paraId="23D4C2A2" w14:textId="58FEAA4B" w:rsidR="00EE5852" w:rsidRPr="00D33D1F" w:rsidRDefault="00112C1C" w:rsidP="003F52A5">
            <w:pPr>
              <w:keepNext/>
              <w:spacing w:before="480"/>
              <w:ind w:right="-7"/>
            </w:pPr>
            <w:r>
              <w:t>Savivaldybės meras</w:t>
            </w:r>
          </w:p>
        </w:tc>
        <w:tc>
          <w:tcPr>
            <w:tcW w:w="4387" w:type="dxa"/>
            <w:vAlign w:val="bottom"/>
          </w:tcPr>
          <w:p w14:paraId="343B94FF" w14:textId="67AFB3AF" w:rsidR="009B3CF1" w:rsidRPr="00D33D1F" w:rsidRDefault="00112C1C" w:rsidP="00557D9E">
            <w:pPr>
              <w:keepNext/>
              <w:spacing w:before="480"/>
              <w:ind w:left="-2"/>
              <w:jc w:val="right"/>
            </w:pPr>
            <w:r>
              <w:t>Visvaldas</w:t>
            </w:r>
            <w:r w:rsidR="00296FC3" w:rsidRPr="00D33D1F">
              <w:t xml:space="preserve"> </w:t>
            </w:r>
            <w:r>
              <w:t>Matijošaitis</w:t>
            </w:r>
          </w:p>
        </w:tc>
      </w:tr>
    </w:tbl>
    <w:p w14:paraId="0E8B62EA" w14:textId="77777777" w:rsidR="00112C1C" w:rsidRDefault="00112C1C" w:rsidP="00145959">
      <w:pPr>
        <w:keepNext/>
      </w:pPr>
    </w:p>
    <w:p w14:paraId="709EDCD0" w14:textId="77777777" w:rsidR="00BF1147" w:rsidRDefault="00BF1147" w:rsidP="00145959">
      <w:pPr>
        <w:keepNext/>
      </w:pPr>
    </w:p>
    <w:p w14:paraId="09C038D0" w14:textId="77777777" w:rsidR="00BF1147" w:rsidRDefault="00BF1147" w:rsidP="00145959">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112C1C" w:rsidRPr="00D33D1F" w14:paraId="454E6CB0" w14:textId="77777777" w:rsidTr="00E9250B">
        <w:trPr>
          <w:cantSplit/>
          <w:trHeight w:val="277"/>
        </w:trPr>
        <w:tc>
          <w:tcPr>
            <w:tcW w:w="4817" w:type="dxa"/>
            <w:vAlign w:val="bottom"/>
          </w:tcPr>
          <w:p w14:paraId="46DE391F" w14:textId="2338D84E" w:rsidR="00112C1C" w:rsidRPr="00D33D1F" w:rsidRDefault="00112C1C" w:rsidP="00E9250B">
            <w:pPr>
              <w:keepNext/>
              <w:spacing w:before="480"/>
              <w:ind w:right="-7"/>
            </w:pPr>
            <w:r w:rsidRPr="00112C1C">
              <w:t>Kauno miesto savivaldybės administracijos Strateginio planavimo, analizės ir programų valdymo skyriaus vedėja</w:t>
            </w:r>
            <w:r>
              <w:t xml:space="preserve"> </w:t>
            </w:r>
          </w:p>
        </w:tc>
        <w:tc>
          <w:tcPr>
            <w:tcW w:w="4387" w:type="dxa"/>
            <w:vAlign w:val="bottom"/>
          </w:tcPr>
          <w:p w14:paraId="56423740" w14:textId="2D58C866" w:rsidR="00112C1C" w:rsidRPr="00D33D1F" w:rsidRDefault="00112C1C" w:rsidP="00E9250B">
            <w:pPr>
              <w:keepNext/>
              <w:spacing w:before="480"/>
              <w:ind w:left="-2"/>
              <w:jc w:val="right"/>
            </w:pPr>
            <w:r>
              <w:t>Rita</w:t>
            </w:r>
            <w:r w:rsidRPr="00D33D1F">
              <w:t xml:space="preserve"> </w:t>
            </w:r>
            <w:r>
              <w:t>Motiejūnienė</w:t>
            </w:r>
          </w:p>
        </w:tc>
      </w:tr>
    </w:tbl>
    <w:p w14:paraId="02A674DF" w14:textId="77777777" w:rsidR="00112C1C" w:rsidRDefault="00112C1C" w:rsidP="00145959">
      <w:pPr>
        <w:keepNext/>
      </w:pPr>
    </w:p>
    <w:p w14:paraId="6D529B44" w14:textId="77777777" w:rsidR="008B652F" w:rsidRPr="00D33D1F" w:rsidRDefault="008B652F" w:rsidP="00145959">
      <w:pPr>
        <w:keepNext/>
      </w:pPr>
    </w:p>
    <w:sectPr w:rsidR="008B652F" w:rsidRPr="00D33D1F" w:rsidSect="008966A2">
      <w:headerReference w:type="default" r:id="rId20"/>
      <w:footerReference w:type="default" r:id="rId21"/>
      <w:type w:val="continuous"/>
      <w:pgSz w:w="11907" w:h="16840" w:code="9"/>
      <w:pgMar w:top="1134" w:right="567" w:bottom="1134" w:left="1701"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3EE8" w14:textId="77777777" w:rsidR="002202ED" w:rsidRDefault="002202ED">
      <w:r>
        <w:separator/>
      </w:r>
    </w:p>
  </w:endnote>
  <w:endnote w:type="continuationSeparator" w:id="0">
    <w:p w14:paraId="0CA1B8C3" w14:textId="77777777" w:rsidR="002202ED" w:rsidRDefault="002202ED">
      <w:r>
        <w:continuationSeparator/>
      </w:r>
    </w:p>
  </w:endnote>
  <w:endnote w:id="1">
    <w:p w14:paraId="7728D7C0" w14:textId="77777777" w:rsidR="005F12F2" w:rsidRPr="00F83F81" w:rsidRDefault="005F12F2" w:rsidP="00A44A77">
      <w:pPr>
        <w:pStyle w:val="Puslapioinaostekstas"/>
        <w:spacing w:after="0"/>
        <w:jc w:val="both"/>
        <w:rPr>
          <w:rFonts w:ascii="Calibri" w:hAnsi="Calibri"/>
          <w:sz w:val="18"/>
          <w:szCs w:val="18"/>
        </w:rPr>
      </w:pPr>
      <w:r w:rsidRPr="00F83F81">
        <w:rPr>
          <w:rStyle w:val="Dokumentoinaosnumeris"/>
          <w:rFonts w:ascii="Calibri" w:hAnsi="Calibri"/>
          <w:sz w:val="18"/>
          <w:szCs w:val="18"/>
        </w:rPr>
        <w:endnoteRef/>
      </w:r>
      <w:r w:rsidRPr="00F83F81">
        <w:rPr>
          <w:rFonts w:ascii="Calibri" w:hAnsi="Calibri"/>
          <w:sz w:val="18"/>
          <w:szCs w:val="18"/>
        </w:rPr>
        <w:t xml:space="preserve"> Viešojo sektoriaus subjekto, išskyrus fondus, ir viešojo sektoriaus subjektų grupės metinių ataskaitų rinkinį sudaro: </w:t>
      </w:r>
    </w:p>
    <w:p w14:paraId="5130EF44" w14:textId="42E31259" w:rsidR="005F12F2" w:rsidRPr="00F83F81" w:rsidRDefault="005F12F2" w:rsidP="008B652F">
      <w:pPr>
        <w:pStyle w:val="Puslapioinaostekstas"/>
        <w:spacing w:after="0"/>
        <w:jc w:val="both"/>
        <w:rPr>
          <w:rFonts w:ascii="Calibri" w:hAnsi="Calibri"/>
          <w:sz w:val="18"/>
          <w:szCs w:val="18"/>
        </w:rPr>
      </w:pPr>
      <w:r w:rsidRPr="00F83F81">
        <w:rPr>
          <w:rFonts w:ascii="Calibri" w:hAnsi="Calibri"/>
          <w:sz w:val="18"/>
          <w:szCs w:val="18"/>
        </w:rPr>
        <w:t xml:space="preserve">metinė veiklos ataskaita, kurioje pateikiama informacija apie veiklos tikslų pasiekimą, arba, kai rengiamas valstybės metinių ataskaitų rinkinys, ‒ valstybės pažangos ataskaita; metinių finansinių ataskaitų rinkinys, kuriame pateikiami finansiniai duomenys apie viešojo sektoriaus subjekto ar viešojo sektoriaus subjektų grupės finansinę būklę, veiklos rezultatus, pinigų srautus; jeigu viešojo sektoriaus subjektas gauna biudžeto asignavimų, – metinių biudžeto vykdymo ataskaitų rinkinys, kuriame pateikiami išlaidų sąmatos vykdymo duomenys. </w:t>
      </w:r>
    </w:p>
  </w:endnote>
  <w:endnote w:id="2">
    <w:p w14:paraId="04073111" w14:textId="77777777" w:rsidR="005F12F2" w:rsidRPr="00747D72" w:rsidRDefault="005F12F2" w:rsidP="00747D72">
      <w:pPr>
        <w:pStyle w:val="Dokumentoinaostekstas"/>
        <w:ind w:firstLine="0"/>
        <w:rPr>
          <w:rFonts w:ascii="Calibri" w:hAnsi="Calibri" w:cs="Calibri"/>
          <w:sz w:val="6"/>
          <w:szCs w:val="6"/>
        </w:rPr>
      </w:pPr>
    </w:p>
    <w:p w14:paraId="5D57EE8D" w14:textId="2AE09029" w:rsidR="005F12F2" w:rsidRPr="00F83F81" w:rsidRDefault="005F12F2" w:rsidP="00747D72">
      <w:pPr>
        <w:pStyle w:val="Dokumentoinaostekstas"/>
        <w:ind w:firstLine="0"/>
        <w:rPr>
          <w:rFonts w:ascii="Calibri" w:hAnsi="Calibri" w:cs="Calibri"/>
          <w:sz w:val="18"/>
          <w:szCs w:val="18"/>
        </w:rPr>
      </w:pPr>
      <w:r w:rsidRPr="00F83F81">
        <w:rPr>
          <w:rStyle w:val="Dokumentoinaosnumeris"/>
          <w:rFonts w:ascii="Calibri" w:hAnsi="Calibri" w:cs="Calibri"/>
          <w:sz w:val="18"/>
          <w:szCs w:val="18"/>
        </w:rPr>
        <w:endnoteRef/>
      </w:r>
      <w:r w:rsidRPr="00F83F81">
        <w:rPr>
          <w:rFonts w:ascii="Calibri" w:hAnsi="Calibri" w:cs="Calibri"/>
          <w:sz w:val="18"/>
          <w:szCs w:val="18"/>
        </w:rPr>
        <w:t xml:space="preserve"> Prieiga per internetą: </w:t>
      </w:r>
      <w:hyperlink r:id="rId1" w:history="1">
        <w:r w:rsidRPr="00F83F81">
          <w:rPr>
            <w:rStyle w:val="Hipersaitas"/>
            <w:rFonts w:ascii="Calibri" w:hAnsi="Calibri" w:cs="Calibri"/>
            <w:sz w:val="18"/>
            <w:szCs w:val="18"/>
          </w:rPr>
          <w:t>https://www.kaunas.lt/administracija/administracine-informacija/biudzeto-vykdymo-ataskaitu-rinkiniai/</w:t>
        </w:r>
      </w:hyperlink>
      <w:r w:rsidRPr="00F83F81">
        <w:rPr>
          <w:rFonts w:ascii="Calibri" w:hAnsi="Calibri" w:cs="Calibri"/>
          <w:sz w:val="18"/>
          <w:szCs w:val="18"/>
        </w:rPr>
        <w:t xml:space="preserve">. </w:t>
      </w:r>
    </w:p>
  </w:endnote>
  <w:endnote w:id="3">
    <w:p w14:paraId="116771D0" w14:textId="4B0BE3D2" w:rsidR="005F12F2" w:rsidRPr="00F83F81" w:rsidRDefault="005F12F2" w:rsidP="00747D72">
      <w:pPr>
        <w:pStyle w:val="Dokumentoinaostekstas"/>
        <w:ind w:firstLine="0"/>
        <w:rPr>
          <w:rFonts w:ascii="Calibri" w:hAnsi="Calibri" w:cs="Calibri"/>
          <w:sz w:val="18"/>
          <w:szCs w:val="18"/>
        </w:rPr>
      </w:pPr>
      <w:r w:rsidRPr="00F83F81">
        <w:rPr>
          <w:rStyle w:val="Dokumentoinaosnumeris"/>
          <w:rFonts w:ascii="Calibri" w:hAnsi="Calibri" w:cs="Calibri"/>
          <w:sz w:val="18"/>
          <w:szCs w:val="18"/>
        </w:rPr>
        <w:endnoteRef/>
      </w:r>
      <w:r w:rsidRPr="00F83F81">
        <w:rPr>
          <w:rFonts w:ascii="Calibri" w:hAnsi="Calibri" w:cs="Calibri"/>
          <w:sz w:val="18"/>
          <w:szCs w:val="18"/>
        </w:rPr>
        <w:t xml:space="preserve"> Prieiga per internetą: </w:t>
      </w:r>
      <w:hyperlink r:id="rId2" w:history="1">
        <w:r w:rsidRPr="00F83F81">
          <w:rPr>
            <w:rStyle w:val="Hipersaitas"/>
            <w:rFonts w:ascii="Calibri" w:hAnsi="Calibri" w:cs="Calibri"/>
            <w:sz w:val="18"/>
            <w:szCs w:val="18"/>
          </w:rPr>
          <w:t>https://www.kaunas.lt/administracija/administracine-informacija/finansiniu-ataskaitu-rinkiniai/</w:t>
        </w:r>
      </w:hyperlink>
      <w:r w:rsidRPr="00F83F81">
        <w:rPr>
          <w:rFonts w:ascii="Calibri" w:hAnsi="Calibri" w:cs="Calibri"/>
          <w:sz w:val="18"/>
          <w:szCs w:val="18"/>
        </w:rPr>
        <w:t xml:space="preserve">. </w:t>
      </w:r>
    </w:p>
  </w:endnote>
  <w:endnote w:id="4">
    <w:p w14:paraId="497485D8" w14:textId="2D75D0B8" w:rsidR="005F12F2" w:rsidRPr="00F83F81" w:rsidRDefault="005F12F2" w:rsidP="00747D72">
      <w:pPr>
        <w:pStyle w:val="Dokumentoinaostekstas"/>
        <w:ind w:firstLine="0"/>
        <w:rPr>
          <w:rFonts w:asciiTheme="minorHAnsi" w:hAnsiTheme="minorHAnsi" w:cstheme="minorHAnsi"/>
          <w:sz w:val="16"/>
          <w:szCs w:val="16"/>
        </w:rPr>
      </w:pPr>
      <w:r w:rsidRPr="00F83F81">
        <w:rPr>
          <w:rStyle w:val="Dokumentoinaosnumeris"/>
          <w:rFonts w:ascii="Calibri" w:hAnsi="Calibri" w:cs="Calibri"/>
          <w:sz w:val="18"/>
          <w:szCs w:val="18"/>
        </w:rPr>
        <w:endnoteRef/>
      </w:r>
      <w:r w:rsidRPr="00F83F81">
        <w:rPr>
          <w:rFonts w:ascii="Calibri" w:hAnsi="Calibri" w:cs="Calibri"/>
          <w:sz w:val="18"/>
          <w:szCs w:val="18"/>
        </w:rPr>
        <w:t xml:space="preserve"> Prieiga per internetą: </w:t>
      </w:r>
      <w:hyperlink r:id="rId3" w:history="1">
        <w:r w:rsidRPr="00F83F81">
          <w:rPr>
            <w:rStyle w:val="Hipersaitas"/>
            <w:rFonts w:ascii="Calibri" w:hAnsi="Calibri" w:cs="Calibri"/>
            <w:sz w:val="18"/>
            <w:szCs w:val="18"/>
          </w:rPr>
          <w:t>https://www.kaunas.lt/administracija/administracine-informacija/administracines-nastos-mazinimas/</w:t>
        </w:r>
      </w:hyperlink>
      <w:r w:rsidRPr="00F83F81">
        <w:rPr>
          <w:rFonts w:ascii="Calibri" w:hAnsi="Calibri" w:cs="Calibri"/>
          <w:sz w:val="18"/>
          <w:szCs w:val="18"/>
        </w:rPr>
        <w:t>.</w:t>
      </w:r>
      <w:r w:rsidR="009C6543">
        <w:rPr>
          <w:rFonts w:ascii="Calibri" w:hAnsi="Calibri" w:cs="Calibri"/>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5F12F2" w14:paraId="73262254" w14:textId="77777777">
      <w:trPr>
        <w:trHeight w:hRule="exact" w:val="794"/>
      </w:trPr>
      <w:tc>
        <w:tcPr>
          <w:tcW w:w="5184" w:type="dxa"/>
        </w:tcPr>
        <w:p w14:paraId="39924F83" w14:textId="77777777" w:rsidR="005F12F2" w:rsidRDefault="005F12F2">
          <w:pPr>
            <w:pStyle w:val="Porat"/>
          </w:pPr>
        </w:p>
      </w:tc>
      <w:tc>
        <w:tcPr>
          <w:tcW w:w="2592" w:type="dxa"/>
        </w:tcPr>
        <w:p w14:paraId="3D012417" w14:textId="77777777" w:rsidR="005F12F2" w:rsidRDefault="005F12F2">
          <w:pPr>
            <w:pStyle w:val="Porat"/>
          </w:pPr>
        </w:p>
      </w:tc>
      <w:tc>
        <w:tcPr>
          <w:tcW w:w="2592" w:type="dxa"/>
        </w:tcPr>
        <w:p w14:paraId="6FD2557A" w14:textId="77777777" w:rsidR="005F12F2" w:rsidRDefault="005F12F2">
          <w:pPr>
            <w:pStyle w:val="Porat"/>
            <w:tabs>
              <w:tab w:val="left" w:pos="304"/>
              <w:tab w:val="left" w:pos="2005"/>
            </w:tabs>
            <w:jc w:val="center"/>
          </w:pPr>
        </w:p>
      </w:tc>
    </w:tr>
  </w:tbl>
  <w:p w14:paraId="18FFD7D8" w14:textId="77777777" w:rsidR="005F12F2" w:rsidRDefault="005F12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F184" w14:textId="77777777" w:rsidR="005F12F2" w:rsidRDefault="005F12F2">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5F12F2" w14:paraId="1241E3E5" w14:textId="77777777">
      <w:trPr>
        <w:trHeight w:hRule="exact" w:val="794"/>
      </w:trPr>
      <w:tc>
        <w:tcPr>
          <w:tcW w:w="5184" w:type="dxa"/>
        </w:tcPr>
        <w:p w14:paraId="5EE574D2" w14:textId="77777777" w:rsidR="005F12F2" w:rsidRDefault="005F12F2">
          <w:pPr>
            <w:pStyle w:val="Porat"/>
          </w:pPr>
        </w:p>
      </w:tc>
      <w:tc>
        <w:tcPr>
          <w:tcW w:w="2592" w:type="dxa"/>
        </w:tcPr>
        <w:p w14:paraId="23BF8D5C" w14:textId="77777777" w:rsidR="005F12F2" w:rsidRDefault="005F12F2">
          <w:pPr>
            <w:pStyle w:val="Porat"/>
          </w:pPr>
        </w:p>
      </w:tc>
      <w:tc>
        <w:tcPr>
          <w:tcW w:w="2592" w:type="dxa"/>
        </w:tcPr>
        <w:p w14:paraId="069EB993" w14:textId="77777777" w:rsidR="005F12F2" w:rsidRDefault="005F12F2">
          <w:pPr>
            <w:pStyle w:val="Porat"/>
            <w:tabs>
              <w:tab w:val="left" w:pos="304"/>
              <w:tab w:val="left" w:pos="2005"/>
            </w:tabs>
            <w:jc w:val="center"/>
          </w:pPr>
        </w:p>
      </w:tc>
    </w:tr>
  </w:tbl>
  <w:p w14:paraId="04D0711B" w14:textId="77777777" w:rsidR="005F12F2" w:rsidRDefault="005F12F2">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A23F" w14:textId="77777777" w:rsidR="002202ED" w:rsidRDefault="002202ED">
      <w:pPr>
        <w:pStyle w:val="Porat"/>
        <w:spacing w:before="240"/>
      </w:pPr>
    </w:p>
  </w:footnote>
  <w:footnote w:type="continuationSeparator" w:id="0">
    <w:p w14:paraId="4ED59E1D" w14:textId="77777777" w:rsidR="002202ED" w:rsidRDefault="0022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0E02" w14:textId="5BA25D2D" w:rsidR="005F12F2" w:rsidRDefault="005F12F2">
    <w:pPr>
      <w:pStyle w:val="Antrats"/>
      <w:jc w:val="center"/>
    </w:pPr>
  </w:p>
  <w:p w14:paraId="1B474763" w14:textId="77777777" w:rsidR="005F12F2" w:rsidRPr="008966A2" w:rsidRDefault="005F12F2" w:rsidP="008966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939375"/>
      <w:docPartObj>
        <w:docPartGallery w:val="Page Numbers (Top of Page)"/>
        <w:docPartUnique/>
      </w:docPartObj>
    </w:sdtPr>
    <w:sdtEndPr/>
    <w:sdtContent>
      <w:p w14:paraId="30E8E051" w14:textId="02D7841E" w:rsidR="005F12F2" w:rsidRDefault="005F12F2">
        <w:pPr>
          <w:pStyle w:val="Antrats"/>
          <w:jc w:val="center"/>
        </w:pPr>
        <w:r>
          <w:fldChar w:fldCharType="begin"/>
        </w:r>
        <w:r>
          <w:instrText>PAGE   \* MERGEFORMAT</w:instrText>
        </w:r>
        <w:r>
          <w:fldChar w:fldCharType="separate"/>
        </w:r>
        <w:r w:rsidR="0059460C">
          <w:rPr>
            <w:noProof/>
          </w:rPr>
          <w:t>79</w:t>
        </w:r>
        <w:r>
          <w:fldChar w:fldCharType="end"/>
        </w:r>
      </w:p>
    </w:sdtContent>
  </w:sdt>
  <w:p w14:paraId="3612A2BA" w14:textId="77777777" w:rsidR="005F12F2" w:rsidRDefault="005F12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549BB"/>
    <w:multiLevelType w:val="hybridMultilevel"/>
    <w:tmpl w:val="976208B6"/>
    <w:lvl w:ilvl="0" w:tplc="6AC0DB36">
      <w:start w:val="1"/>
      <w:numFmt w:val="bullet"/>
      <w:lvlText w:val=""/>
      <w:lvlJc w:val="left"/>
      <w:pPr>
        <w:tabs>
          <w:tab w:val="num" w:pos="720"/>
        </w:tabs>
        <w:ind w:left="720" w:hanging="360"/>
      </w:pPr>
      <w:rPr>
        <w:rFonts w:ascii="Wingdings" w:hAnsi="Wingdings" w:hint="default"/>
      </w:rPr>
    </w:lvl>
    <w:lvl w:ilvl="1" w:tplc="4C62A4C0" w:tentative="1">
      <w:start w:val="1"/>
      <w:numFmt w:val="bullet"/>
      <w:lvlText w:val=""/>
      <w:lvlJc w:val="left"/>
      <w:pPr>
        <w:tabs>
          <w:tab w:val="num" w:pos="1440"/>
        </w:tabs>
        <w:ind w:left="1440" w:hanging="360"/>
      </w:pPr>
      <w:rPr>
        <w:rFonts w:ascii="Wingdings" w:hAnsi="Wingdings" w:hint="default"/>
      </w:rPr>
    </w:lvl>
    <w:lvl w:ilvl="2" w:tplc="CD245AB0" w:tentative="1">
      <w:start w:val="1"/>
      <w:numFmt w:val="bullet"/>
      <w:lvlText w:val=""/>
      <w:lvlJc w:val="left"/>
      <w:pPr>
        <w:tabs>
          <w:tab w:val="num" w:pos="2160"/>
        </w:tabs>
        <w:ind w:left="2160" w:hanging="360"/>
      </w:pPr>
      <w:rPr>
        <w:rFonts w:ascii="Wingdings" w:hAnsi="Wingdings" w:hint="default"/>
      </w:rPr>
    </w:lvl>
    <w:lvl w:ilvl="3" w:tplc="7F287F28" w:tentative="1">
      <w:start w:val="1"/>
      <w:numFmt w:val="bullet"/>
      <w:lvlText w:val=""/>
      <w:lvlJc w:val="left"/>
      <w:pPr>
        <w:tabs>
          <w:tab w:val="num" w:pos="2880"/>
        </w:tabs>
        <w:ind w:left="2880" w:hanging="360"/>
      </w:pPr>
      <w:rPr>
        <w:rFonts w:ascii="Wingdings" w:hAnsi="Wingdings" w:hint="default"/>
      </w:rPr>
    </w:lvl>
    <w:lvl w:ilvl="4" w:tplc="8D789810" w:tentative="1">
      <w:start w:val="1"/>
      <w:numFmt w:val="bullet"/>
      <w:lvlText w:val=""/>
      <w:lvlJc w:val="left"/>
      <w:pPr>
        <w:tabs>
          <w:tab w:val="num" w:pos="3600"/>
        </w:tabs>
        <w:ind w:left="3600" w:hanging="360"/>
      </w:pPr>
      <w:rPr>
        <w:rFonts w:ascii="Wingdings" w:hAnsi="Wingdings" w:hint="default"/>
      </w:rPr>
    </w:lvl>
    <w:lvl w:ilvl="5" w:tplc="3E0CDE6A" w:tentative="1">
      <w:start w:val="1"/>
      <w:numFmt w:val="bullet"/>
      <w:lvlText w:val=""/>
      <w:lvlJc w:val="left"/>
      <w:pPr>
        <w:tabs>
          <w:tab w:val="num" w:pos="4320"/>
        </w:tabs>
        <w:ind w:left="4320" w:hanging="360"/>
      </w:pPr>
      <w:rPr>
        <w:rFonts w:ascii="Wingdings" w:hAnsi="Wingdings" w:hint="default"/>
      </w:rPr>
    </w:lvl>
    <w:lvl w:ilvl="6" w:tplc="2A9E3B30" w:tentative="1">
      <w:start w:val="1"/>
      <w:numFmt w:val="bullet"/>
      <w:lvlText w:val=""/>
      <w:lvlJc w:val="left"/>
      <w:pPr>
        <w:tabs>
          <w:tab w:val="num" w:pos="5040"/>
        </w:tabs>
        <w:ind w:left="5040" w:hanging="360"/>
      </w:pPr>
      <w:rPr>
        <w:rFonts w:ascii="Wingdings" w:hAnsi="Wingdings" w:hint="default"/>
      </w:rPr>
    </w:lvl>
    <w:lvl w:ilvl="7" w:tplc="F28EE3EE" w:tentative="1">
      <w:start w:val="1"/>
      <w:numFmt w:val="bullet"/>
      <w:lvlText w:val=""/>
      <w:lvlJc w:val="left"/>
      <w:pPr>
        <w:tabs>
          <w:tab w:val="num" w:pos="5760"/>
        </w:tabs>
        <w:ind w:left="5760" w:hanging="360"/>
      </w:pPr>
      <w:rPr>
        <w:rFonts w:ascii="Wingdings" w:hAnsi="Wingdings" w:hint="default"/>
      </w:rPr>
    </w:lvl>
    <w:lvl w:ilvl="8" w:tplc="A61870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575AAD"/>
    <w:multiLevelType w:val="hybridMultilevel"/>
    <w:tmpl w:val="BD261322"/>
    <w:lvl w:ilvl="0" w:tplc="43E63834">
      <w:start w:val="1"/>
      <w:numFmt w:val="bullet"/>
      <w:lvlText w:val=""/>
      <w:lvlJc w:val="left"/>
      <w:pPr>
        <w:tabs>
          <w:tab w:val="num" w:pos="720"/>
        </w:tabs>
        <w:ind w:left="720" w:hanging="360"/>
      </w:pPr>
      <w:rPr>
        <w:rFonts w:ascii="Wingdings" w:hAnsi="Wingdings" w:hint="default"/>
      </w:rPr>
    </w:lvl>
    <w:lvl w:ilvl="1" w:tplc="8FAE8A36" w:tentative="1">
      <w:start w:val="1"/>
      <w:numFmt w:val="bullet"/>
      <w:lvlText w:val=""/>
      <w:lvlJc w:val="left"/>
      <w:pPr>
        <w:tabs>
          <w:tab w:val="num" w:pos="1440"/>
        </w:tabs>
        <w:ind w:left="1440" w:hanging="360"/>
      </w:pPr>
      <w:rPr>
        <w:rFonts w:ascii="Wingdings" w:hAnsi="Wingdings" w:hint="default"/>
      </w:rPr>
    </w:lvl>
    <w:lvl w:ilvl="2" w:tplc="D102BE74" w:tentative="1">
      <w:start w:val="1"/>
      <w:numFmt w:val="bullet"/>
      <w:lvlText w:val=""/>
      <w:lvlJc w:val="left"/>
      <w:pPr>
        <w:tabs>
          <w:tab w:val="num" w:pos="2160"/>
        </w:tabs>
        <w:ind w:left="2160" w:hanging="360"/>
      </w:pPr>
      <w:rPr>
        <w:rFonts w:ascii="Wingdings" w:hAnsi="Wingdings" w:hint="default"/>
      </w:rPr>
    </w:lvl>
    <w:lvl w:ilvl="3" w:tplc="F66AE6CC" w:tentative="1">
      <w:start w:val="1"/>
      <w:numFmt w:val="bullet"/>
      <w:lvlText w:val=""/>
      <w:lvlJc w:val="left"/>
      <w:pPr>
        <w:tabs>
          <w:tab w:val="num" w:pos="2880"/>
        </w:tabs>
        <w:ind w:left="2880" w:hanging="360"/>
      </w:pPr>
      <w:rPr>
        <w:rFonts w:ascii="Wingdings" w:hAnsi="Wingdings" w:hint="default"/>
      </w:rPr>
    </w:lvl>
    <w:lvl w:ilvl="4" w:tplc="C026EFCE" w:tentative="1">
      <w:start w:val="1"/>
      <w:numFmt w:val="bullet"/>
      <w:lvlText w:val=""/>
      <w:lvlJc w:val="left"/>
      <w:pPr>
        <w:tabs>
          <w:tab w:val="num" w:pos="3600"/>
        </w:tabs>
        <w:ind w:left="3600" w:hanging="360"/>
      </w:pPr>
      <w:rPr>
        <w:rFonts w:ascii="Wingdings" w:hAnsi="Wingdings" w:hint="default"/>
      </w:rPr>
    </w:lvl>
    <w:lvl w:ilvl="5" w:tplc="34980BC8" w:tentative="1">
      <w:start w:val="1"/>
      <w:numFmt w:val="bullet"/>
      <w:lvlText w:val=""/>
      <w:lvlJc w:val="left"/>
      <w:pPr>
        <w:tabs>
          <w:tab w:val="num" w:pos="4320"/>
        </w:tabs>
        <w:ind w:left="4320" w:hanging="360"/>
      </w:pPr>
      <w:rPr>
        <w:rFonts w:ascii="Wingdings" w:hAnsi="Wingdings" w:hint="default"/>
      </w:rPr>
    </w:lvl>
    <w:lvl w:ilvl="6" w:tplc="6C72CDF0" w:tentative="1">
      <w:start w:val="1"/>
      <w:numFmt w:val="bullet"/>
      <w:lvlText w:val=""/>
      <w:lvlJc w:val="left"/>
      <w:pPr>
        <w:tabs>
          <w:tab w:val="num" w:pos="5040"/>
        </w:tabs>
        <w:ind w:left="5040" w:hanging="360"/>
      </w:pPr>
      <w:rPr>
        <w:rFonts w:ascii="Wingdings" w:hAnsi="Wingdings" w:hint="default"/>
      </w:rPr>
    </w:lvl>
    <w:lvl w:ilvl="7" w:tplc="2DDCBC0E" w:tentative="1">
      <w:start w:val="1"/>
      <w:numFmt w:val="bullet"/>
      <w:lvlText w:val=""/>
      <w:lvlJc w:val="left"/>
      <w:pPr>
        <w:tabs>
          <w:tab w:val="num" w:pos="5760"/>
        </w:tabs>
        <w:ind w:left="5760" w:hanging="360"/>
      </w:pPr>
      <w:rPr>
        <w:rFonts w:ascii="Wingdings" w:hAnsi="Wingdings" w:hint="default"/>
      </w:rPr>
    </w:lvl>
    <w:lvl w:ilvl="8" w:tplc="EF6CB7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ED1491"/>
    <w:multiLevelType w:val="multilevel"/>
    <w:tmpl w:val="4BFA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473331">
    <w:abstractNumId w:val="2"/>
  </w:num>
  <w:num w:numId="2" w16cid:durableId="253980159">
    <w:abstractNumId w:val="0"/>
  </w:num>
  <w:num w:numId="3" w16cid:durableId="89666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8D7D46"/>
    <w:rsid w:val="00007F11"/>
    <w:rsid w:val="00011595"/>
    <w:rsid w:val="0001256D"/>
    <w:rsid w:val="000143C1"/>
    <w:rsid w:val="00032961"/>
    <w:rsid w:val="000360BD"/>
    <w:rsid w:val="000368CF"/>
    <w:rsid w:val="00044D23"/>
    <w:rsid w:val="0005649F"/>
    <w:rsid w:val="00063D2A"/>
    <w:rsid w:val="0007310D"/>
    <w:rsid w:val="0007328C"/>
    <w:rsid w:val="0008063D"/>
    <w:rsid w:val="0008140A"/>
    <w:rsid w:val="00086087"/>
    <w:rsid w:val="000B7107"/>
    <w:rsid w:val="000B74A3"/>
    <w:rsid w:val="000C6A85"/>
    <w:rsid w:val="000C7B59"/>
    <w:rsid w:val="000E29F9"/>
    <w:rsid w:val="000E4C96"/>
    <w:rsid w:val="000F5BD4"/>
    <w:rsid w:val="000F5DE9"/>
    <w:rsid w:val="00100D0F"/>
    <w:rsid w:val="00100D20"/>
    <w:rsid w:val="0010325B"/>
    <w:rsid w:val="00112C1C"/>
    <w:rsid w:val="001276ED"/>
    <w:rsid w:val="00134DDF"/>
    <w:rsid w:val="00141D0C"/>
    <w:rsid w:val="001455F7"/>
    <w:rsid w:val="00145959"/>
    <w:rsid w:val="00150910"/>
    <w:rsid w:val="00151359"/>
    <w:rsid w:val="00153FCA"/>
    <w:rsid w:val="001605F7"/>
    <w:rsid w:val="0016419B"/>
    <w:rsid w:val="001658BB"/>
    <w:rsid w:val="00175A43"/>
    <w:rsid w:val="0018204F"/>
    <w:rsid w:val="0019307A"/>
    <w:rsid w:val="00194D09"/>
    <w:rsid w:val="001A2851"/>
    <w:rsid w:val="001A2E91"/>
    <w:rsid w:val="001A47D9"/>
    <w:rsid w:val="001E3265"/>
    <w:rsid w:val="001E5A3B"/>
    <w:rsid w:val="0020245A"/>
    <w:rsid w:val="00207F41"/>
    <w:rsid w:val="002113BA"/>
    <w:rsid w:val="002202ED"/>
    <w:rsid w:val="00220494"/>
    <w:rsid w:val="00225FBD"/>
    <w:rsid w:val="00240449"/>
    <w:rsid w:val="00246954"/>
    <w:rsid w:val="00250430"/>
    <w:rsid w:val="002519BF"/>
    <w:rsid w:val="00260AD7"/>
    <w:rsid w:val="00270E8E"/>
    <w:rsid w:val="002756E2"/>
    <w:rsid w:val="002815D3"/>
    <w:rsid w:val="00296FC3"/>
    <w:rsid w:val="002D2F07"/>
    <w:rsid w:val="002F7319"/>
    <w:rsid w:val="0031058C"/>
    <w:rsid w:val="00313741"/>
    <w:rsid w:val="003277BF"/>
    <w:rsid w:val="00340534"/>
    <w:rsid w:val="00363F96"/>
    <w:rsid w:val="003820E4"/>
    <w:rsid w:val="0039038B"/>
    <w:rsid w:val="003918D9"/>
    <w:rsid w:val="00396E04"/>
    <w:rsid w:val="003A79B4"/>
    <w:rsid w:val="003B0E77"/>
    <w:rsid w:val="003B50CE"/>
    <w:rsid w:val="003B6CA5"/>
    <w:rsid w:val="003D619D"/>
    <w:rsid w:val="003E38C0"/>
    <w:rsid w:val="003F52A5"/>
    <w:rsid w:val="004022CE"/>
    <w:rsid w:val="00406C5B"/>
    <w:rsid w:val="004109E8"/>
    <w:rsid w:val="004116A3"/>
    <w:rsid w:val="00411E1C"/>
    <w:rsid w:val="00424788"/>
    <w:rsid w:val="00426313"/>
    <w:rsid w:val="004265FC"/>
    <w:rsid w:val="0043609B"/>
    <w:rsid w:val="00437BAF"/>
    <w:rsid w:val="00442614"/>
    <w:rsid w:val="00450FC2"/>
    <w:rsid w:val="004640F6"/>
    <w:rsid w:val="00470544"/>
    <w:rsid w:val="00493C7D"/>
    <w:rsid w:val="00495FB8"/>
    <w:rsid w:val="004961DE"/>
    <w:rsid w:val="004A0872"/>
    <w:rsid w:val="004A2345"/>
    <w:rsid w:val="004B0613"/>
    <w:rsid w:val="004B29EB"/>
    <w:rsid w:val="004C2536"/>
    <w:rsid w:val="004C56FD"/>
    <w:rsid w:val="004C605F"/>
    <w:rsid w:val="004D0F46"/>
    <w:rsid w:val="004D4BBC"/>
    <w:rsid w:val="004E23CB"/>
    <w:rsid w:val="004F3E69"/>
    <w:rsid w:val="004F5D84"/>
    <w:rsid w:val="0050788D"/>
    <w:rsid w:val="00513A0C"/>
    <w:rsid w:val="005143AB"/>
    <w:rsid w:val="005175C1"/>
    <w:rsid w:val="00527144"/>
    <w:rsid w:val="00534F9C"/>
    <w:rsid w:val="00535A13"/>
    <w:rsid w:val="0053705B"/>
    <w:rsid w:val="005405B7"/>
    <w:rsid w:val="00544A85"/>
    <w:rsid w:val="00554D29"/>
    <w:rsid w:val="00555321"/>
    <w:rsid w:val="00555CD0"/>
    <w:rsid w:val="00557D9E"/>
    <w:rsid w:val="00565E04"/>
    <w:rsid w:val="00575658"/>
    <w:rsid w:val="0057599E"/>
    <w:rsid w:val="00576954"/>
    <w:rsid w:val="00586ABC"/>
    <w:rsid w:val="00592B3B"/>
    <w:rsid w:val="0059460C"/>
    <w:rsid w:val="00594C88"/>
    <w:rsid w:val="00595E27"/>
    <w:rsid w:val="005975AF"/>
    <w:rsid w:val="005B37AA"/>
    <w:rsid w:val="005B3A76"/>
    <w:rsid w:val="005B7F90"/>
    <w:rsid w:val="005C37B2"/>
    <w:rsid w:val="005C4F83"/>
    <w:rsid w:val="005C64C0"/>
    <w:rsid w:val="005D3302"/>
    <w:rsid w:val="005D6675"/>
    <w:rsid w:val="005E0B5E"/>
    <w:rsid w:val="005E16DD"/>
    <w:rsid w:val="005E5492"/>
    <w:rsid w:val="005F12F2"/>
    <w:rsid w:val="005F7D81"/>
    <w:rsid w:val="00601314"/>
    <w:rsid w:val="00606F0C"/>
    <w:rsid w:val="006100D7"/>
    <w:rsid w:val="006165B8"/>
    <w:rsid w:val="0062337A"/>
    <w:rsid w:val="00626D52"/>
    <w:rsid w:val="00630565"/>
    <w:rsid w:val="006418E4"/>
    <w:rsid w:val="00657764"/>
    <w:rsid w:val="00660AB1"/>
    <w:rsid w:val="00661452"/>
    <w:rsid w:val="00663C4E"/>
    <w:rsid w:val="00667376"/>
    <w:rsid w:val="00672D15"/>
    <w:rsid w:val="00675247"/>
    <w:rsid w:val="00675635"/>
    <w:rsid w:val="006770A8"/>
    <w:rsid w:val="0069052B"/>
    <w:rsid w:val="00692F19"/>
    <w:rsid w:val="006A169F"/>
    <w:rsid w:val="006A3B76"/>
    <w:rsid w:val="006A5734"/>
    <w:rsid w:val="006B0B13"/>
    <w:rsid w:val="006B0B70"/>
    <w:rsid w:val="006B101A"/>
    <w:rsid w:val="006D2610"/>
    <w:rsid w:val="006E3E22"/>
    <w:rsid w:val="006F25BD"/>
    <w:rsid w:val="006F6E18"/>
    <w:rsid w:val="007131E0"/>
    <w:rsid w:val="007160B1"/>
    <w:rsid w:val="00716B5C"/>
    <w:rsid w:val="00721781"/>
    <w:rsid w:val="007378A6"/>
    <w:rsid w:val="00747D72"/>
    <w:rsid w:val="007641B0"/>
    <w:rsid w:val="00767CEF"/>
    <w:rsid w:val="007A13A5"/>
    <w:rsid w:val="007A16AC"/>
    <w:rsid w:val="007A4C38"/>
    <w:rsid w:val="007B1042"/>
    <w:rsid w:val="007B4AA3"/>
    <w:rsid w:val="007C3C47"/>
    <w:rsid w:val="007C4253"/>
    <w:rsid w:val="007D045D"/>
    <w:rsid w:val="007D7539"/>
    <w:rsid w:val="007E2565"/>
    <w:rsid w:val="007E46DA"/>
    <w:rsid w:val="007E69A3"/>
    <w:rsid w:val="007F0D9D"/>
    <w:rsid w:val="007F2810"/>
    <w:rsid w:val="007F33C4"/>
    <w:rsid w:val="007F54C8"/>
    <w:rsid w:val="007F76EA"/>
    <w:rsid w:val="008019AF"/>
    <w:rsid w:val="008127D6"/>
    <w:rsid w:val="0081301F"/>
    <w:rsid w:val="00814F91"/>
    <w:rsid w:val="00830601"/>
    <w:rsid w:val="0083083F"/>
    <w:rsid w:val="0084232D"/>
    <w:rsid w:val="00843B87"/>
    <w:rsid w:val="00844EB4"/>
    <w:rsid w:val="0085437D"/>
    <w:rsid w:val="008577FB"/>
    <w:rsid w:val="00867CE3"/>
    <w:rsid w:val="0088397F"/>
    <w:rsid w:val="00883D26"/>
    <w:rsid w:val="00885D4E"/>
    <w:rsid w:val="0088667F"/>
    <w:rsid w:val="00887130"/>
    <w:rsid w:val="00893114"/>
    <w:rsid w:val="00894280"/>
    <w:rsid w:val="008966A2"/>
    <w:rsid w:val="008A22C3"/>
    <w:rsid w:val="008B652F"/>
    <w:rsid w:val="008B6BD4"/>
    <w:rsid w:val="008B7979"/>
    <w:rsid w:val="008C0182"/>
    <w:rsid w:val="008C549D"/>
    <w:rsid w:val="008C6117"/>
    <w:rsid w:val="008C6C71"/>
    <w:rsid w:val="008D0198"/>
    <w:rsid w:val="008D234E"/>
    <w:rsid w:val="008D33D9"/>
    <w:rsid w:val="008D41D1"/>
    <w:rsid w:val="008D760D"/>
    <w:rsid w:val="008D7D46"/>
    <w:rsid w:val="008F0E56"/>
    <w:rsid w:val="008F613C"/>
    <w:rsid w:val="00901D17"/>
    <w:rsid w:val="0091249D"/>
    <w:rsid w:val="009131F9"/>
    <w:rsid w:val="009332A6"/>
    <w:rsid w:val="009371CE"/>
    <w:rsid w:val="00940C91"/>
    <w:rsid w:val="00951C1D"/>
    <w:rsid w:val="00960707"/>
    <w:rsid w:val="009973C6"/>
    <w:rsid w:val="009A079B"/>
    <w:rsid w:val="009A2B2A"/>
    <w:rsid w:val="009B3CF1"/>
    <w:rsid w:val="009B6960"/>
    <w:rsid w:val="009C6543"/>
    <w:rsid w:val="009D2EDD"/>
    <w:rsid w:val="009D678E"/>
    <w:rsid w:val="009E4818"/>
    <w:rsid w:val="009F4E26"/>
    <w:rsid w:val="00A00222"/>
    <w:rsid w:val="00A006F5"/>
    <w:rsid w:val="00A06A95"/>
    <w:rsid w:val="00A15B24"/>
    <w:rsid w:val="00A276C6"/>
    <w:rsid w:val="00A27DA9"/>
    <w:rsid w:val="00A3011D"/>
    <w:rsid w:val="00A44A6D"/>
    <w:rsid w:val="00A44A77"/>
    <w:rsid w:val="00A548C7"/>
    <w:rsid w:val="00A54D2F"/>
    <w:rsid w:val="00A64FD3"/>
    <w:rsid w:val="00A873DE"/>
    <w:rsid w:val="00A87E23"/>
    <w:rsid w:val="00AA0F40"/>
    <w:rsid w:val="00AB470F"/>
    <w:rsid w:val="00AB6A55"/>
    <w:rsid w:val="00AB6CA8"/>
    <w:rsid w:val="00AC1B00"/>
    <w:rsid w:val="00AE1716"/>
    <w:rsid w:val="00AE336B"/>
    <w:rsid w:val="00AF278D"/>
    <w:rsid w:val="00AF778B"/>
    <w:rsid w:val="00B14048"/>
    <w:rsid w:val="00B20F28"/>
    <w:rsid w:val="00B26A06"/>
    <w:rsid w:val="00B31551"/>
    <w:rsid w:val="00B3182F"/>
    <w:rsid w:val="00B32ADE"/>
    <w:rsid w:val="00B44287"/>
    <w:rsid w:val="00B77204"/>
    <w:rsid w:val="00B879D0"/>
    <w:rsid w:val="00B94D55"/>
    <w:rsid w:val="00BC1521"/>
    <w:rsid w:val="00BC2C18"/>
    <w:rsid w:val="00BC33FC"/>
    <w:rsid w:val="00BE116F"/>
    <w:rsid w:val="00BF1147"/>
    <w:rsid w:val="00BF1C1E"/>
    <w:rsid w:val="00BF547D"/>
    <w:rsid w:val="00BF6544"/>
    <w:rsid w:val="00C06E2D"/>
    <w:rsid w:val="00C07860"/>
    <w:rsid w:val="00C11BF7"/>
    <w:rsid w:val="00C13206"/>
    <w:rsid w:val="00C13DA8"/>
    <w:rsid w:val="00C175E2"/>
    <w:rsid w:val="00C22C03"/>
    <w:rsid w:val="00C43468"/>
    <w:rsid w:val="00C50CD5"/>
    <w:rsid w:val="00C53151"/>
    <w:rsid w:val="00C53C01"/>
    <w:rsid w:val="00C627D4"/>
    <w:rsid w:val="00C63FC9"/>
    <w:rsid w:val="00C6715D"/>
    <w:rsid w:val="00C72435"/>
    <w:rsid w:val="00C73F87"/>
    <w:rsid w:val="00C76C1B"/>
    <w:rsid w:val="00C85B8B"/>
    <w:rsid w:val="00C93450"/>
    <w:rsid w:val="00C944F9"/>
    <w:rsid w:val="00CA5586"/>
    <w:rsid w:val="00CA5D88"/>
    <w:rsid w:val="00CA774B"/>
    <w:rsid w:val="00CB1901"/>
    <w:rsid w:val="00CC76CF"/>
    <w:rsid w:val="00CE0688"/>
    <w:rsid w:val="00CE141C"/>
    <w:rsid w:val="00CE3DCB"/>
    <w:rsid w:val="00CE57E1"/>
    <w:rsid w:val="00CF7979"/>
    <w:rsid w:val="00D04458"/>
    <w:rsid w:val="00D06F30"/>
    <w:rsid w:val="00D07945"/>
    <w:rsid w:val="00D15683"/>
    <w:rsid w:val="00D22268"/>
    <w:rsid w:val="00D26788"/>
    <w:rsid w:val="00D3157E"/>
    <w:rsid w:val="00D33D1F"/>
    <w:rsid w:val="00D33EDB"/>
    <w:rsid w:val="00D354BA"/>
    <w:rsid w:val="00D40EBB"/>
    <w:rsid w:val="00D52FC6"/>
    <w:rsid w:val="00D533BD"/>
    <w:rsid w:val="00D563C9"/>
    <w:rsid w:val="00D56C60"/>
    <w:rsid w:val="00D77741"/>
    <w:rsid w:val="00D82677"/>
    <w:rsid w:val="00D870A3"/>
    <w:rsid w:val="00D91ABA"/>
    <w:rsid w:val="00D91BCF"/>
    <w:rsid w:val="00DC0198"/>
    <w:rsid w:val="00DC1BBB"/>
    <w:rsid w:val="00DD77AE"/>
    <w:rsid w:val="00E173C6"/>
    <w:rsid w:val="00E226C9"/>
    <w:rsid w:val="00E265F8"/>
    <w:rsid w:val="00E435DC"/>
    <w:rsid w:val="00E55094"/>
    <w:rsid w:val="00E659BB"/>
    <w:rsid w:val="00E67847"/>
    <w:rsid w:val="00E76232"/>
    <w:rsid w:val="00E76F71"/>
    <w:rsid w:val="00E7704A"/>
    <w:rsid w:val="00E86A72"/>
    <w:rsid w:val="00E8749B"/>
    <w:rsid w:val="00E9250B"/>
    <w:rsid w:val="00E94004"/>
    <w:rsid w:val="00EA2EDB"/>
    <w:rsid w:val="00EA73AC"/>
    <w:rsid w:val="00EB1F22"/>
    <w:rsid w:val="00EB6E62"/>
    <w:rsid w:val="00EC149D"/>
    <w:rsid w:val="00EE5852"/>
    <w:rsid w:val="00EE6143"/>
    <w:rsid w:val="00EF08D2"/>
    <w:rsid w:val="00EF3538"/>
    <w:rsid w:val="00EF3ED9"/>
    <w:rsid w:val="00EF4A53"/>
    <w:rsid w:val="00F31D75"/>
    <w:rsid w:val="00F34CAE"/>
    <w:rsid w:val="00F406E1"/>
    <w:rsid w:val="00F5541C"/>
    <w:rsid w:val="00F63FF9"/>
    <w:rsid w:val="00F83F81"/>
    <w:rsid w:val="00F94465"/>
    <w:rsid w:val="00F974EF"/>
    <w:rsid w:val="00F97624"/>
    <w:rsid w:val="00FA2D81"/>
    <w:rsid w:val="00FA6F86"/>
    <w:rsid w:val="00FA71D2"/>
    <w:rsid w:val="00FA7BDD"/>
    <w:rsid w:val="00FA7FA9"/>
    <w:rsid w:val="00FB0C20"/>
    <w:rsid w:val="00FD20A7"/>
    <w:rsid w:val="00FD2359"/>
    <w:rsid w:val="00FE4226"/>
    <w:rsid w:val="00FE78BA"/>
    <w:rsid w:val="00FF1EDB"/>
    <w:rsid w:val="00FF4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47347"/>
  <w15:chartTrackingRefBased/>
  <w15:docId w15:val="{3821E186-0180-462B-8E13-9F40B007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semiHidden/>
    <w:pPr>
      <w:tabs>
        <w:tab w:val="center" w:pos="4153"/>
        <w:tab w:val="right" w:pos="8306"/>
      </w:tabs>
    </w:pPr>
  </w:style>
  <w:style w:type="paragraph" w:styleId="Puslapioinaostekstas">
    <w:name w:val="footnote text"/>
    <w:basedOn w:val="prastasis"/>
    <w:link w:val="PuslapioinaostekstasDiagrama"/>
    <w:uiPriority w:val="99"/>
    <w:semiHidden/>
    <w:pPr>
      <w:spacing w:after="480"/>
    </w:pPr>
    <w:rPr>
      <w:rFonts w:ascii="TimesLT" w:hAnsi="TimesLT"/>
    </w:rPr>
  </w:style>
  <w:style w:type="character" w:styleId="Puslapioinaosnuoroda">
    <w:name w:val="footnote reference"/>
    <w:aliases w:val="Išnaša,Footnote symbol,BVI fnr,fr,ftref,16 Point,Superscript 6 Point,Voetnootverwijzing,Times 10 Point, Exposant 3 Point,Exposant 3 Point,Footnote Reference Superscript,Footnote number,o,Footnotemark,FR,Footnotemark1"/>
    <w:uiPriority w:val="99"/>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uiPriority w:val="99"/>
    <w:pPr>
      <w:spacing w:line="360" w:lineRule="auto"/>
      <w:ind w:firstLine="1298"/>
    </w:pPr>
  </w:style>
  <w:style w:type="paragraph" w:styleId="Makrokomandostekstas">
    <w:name w:val="macro"/>
    <w:link w:val="MakrokomandostekstasDiagrama"/>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numbering" w:customStyle="1" w:styleId="Sraonra1">
    <w:name w:val="Sąrašo nėra1"/>
    <w:next w:val="Sraonra"/>
    <w:uiPriority w:val="99"/>
    <w:semiHidden/>
    <w:unhideWhenUsed/>
    <w:rsid w:val="00D26788"/>
  </w:style>
  <w:style w:type="character" w:customStyle="1" w:styleId="AntratsDiagrama">
    <w:name w:val="Antraštės Diagrama"/>
    <w:basedOn w:val="Numatytasispastraiposriftas"/>
    <w:link w:val="Antrats"/>
    <w:uiPriority w:val="99"/>
    <w:rsid w:val="00D26788"/>
    <w:rPr>
      <w:sz w:val="24"/>
    </w:rPr>
  </w:style>
  <w:style w:type="character" w:customStyle="1" w:styleId="PoratDiagrama">
    <w:name w:val="Poraštė Diagrama"/>
    <w:basedOn w:val="Numatytasispastraiposriftas"/>
    <w:link w:val="Porat"/>
    <w:semiHidden/>
    <w:rsid w:val="00D26788"/>
    <w:rPr>
      <w:sz w:val="24"/>
    </w:rPr>
  </w:style>
  <w:style w:type="character" w:customStyle="1" w:styleId="PuslapioinaostekstasDiagrama">
    <w:name w:val="Puslapio išnašos tekstas Diagrama"/>
    <w:basedOn w:val="Numatytasispastraiposriftas"/>
    <w:link w:val="Puslapioinaostekstas"/>
    <w:uiPriority w:val="99"/>
    <w:semiHidden/>
    <w:rsid w:val="00D26788"/>
    <w:rPr>
      <w:rFonts w:ascii="TimesLT" w:hAnsi="TimesLT"/>
      <w:sz w:val="24"/>
    </w:rPr>
  </w:style>
  <w:style w:type="character" w:customStyle="1" w:styleId="PagrindinistekstasDiagrama">
    <w:name w:val="Pagrindinis tekstas Diagrama"/>
    <w:basedOn w:val="Numatytasispastraiposriftas"/>
    <w:link w:val="Pagrindinistekstas"/>
    <w:uiPriority w:val="99"/>
    <w:rsid w:val="00D26788"/>
    <w:rPr>
      <w:sz w:val="24"/>
    </w:rPr>
  </w:style>
  <w:style w:type="character" w:customStyle="1" w:styleId="MakrokomandostekstasDiagrama">
    <w:name w:val="Makrokomandos tekstas Diagrama"/>
    <w:basedOn w:val="Numatytasispastraiposriftas"/>
    <w:link w:val="Makrokomandostekstas"/>
    <w:semiHidden/>
    <w:rsid w:val="00D26788"/>
    <w:rPr>
      <w:rFonts w:ascii="Courier New" w:hAnsi="Courier New"/>
      <w:sz w:val="24"/>
      <w:lang w:eastAsia="en-US" w:bidi="he-IL"/>
    </w:rPr>
  </w:style>
  <w:style w:type="paragraph" w:customStyle="1" w:styleId="Antrat1">
    <w:name w:val="Antraštė1"/>
    <w:basedOn w:val="prastasis"/>
    <w:next w:val="prastasis"/>
    <w:uiPriority w:val="35"/>
    <w:unhideWhenUsed/>
    <w:qFormat/>
    <w:rsid w:val="00D26788"/>
    <w:pPr>
      <w:spacing w:after="200" w:line="360" w:lineRule="auto"/>
      <w:ind w:firstLine="1298"/>
    </w:pPr>
    <w:rPr>
      <w:rFonts w:eastAsia="Calibri" w:cs="Times New Roman"/>
      <w:i/>
      <w:iCs/>
      <w:color w:val="44546A"/>
      <w:sz w:val="18"/>
      <w:szCs w:val="18"/>
      <w:lang w:eastAsia="en-US"/>
    </w:rPr>
  </w:style>
  <w:style w:type="paragraph" w:styleId="Sraopastraipa">
    <w:name w:val="List Paragraph"/>
    <w:basedOn w:val="prastasis"/>
    <w:uiPriority w:val="34"/>
    <w:qFormat/>
    <w:rsid w:val="00D26788"/>
    <w:pPr>
      <w:spacing w:line="360" w:lineRule="auto"/>
      <w:ind w:left="720" w:firstLine="1298"/>
      <w:contextualSpacing/>
    </w:pPr>
    <w:rPr>
      <w:rFonts w:ascii="Times New Roman" w:hAnsi="Times New Roman" w:cs="Times New Roman"/>
      <w:lang w:eastAsia="en-US" w:bidi="he-IL"/>
    </w:rPr>
  </w:style>
  <w:style w:type="paragraph" w:styleId="Betarp">
    <w:name w:val="No Spacing"/>
    <w:uiPriority w:val="1"/>
    <w:qFormat/>
    <w:rsid w:val="00D26788"/>
    <w:rPr>
      <w:rFonts w:ascii="Times New Roman" w:hAnsi="Times New Roman" w:cs="Times New Roman"/>
      <w:sz w:val="24"/>
      <w:lang w:eastAsia="en-US" w:bidi="he-IL"/>
    </w:rPr>
  </w:style>
  <w:style w:type="character" w:customStyle="1" w:styleId="Hipersaitas1">
    <w:name w:val="Hipersaitas1"/>
    <w:basedOn w:val="Numatytasispastraiposriftas"/>
    <w:uiPriority w:val="99"/>
    <w:unhideWhenUsed/>
    <w:rsid w:val="00D26788"/>
    <w:rPr>
      <w:color w:val="0563C1"/>
      <w:u w:val="single"/>
    </w:rPr>
  </w:style>
  <w:style w:type="paragraph" w:customStyle="1" w:styleId="paragraph">
    <w:name w:val="paragraph"/>
    <w:basedOn w:val="prastasis"/>
    <w:uiPriority w:val="1"/>
    <w:rsid w:val="00D26788"/>
    <w:pPr>
      <w:spacing w:before="100" w:beforeAutospacing="1" w:after="100" w:afterAutospacing="1" w:line="360" w:lineRule="auto"/>
      <w:ind w:firstLine="1298"/>
    </w:pPr>
    <w:rPr>
      <w:rFonts w:ascii="Times New Roman" w:hAnsi="Times New Roman" w:cs="Times New Roman"/>
      <w:szCs w:val="24"/>
    </w:rPr>
  </w:style>
  <w:style w:type="character" w:customStyle="1" w:styleId="normaltextrun">
    <w:name w:val="normaltextrun"/>
    <w:basedOn w:val="Numatytasispastraiposriftas"/>
    <w:rsid w:val="00D26788"/>
  </w:style>
  <w:style w:type="character" w:customStyle="1" w:styleId="eop">
    <w:name w:val="eop"/>
    <w:basedOn w:val="Numatytasispastraiposriftas"/>
    <w:rsid w:val="00D26788"/>
  </w:style>
  <w:style w:type="paragraph" w:customStyle="1" w:styleId="xmsonormal">
    <w:name w:val="x_msonormal"/>
    <w:basedOn w:val="prastasis"/>
    <w:rsid w:val="00D26788"/>
    <w:pPr>
      <w:spacing w:line="360" w:lineRule="auto"/>
      <w:ind w:firstLine="1298"/>
    </w:pPr>
    <w:rPr>
      <w:rFonts w:ascii="Times New Roman" w:eastAsia="Calibri" w:hAnsi="Times New Roman" w:cs="Times New Roman"/>
      <w:szCs w:val="24"/>
    </w:rPr>
  </w:style>
  <w:style w:type="paragraph" w:customStyle="1" w:styleId="prastasiniatinklio1">
    <w:name w:val="Įprastas (žiniatinklio)1"/>
    <w:basedOn w:val="prastasis"/>
    <w:next w:val="prastasiniatinklio"/>
    <w:uiPriority w:val="99"/>
    <w:unhideWhenUsed/>
    <w:rsid w:val="00D26788"/>
    <w:pPr>
      <w:spacing w:after="160" w:line="259" w:lineRule="auto"/>
      <w:ind w:firstLine="1298"/>
    </w:pPr>
    <w:rPr>
      <w:rFonts w:ascii="Times New Roman" w:eastAsia="Calibri" w:hAnsi="Times New Roman" w:cs="Times New Roman"/>
      <w:szCs w:val="24"/>
      <w:lang w:eastAsia="en-US"/>
    </w:rPr>
  </w:style>
  <w:style w:type="paragraph" w:customStyle="1" w:styleId="Default">
    <w:name w:val="Default"/>
    <w:rsid w:val="00D26788"/>
    <w:pPr>
      <w:autoSpaceDE w:val="0"/>
      <w:autoSpaceDN w:val="0"/>
      <w:adjustRightInd w:val="0"/>
    </w:pPr>
    <w:rPr>
      <w:rFonts w:ascii="Times New Roman" w:eastAsia="Calibri" w:hAnsi="Times New Roman" w:cs="Times New Roman"/>
      <w:color w:val="000000"/>
      <w:sz w:val="24"/>
      <w:szCs w:val="24"/>
      <w:lang w:eastAsia="en-US"/>
    </w:rPr>
  </w:style>
  <w:style w:type="character" w:styleId="Grietas">
    <w:name w:val="Strong"/>
    <w:basedOn w:val="Numatytasispastraiposriftas"/>
    <w:uiPriority w:val="22"/>
    <w:qFormat/>
    <w:rsid w:val="00D26788"/>
    <w:rPr>
      <w:b/>
      <w:bCs/>
    </w:rPr>
  </w:style>
  <w:style w:type="paragraph" w:styleId="Dokumentoinaostekstas">
    <w:name w:val="endnote text"/>
    <w:basedOn w:val="prastasis"/>
    <w:link w:val="DokumentoinaostekstasDiagrama"/>
    <w:uiPriority w:val="99"/>
    <w:semiHidden/>
    <w:unhideWhenUsed/>
    <w:rsid w:val="00D26788"/>
    <w:pPr>
      <w:spacing w:line="360" w:lineRule="auto"/>
      <w:ind w:firstLine="1298"/>
    </w:pPr>
    <w:rPr>
      <w:rFonts w:ascii="Times New Roman" w:hAnsi="Times New Roman" w:cs="Times New Roman"/>
      <w:sz w:val="20"/>
      <w:lang w:eastAsia="en-US" w:bidi="he-IL"/>
    </w:rPr>
  </w:style>
  <w:style w:type="character" w:customStyle="1" w:styleId="DokumentoinaostekstasDiagrama">
    <w:name w:val="Dokumento išnašos tekstas Diagrama"/>
    <w:basedOn w:val="Numatytasispastraiposriftas"/>
    <w:link w:val="Dokumentoinaostekstas"/>
    <w:uiPriority w:val="99"/>
    <w:semiHidden/>
    <w:rsid w:val="00D26788"/>
    <w:rPr>
      <w:rFonts w:ascii="Times New Roman" w:hAnsi="Times New Roman" w:cs="Times New Roman"/>
      <w:lang w:eastAsia="en-US" w:bidi="he-IL"/>
    </w:rPr>
  </w:style>
  <w:style w:type="character" w:styleId="Dokumentoinaosnumeris">
    <w:name w:val="endnote reference"/>
    <w:basedOn w:val="Numatytasispastraiposriftas"/>
    <w:uiPriority w:val="99"/>
    <w:semiHidden/>
    <w:unhideWhenUsed/>
    <w:rsid w:val="00D26788"/>
    <w:rPr>
      <w:vertAlign w:val="superscript"/>
    </w:rPr>
  </w:style>
  <w:style w:type="character" w:styleId="Komentaronuoroda">
    <w:name w:val="annotation reference"/>
    <w:basedOn w:val="Numatytasispastraiposriftas"/>
    <w:uiPriority w:val="99"/>
    <w:semiHidden/>
    <w:unhideWhenUsed/>
    <w:rsid w:val="00D26788"/>
    <w:rPr>
      <w:sz w:val="16"/>
      <w:szCs w:val="16"/>
    </w:rPr>
  </w:style>
  <w:style w:type="paragraph" w:styleId="Komentarotekstas">
    <w:name w:val="annotation text"/>
    <w:basedOn w:val="prastasis"/>
    <w:link w:val="KomentarotekstasDiagrama"/>
    <w:uiPriority w:val="99"/>
    <w:unhideWhenUsed/>
    <w:rsid w:val="00D26788"/>
    <w:pPr>
      <w:spacing w:after="160"/>
    </w:pPr>
    <w:rPr>
      <w:rFonts w:ascii="Aptos" w:eastAsia="Aptos" w:hAnsi="Aptos" w:cs="Times New Roman"/>
      <w:kern w:val="2"/>
      <w:sz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D26788"/>
    <w:rPr>
      <w:rFonts w:ascii="Aptos" w:eastAsia="Aptos" w:hAnsi="Aptos" w:cs="Times New Roman"/>
      <w:kern w:val="2"/>
      <w:lang w:eastAsia="en-US"/>
      <w14:ligatures w14:val="standardContextual"/>
    </w:rPr>
  </w:style>
  <w:style w:type="character" w:customStyle="1" w:styleId="Neapdorotaspaminjimas1">
    <w:name w:val="Neapdorotas paminėjimas1"/>
    <w:basedOn w:val="Numatytasispastraiposriftas"/>
    <w:uiPriority w:val="99"/>
    <w:semiHidden/>
    <w:unhideWhenUsed/>
    <w:rsid w:val="00D26788"/>
    <w:rPr>
      <w:color w:val="605E5C"/>
      <w:shd w:val="clear" w:color="auto" w:fill="E1DFDD"/>
    </w:rPr>
  </w:style>
  <w:style w:type="character" w:styleId="Hipersaitas">
    <w:name w:val="Hyperlink"/>
    <w:basedOn w:val="Numatytasispastraiposriftas"/>
    <w:uiPriority w:val="99"/>
    <w:unhideWhenUsed/>
    <w:rsid w:val="00D26788"/>
    <w:rPr>
      <w:color w:val="467886" w:themeColor="hyperlink"/>
      <w:u w:val="single"/>
    </w:rPr>
  </w:style>
  <w:style w:type="paragraph" w:styleId="prastasiniatinklio">
    <w:name w:val="Normal (Web)"/>
    <w:basedOn w:val="prastasis"/>
    <w:uiPriority w:val="99"/>
    <w:semiHidden/>
    <w:unhideWhenUsed/>
    <w:rsid w:val="00D2678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kaunas.lt/administracija/administracine-informacija/administracines-nastos-mazinimas/" TargetMode="External"/><Relationship Id="rId2" Type="http://schemas.openxmlformats.org/officeDocument/2006/relationships/hyperlink" Target="https://www.kaunas.lt/administracija/administracine-informacija/finansiniu-ataskaitu-rinkiniai/" TargetMode="External"/><Relationship Id="rId1" Type="http://schemas.openxmlformats.org/officeDocument/2006/relationships/hyperlink" Target="https://www.kaunas.lt/administracija/administracine-informacija/biudzeto-vykdymo-ataskaitu-rinkini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Savivaldyb&#279;\Blankas_ataskait&#371;%20rinkinys_Savivaldyb&#279;.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Dokumentai_2025!$B$3</c:f>
              <c:strCache>
                <c:ptCount val="1"/>
                <c:pt idx="0">
                  <c:v>Mero potvarkiai veiklos klausimais, vnt.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(Dokumentai_2025!$C$2,Dokumentai_2025!$D$2,Dokumentai_2025!$E$2)</c:f>
              <c:strCache>
                <c:ptCount val="3"/>
                <c:pt idx="0">
                  <c:v>2023 m.</c:v>
                </c:pt>
                <c:pt idx="1">
                  <c:v>2024 m.</c:v>
                </c:pt>
                <c:pt idx="2">
                  <c:v>2025 m.</c:v>
                </c:pt>
              </c:strCache>
            </c:strRef>
          </c:cat>
          <c:val>
            <c:numRef>
              <c:f>(Dokumentai_2025!$C$3,Dokumentai_2025!$D$3,Dokumentai_2025!$E$3)</c:f>
              <c:numCache>
                <c:formatCode>General</c:formatCode>
                <c:ptCount val="3"/>
                <c:pt idx="0">
                  <c:v>1568</c:v>
                </c:pt>
                <c:pt idx="1">
                  <c:v>2635</c:v>
                </c:pt>
                <c:pt idx="2">
                  <c:v>2759</c:v>
                </c:pt>
              </c:numCache>
            </c:numRef>
          </c:val>
          <c:extLst>
            <c:ext xmlns:c16="http://schemas.microsoft.com/office/drawing/2014/chart" uri="{C3380CC4-5D6E-409C-BE32-E72D297353CC}">
              <c16:uniqueId val="{00000000-EE2C-40CB-9D09-84CEE1D062D4}"/>
            </c:ext>
          </c:extLst>
        </c:ser>
        <c:ser>
          <c:idx val="1"/>
          <c:order val="1"/>
          <c:tx>
            <c:strRef>
              <c:f>Dokumentai_2025!$B$4</c:f>
              <c:strCache>
                <c:ptCount val="1"/>
                <c:pt idx="0">
                  <c:v>Administracijos direktoriaus, jo pavaduotojų įsakymai veiklos klausimais ir seniūnų įsakymai (numerio suteikimo klausimais), vnt.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(Dokumentai_2025!$C$2,Dokumentai_2025!$D$2,Dokumentai_2025!$E$2)</c:f>
              <c:strCache>
                <c:ptCount val="3"/>
                <c:pt idx="0">
                  <c:v>2023 m.</c:v>
                </c:pt>
                <c:pt idx="1">
                  <c:v>2024 m.</c:v>
                </c:pt>
                <c:pt idx="2">
                  <c:v>2025 m.</c:v>
                </c:pt>
              </c:strCache>
            </c:strRef>
          </c:cat>
          <c:val>
            <c:numRef>
              <c:f>(Dokumentai_2025!$C$4,Dokumentai_2025!$D$4,Dokumentai_2025!$E$4)</c:f>
              <c:numCache>
                <c:formatCode>General</c:formatCode>
                <c:ptCount val="3"/>
                <c:pt idx="0">
                  <c:v>4392</c:v>
                </c:pt>
                <c:pt idx="1">
                  <c:v>3703</c:v>
                </c:pt>
                <c:pt idx="2">
                  <c:v>3703</c:v>
                </c:pt>
              </c:numCache>
            </c:numRef>
          </c:val>
          <c:extLst>
            <c:ext xmlns:c16="http://schemas.microsoft.com/office/drawing/2014/chart" uri="{C3380CC4-5D6E-409C-BE32-E72D297353CC}">
              <c16:uniqueId val="{00000001-EE2C-40CB-9D09-84CEE1D062D4}"/>
            </c:ext>
          </c:extLst>
        </c:ser>
        <c:dLbls>
          <c:showLegendKey val="0"/>
          <c:showVal val="0"/>
          <c:showCatName val="0"/>
          <c:showSerName val="0"/>
          <c:showPercent val="0"/>
          <c:showBubbleSize val="0"/>
        </c:dLbls>
        <c:gapWidth val="100"/>
        <c:axId val="1314961823"/>
        <c:axId val="1314963743"/>
      </c:barChart>
      <c:catAx>
        <c:axId val="1314961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314963743"/>
        <c:crosses val="autoZero"/>
        <c:auto val="1"/>
        <c:lblAlgn val="ctr"/>
        <c:lblOffset val="100"/>
        <c:noMultiLvlLbl val="0"/>
      </c:catAx>
      <c:valAx>
        <c:axId val="13149637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1496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900">
                <a:solidFill>
                  <a:sysClr val="windowText" lastClr="000000"/>
                </a:solidFill>
              </a:rPr>
              <a:t>Pastaba. Dėl apvalinimo procentų suma gali nesudaryti lygiai 100%</a:t>
            </a:r>
          </a:p>
        </c:rich>
      </c:tx>
      <c:layout>
        <c:manualLayout>
          <c:xMode val="edge"/>
          <c:yMode val="edge"/>
          <c:x val="8.8968290728364832E-2"/>
          <c:y val="0.9307693646077200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80347650118694"/>
          <c:y val="4.4537552998182926E-2"/>
          <c:w val="0.66373578302712166"/>
          <c:h val="0.89777001931362355"/>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D8A-4816-A027-B2E8849541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D8A-4816-A027-B2E8849541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D8A-4816-A027-B2E8849541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D8A-4816-A027-B2E88495418F}"/>
              </c:ext>
            </c:extLst>
          </c:dPt>
          <c:dLbls>
            <c:dLbl>
              <c:idx val="0"/>
              <c:layout>
                <c:manualLayout>
                  <c:x val="-0.28443722064201543"/>
                  <c:y val="-0.1076923076923077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D8A-4816-A027-B2E88495418F}"/>
                </c:ext>
              </c:extLst>
            </c:dLbl>
            <c:dLbl>
              <c:idx val="1"/>
              <c:layout>
                <c:manualLayout>
                  <c:x val="0.12677773262901249"/>
                  <c:y val="-0.1653846153846153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D8A-4816-A027-B2E88495418F}"/>
                </c:ext>
              </c:extLst>
            </c:dLbl>
            <c:dLbl>
              <c:idx val="2"/>
              <c:layout>
                <c:manualLayout>
                  <c:x val="0.2096708655018284"/>
                  <c:y val="-6.153846153846157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D8A-4816-A027-B2E88495418F}"/>
                </c:ext>
              </c:extLst>
            </c:dLbl>
            <c:dLbl>
              <c:idx val="3"/>
              <c:layout>
                <c:manualLayout>
                  <c:x val="0.27631044290938633"/>
                  <c:y val="5.384615384615377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D8A-4816-A027-B2E88495418F}"/>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Grafikai_2025!$E$5:$E$8</c:f>
              <c:strCache>
                <c:ptCount val="4"/>
                <c:pt idx="0">
                  <c:v>Įvykdyta</c:v>
                </c:pt>
                <c:pt idx="1">
                  <c:v>Iš dalies įvykdyta</c:v>
                </c:pt>
                <c:pt idx="2">
                  <c:v>Neįvykdyta</c:v>
                </c:pt>
                <c:pt idx="3">
                  <c:v>Nevykdyta</c:v>
                </c:pt>
              </c:strCache>
            </c:strRef>
          </c:cat>
          <c:val>
            <c:numRef>
              <c:f>Grafikai_2025!$F$5:$F$8</c:f>
              <c:numCache>
                <c:formatCode>General</c:formatCode>
                <c:ptCount val="4"/>
                <c:pt idx="0">
                  <c:v>97</c:v>
                </c:pt>
                <c:pt idx="1">
                  <c:v>6</c:v>
                </c:pt>
                <c:pt idx="2">
                  <c:v>4</c:v>
                </c:pt>
                <c:pt idx="3">
                  <c:v>4</c:v>
                </c:pt>
              </c:numCache>
            </c:numRef>
          </c:val>
          <c:extLst>
            <c:ext xmlns:c16="http://schemas.microsoft.com/office/drawing/2014/chart" uri="{C3380CC4-5D6E-409C-BE32-E72D297353CC}">
              <c16:uniqueId val="{00000008-BD8A-4816-A027-B2E88495418F}"/>
            </c:ext>
          </c:extLst>
        </c:ser>
        <c:dLbls>
          <c:showLegendKey val="0"/>
          <c:showVal val="0"/>
          <c:showCatName val="0"/>
          <c:showSerName val="0"/>
          <c:showPercent val="0"/>
          <c:showBubbleSize val="0"/>
          <c:showLeaderLines val="0"/>
        </c:dLbls>
        <c:firstSliceAng val="85"/>
        <c:holeSize val="4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lumMod val="25000"/>
          <a:lumOff val="75000"/>
          <a:alpha val="93000"/>
        </a:sys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lt-LT" sz="900">
                <a:solidFill>
                  <a:sysClr val="windowText" lastClr="000000"/>
                </a:solidFill>
              </a:rPr>
              <a:t>Pastaba. Dėl apvalinimo procentų suma gali nesudaryti lygiai 100%</a:t>
            </a:r>
          </a:p>
        </c:rich>
      </c:tx>
      <c:layout>
        <c:manualLayout>
          <c:xMode val="edge"/>
          <c:yMode val="edge"/>
          <c:x val="1.5609188220750128E-3"/>
          <c:y val="0.92656389744856371"/>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80347650118694"/>
          <c:y val="4.4537552998182926E-2"/>
          <c:w val="0.66373578302712166"/>
          <c:h val="0.8977700193136235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84-485D-BBB6-5155AEB8EB3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84-485D-BBB6-5155AEB8EB3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84-485D-BBB6-5155AEB8EB3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84-485D-BBB6-5155AEB8EB3E}"/>
              </c:ext>
            </c:extLst>
          </c:dPt>
          <c:dLbls>
            <c:dLbl>
              <c:idx val="0"/>
              <c:layout>
                <c:manualLayout>
                  <c:x val="-0.2681836651767574"/>
                  <c:y val="-7.69230769230769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84-485D-BBB6-5155AEB8EB3E}"/>
                </c:ext>
              </c:extLst>
            </c:dLbl>
            <c:dLbl>
              <c:idx val="1"/>
              <c:layout>
                <c:manualLayout>
                  <c:x val="9.4270621698496551E-2"/>
                  <c:y val="-0.2307692307692308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84-485D-BBB6-5155AEB8EB3E}"/>
                </c:ext>
              </c:extLst>
            </c:dLbl>
            <c:dLbl>
              <c:idx val="2"/>
              <c:layout>
                <c:manualLayout>
                  <c:x val="0.19179195449004469"/>
                  <c:y val="-0.1269230769230769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84-485D-BBB6-5155AEB8EB3E}"/>
                </c:ext>
              </c:extLst>
            </c:dLbl>
            <c:dLbl>
              <c:idx val="3"/>
              <c:layout>
                <c:manualLayout>
                  <c:x val="0.26493295408370582"/>
                  <c:y val="-7.0512005952110734E-1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D84-485D-BBB6-5155AEB8EB3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Grafikai_2025!$M$5:$M$8</c:f>
              <c:strCache>
                <c:ptCount val="4"/>
                <c:pt idx="0">
                  <c:v>Įvykdyta</c:v>
                </c:pt>
                <c:pt idx="1">
                  <c:v>Iš dalies įvykdyta</c:v>
                </c:pt>
                <c:pt idx="2">
                  <c:v>Neįvykdyta</c:v>
                </c:pt>
                <c:pt idx="3">
                  <c:v>Nevykdyta</c:v>
                </c:pt>
              </c:strCache>
            </c:strRef>
          </c:cat>
          <c:val>
            <c:numRef>
              <c:f>Grafikai_2025!$N$5:$N$8</c:f>
              <c:numCache>
                <c:formatCode>General</c:formatCode>
                <c:ptCount val="4"/>
                <c:pt idx="0">
                  <c:v>960</c:v>
                </c:pt>
                <c:pt idx="1">
                  <c:v>56</c:v>
                </c:pt>
                <c:pt idx="2">
                  <c:v>23</c:v>
                </c:pt>
                <c:pt idx="3">
                  <c:v>21</c:v>
                </c:pt>
              </c:numCache>
            </c:numRef>
          </c:val>
          <c:extLst>
            <c:ext xmlns:c16="http://schemas.microsoft.com/office/drawing/2014/chart" uri="{C3380CC4-5D6E-409C-BE32-E72D297353CC}">
              <c16:uniqueId val="{00000008-FD84-485D-BBB6-5155AEB8EB3E}"/>
            </c:ext>
          </c:extLst>
        </c:ser>
        <c:dLbls>
          <c:showLegendKey val="0"/>
          <c:showVal val="0"/>
          <c:showCatName val="0"/>
          <c:showSerName val="0"/>
          <c:showPercent val="0"/>
          <c:showBubbleSize val="0"/>
          <c:showLeaderLines val="0"/>
        </c:dLbls>
        <c:firstSliceAng val="85"/>
        <c:holeSize val="4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lumMod val="25000"/>
          <a:lumOff val="75000"/>
          <a:alpha val="93000"/>
        </a:sys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900">
                <a:solidFill>
                  <a:sysClr val="windowText" lastClr="000000"/>
                </a:solidFill>
              </a:rPr>
              <a:t>Pastaba: dėl apvalinimo procentų suma gali nesudaryti lygiai 100,0%</a:t>
            </a:r>
          </a:p>
        </c:rich>
      </c:tx>
      <c:layout>
        <c:manualLayout>
          <c:xMode val="edge"/>
          <c:yMode val="edge"/>
          <c:x val="8.2966519428973821E-3"/>
          <c:y val="0.9307692307692307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80347650118694"/>
          <c:y val="4.4537552998182926E-2"/>
          <c:w val="0.66373578302712166"/>
          <c:h val="0.89777001931362355"/>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1B-4FB6-B1B6-9E73EA4D7E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B1B-4FB6-B1B6-9E73EA4D7E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B1B-4FB6-B1B6-9E73EA4D7E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B1B-4FB6-B1B6-9E73EA4D7EB5}"/>
              </c:ext>
            </c:extLst>
          </c:dPt>
          <c:dLbls>
            <c:dLbl>
              <c:idx val="0"/>
              <c:layout>
                <c:manualLayout>
                  <c:x val="-0.22700587084148727"/>
                  <c:y val="-0.12692307692307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B1B-4FB6-B1B6-9E73EA4D7EB5}"/>
                </c:ext>
              </c:extLst>
            </c:dLbl>
            <c:dLbl>
              <c:idx val="1"/>
              <c:layout>
                <c:manualLayout>
                  <c:x val="0.18384221580145618"/>
                  <c:y val="-0.143369692285396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B1B-4FB6-B1B6-9E73EA4D7EB5}"/>
                </c:ext>
              </c:extLst>
            </c:dLbl>
            <c:dLbl>
              <c:idx val="2"/>
              <c:layout>
                <c:manualLayout>
                  <c:x val="0.24643602556216421"/>
                  <c:y val="-3.102883918651277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B1B-4FB6-B1B6-9E73EA4D7EB5}"/>
                </c:ext>
              </c:extLst>
            </c:dLbl>
            <c:dLbl>
              <c:idx val="3"/>
              <c:layout>
                <c:manualLayout>
                  <c:x val="0.28271564093703971"/>
                  <c:y val="5.76922853968407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B1B-4FB6-B1B6-9E73EA4D7EB5}"/>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Grafikai_2025!$V$5:$V$8</c:f>
              <c:strCache>
                <c:ptCount val="4"/>
                <c:pt idx="0">
                  <c:v>Įvykdyta</c:v>
                </c:pt>
                <c:pt idx="1">
                  <c:v>Iš dalies įvykdyta</c:v>
                </c:pt>
                <c:pt idx="2">
                  <c:v>Neįvykdyta</c:v>
                </c:pt>
                <c:pt idx="3">
                  <c:v>Nevykdyta</c:v>
                </c:pt>
              </c:strCache>
            </c:strRef>
          </c:cat>
          <c:val>
            <c:numRef>
              <c:f>Grafikai_2025!$W$5:$W$8</c:f>
              <c:numCache>
                <c:formatCode>General</c:formatCode>
                <c:ptCount val="4"/>
                <c:pt idx="0">
                  <c:v>314</c:v>
                </c:pt>
                <c:pt idx="1">
                  <c:v>32</c:v>
                </c:pt>
                <c:pt idx="2">
                  <c:v>22</c:v>
                </c:pt>
                <c:pt idx="3">
                  <c:v>31</c:v>
                </c:pt>
              </c:numCache>
            </c:numRef>
          </c:val>
          <c:extLst>
            <c:ext xmlns:c16="http://schemas.microsoft.com/office/drawing/2014/chart" uri="{C3380CC4-5D6E-409C-BE32-E72D297353CC}">
              <c16:uniqueId val="{00000008-CB1B-4FB6-B1B6-9E73EA4D7EB5}"/>
            </c:ext>
          </c:extLst>
        </c:ser>
        <c:dLbls>
          <c:showLegendKey val="0"/>
          <c:showVal val="0"/>
          <c:showCatName val="0"/>
          <c:showSerName val="0"/>
          <c:showPercent val="0"/>
          <c:showBubbleSize val="0"/>
          <c:showLeaderLines val="0"/>
        </c:dLbls>
        <c:firstSliceAng val="107"/>
        <c:holeSize val="4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lumMod val="25000"/>
          <a:lumOff val="75000"/>
          <a:alpha val="93000"/>
        </a:sys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900">
                <a:solidFill>
                  <a:sysClr val="windowText" lastClr="000000"/>
                </a:solidFill>
              </a:rPr>
              <a:t>Pastaba: dėl apvalinimo procentų suma gali nesudaryti lygiai 100,0%</a:t>
            </a:r>
          </a:p>
        </c:rich>
      </c:tx>
      <c:layout>
        <c:manualLayout>
          <c:xMode val="edge"/>
          <c:yMode val="edge"/>
          <c:x val="1.1327657009381004E-2"/>
          <c:y val="0.926923076923076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80347650118694"/>
          <c:y val="4.4537552998182926E-2"/>
          <c:w val="0.66373578302712166"/>
          <c:h val="0.89777001931362355"/>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A6-4C7C-92B6-1884C44FC9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A6-4C7C-92B6-1884C44FC9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A6-4C7C-92B6-1884C44FC9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A6-4C7C-92B6-1884C44FC940}"/>
              </c:ext>
            </c:extLst>
          </c:dPt>
          <c:dLbls>
            <c:dLbl>
              <c:idx val="0"/>
              <c:layout>
                <c:manualLayout>
                  <c:x val="-0.2217873450750163"/>
                  <c:y val="-0.1153846153846153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EA6-4C7C-92B6-1884C44FC940}"/>
                </c:ext>
              </c:extLst>
            </c:dLbl>
            <c:dLbl>
              <c:idx val="1"/>
              <c:layout>
                <c:manualLayout>
                  <c:x val="0.17221135029354206"/>
                  <c:y val="-0.2076923076923077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EA6-4C7C-92B6-1884C44FC940}"/>
                </c:ext>
              </c:extLst>
            </c:dLbl>
            <c:dLbl>
              <c:idx val="2"/>
              <c:layout>
                <c:manualLayout>
                  <c:x val="0.24964216074297901"/>
                  <c:y val="-6.616891802710300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EA6-4C7C-92B6-1884C44FC940}"/>
                </c:ext>
              </c:extLst>
            </c:dLbl>
            <c:dLbl>
              <c:idx val="3"/>
              <c:layout>
                <c:manualLayout>
                  <c:x val="0.28544993967257359"/>
                  <c:y val="6.116516521249204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EA6-4C7C-92B6-1884C44FC940}"/>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Grafikai_2025!$AE$5:$AE$8</c:f>
              <c:strCache>
                <c:ptCount val="4"/>
                <c:pt idx="0">
                  <c:v>Įvykdyta</c:v>
                </c:pt>
                <c:pt idx="1">
                  <c:v>Iš dalies įvykdyta</c:v>
                </c:pt>
                <c:pt idx="2">
                  <c:v>Neįvykdyta</c:v>
                </c:pt>
                <c:pt idx="3">
                  <c:v>Nevykdyta</c:v>
                </c:pt>
              </c:strCache>
            </c:strRef>
          </c:cat>
          <c:val>
            <c:numRef>
              <c:f>Grafikai_2025!$AF$5:$AF$8</c:f>
              <c:numCache>
                <c:formatCode>General</c:formatCode>
                <c:ptCount val="4"/>
                <c:pt idx="0">
                  <c:v>1371</c:v>
                </c:pt>
                <c:pt idx="1">
                  <c:v>94</c:v>
                </c:pt>
                <c:pt idx="2">
                  <c:v>49</c:v>
                </c:pt>
                <c:pt idx="3">
                  <c:v>56</c:v>
                </c:pt>
              </c:numCache>
            </c:numRef>
          </c:val>
          <c:extLst>
            <c:ext xmlns:c16="http://schemas.microsoft.com/office/drawing/2014/chart" uri="{C3380CC4-5D6E-409C-BE32-E72D297353CC}">
              <c16:uniqueId val="{00000008-EEA6-4C7C-92B6-1884C44FC940}"/>
            </c:ext>
          </c:extLst>
        </c:ser>
        <c:dLbls>
          <c:showLegendKey val="0"/>
          <c:showVal val="0"/>
          <c:showCatName val="0"/>
          <c:showSerName val="0"/>
          <c:showPercent val="0"/>
          <c:showBubbleSize val="0"/>
          <c:showLeaderLines val="0"/>
        </c:dLbls>
        <c:firstSliceAng val="93"/>
        <c:holeSize val="4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lumMod val="25000"/>
          <a:lumOff val="75000"/>
          <a:alpha val="93000"/>
        </a:sys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900">
                <a:solidFill>
                  <a:sysClr val="windowText" lastClr="000000"/>
                </a:solidFill>
              </a:rPr>
              <a:t>Pastaba. Dėl apvalinimo procentų suma gali nesudaryti lygiai 100 %</a:t>
            </a:r>
          </a:p>
        </c:rich>
      </c:tx>
      <c:layout>
        <c:manualLayout>
          <c:xMode val="edge"/>
          <c:yMode val="edge"/>
          <c:x val="8.4965141242757097E-3"/>
          <c:y val="0.926923076923076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80347650118694"/>
          <c:y val="4.4537552998182926E-2"/>
          <c:w val="0.66373578302712166"/>
          <c:h val="0.8977700193136235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201-4912-BA1B-26FFC26BC2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201-4912-BA1B-26FFC26BC2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201-4912-BA1B-26FFC26BC246}"/>
              </c:ext>
            </c:extLst>
          </c:dPt>
          <c:dLbls>
            <c:dLbl>
              <c:idx val="0"/>
              <c:layout>
                <c:manualLayout>
                  <c:x val="0.301482701812191"/>
                  <c:y val="-7.307692307692308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201-4912-BA1B-26FFC26BC246}"/>
                </c:ext>
              </c:extLst>
            </c:dLbl>
            <c:dLbl>
              <c:idx val="1"/>
              <c:layout>
                <c:manualLayout>
                  <c:x val="-0.30642504118616143"/>
                  <c:y val="0.138461538461538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201-4912-BA1B-26FFC26BC246}"/>
                </c:ext>
              </c:extLst>
            </c:dLbl>
            <c:dLbl>
              <c:idx val="2"/>
              <c:layout>
                <c:manualLayout>
                  <c:x val="0.34102141680395376"/>
                  <c:y val="1.153846153846153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201-4912-BA1B-26FFC26BC246}"/>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Grafikai_2025!$E$28:$E$30</c:f>
              <c:strCache>
                <c:ptCount val="3"/>
                <c:pt idx="0">
                  <c:v>Gyventojų pajamų mokestis</c:v>
                </c:pt>
                <c:pt idx="1">
                  <c:v>Turto mokesčiai</c:v>
                </c:pt>
                <c:pt idx="2">
                  <c:v>Mokesčiai už aplinkos teršimą</c:v>
                </c:pt>
              </c:strCache>
            </c:strRef>
          </c:cat>
          <c:val>
            <c:numRef>
              <c:f>Grafikai_2025!$F$28:$F$30</c:f>
              <c:numCache>
                <c:formatCode>#,##0.00</c:formatCode>
                <c:ptCount val="3"/>
                <c:pt idx="0">
                  <c:v>378606.4</c:v>
                </c:pt>
                <c:pt idx="1">
                  <c:v>29794.7</c:v>
                </c:pt>
                <c:pt idx="2">
                  <c:v>1447.4</c:v>
                </c:pt>
              </c:numCache>
            </c:numRef>
          </c:val>
          <c:extLst>
            <c:ext xmlns:c16="http://schemas.microsoft.com/office/drawing/2014/chart" uri="{C3380CC4-5D6E-409C-BE32-E72D297353CC}">
              <c16:uniqueId val="{00000006-6201-4912-BA1B-26FFC26BC246}"/>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900">
                <a:solidFill>
                  <a:sysClr val="windowText" lastClr="000000"/>
                </a:solidFill>
              </a:rPr>
              <a:t>Pastaba. Dėl apvalinimo procentų suma gali nesudaryti lygiai 100 %</a:t>
            </a:r>
          </a:p>
        </c:rich>
      </c:tx>
      <c:layout>
        <c:manualLayout>
          <c:xMode val="edge"/>
          <c:yMode val="edge"/>
          <c:x val="1.0121869670801512E-2"/>
          <c:y val="0.926923076923076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80347650118694"/>
          <c:y val="4.4537552998182926E-2"/>
          <c:w val="0.66373578302712166"/>
          <c:h val="0.8977700193136235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3B-49D6-A5D7-5AF747EAA3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3B-49D6-A5D7-5AF747EAA3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3B-49D6-A5D7-5AF747EAA3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3B-49D6-A5D7-5AF747EAA306}"/>
              </c:ext>
            </c:extLst>
          </c:dPt>
          <c:dLbls>
            <c:dLbl>
              <c:idx val="0"/>
              <c:layout>
                <c:manualLayout>
                  <c:x val="0.26523887973640847"/>
                  <c:y val="0.3038461538461538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3B-49D6-A5D7-5AF747EAA306}"/>
                </c:ext>
              </c:extLst>
            </c:dLbl>
            <c:dLbl>
              <c:idx val="1"/>
              <c:layout>
                <c:manualLayout>
                  <c:x val="0.40936843678853868"/>
                  <c:y val="-8.271099675025367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3B-49D6-A5D7-5AF747EAA306}"/>
                </c:ext>
              </c:extLst>
            </c:dLbl>
            <c:dLbl>
              <c:idx val="2"/>
              <c:layout>
                <c:manualLayout>
                  <c:x val="-0.2979884050441407"/>
                  <c:y val="-1.4889680650954711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9809558118960622"/>
                      <c:h val="0.20216714256163598"/>
                    </c:manualLayout>
                  </c15:layout>
                </c:ext>
                <c:ext xmlns:c16="http://schemas.microsoft.com/office/drawing/2014/chart" uri="{C3380CC4-5D6E-409C-BE32-E72D297353CC}">
                  <c16:uniqueId val="{00000005-4A3B-49D6-A5D7-5AF747EAA306}"/>
                </c:ext>
              </c:extLst>
            </c:dLbl>
            <c:dLbl>
              <c:idx val="3"/>
              <c:layout>
                <c:manualLayout>
                  <c:x val="0.33607906854780406"/>
                  <c:y val="-1.763447013267708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7993616810970525"/>
                      <c:h val="0.1919914319573299"/>
                    </c:manualLayout>
                  </c15:layout>
                </c:ext>
                <c:ext xmlns:c16="http://schemas.microsoft.com/office/drawing/2014/chart" uri="{C3380CC4-5D6E-409C-BE32-E72D297353CC}">
                  <c16:uniqueId val="{00000007-4A3B-49D6-A5D7-5AF747EAA306}"/>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Grafikai_2025!$E$53:$E$56</c:f>
              <c:strCache>
                <c:ptCount val="4"/>
                <c:pt idx="0">
                  <c:v>Turto pajamos</c:v>
                </c:pt>
                <c:pt idx="1">
                  <c:v>Pajamos už prekes ir paslaugas</c:v>
                </c:pt>
                <c:pt idx="2">
                  <c:v>Pajamos iš baudų, konfiskuoto turto ir kitų netesybų</c:v>
                </c:pt>
                <c:pt idx="3">
                  <c:v>Kitos neišvardintos pajamos</c:v>
                </c:pt>
              </c:strCache>
            </c:strRef>
          </c:cat>
          <c:val>
            <c:numRef>
              <c:f>Grafikai_2025!$F$53:$F$56</c:f>
              <c:numCache>
                <c:formatCode>#,##0.00</c:formatCode>
                <c:ptCount val="4"/>
                <c:pt idx="0">
                  <c:v>8256</c:v>
                </c:pt>
                <c:pt idx="1">
                  <c:v>42383.3</c:v>
                </c:pt>
                <c:pt idx="2">
                  <c:v>2532.1</c:v>
                </c:pt>
                <c:pt idx="3">
                  <c:v>834.4</c:v>
                </c:pt>
              </c:numCache>
            </c:numRef>
          </c:val>
          <c:extLst>
            <c:ext xmlns:c16="http://schemas.microsoft.com/office/drawing/2014/chart" uri="{C3380CC4-5D6E-409C-BE32-E72D297353CC}">
              <c16:uniqueId val="{00000008-4A3B-49D6-A5D7-5AF747EAA306}"/>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900">
                <a:solidFill>
                  <a:sysClr val="windowText" lastClr="000000"/>
                </a:solidFill>
              </a:rPr>
              <a:t>Pastaba. Dėl apvalinimo procentų suma gali nesudaryti lygiai 100%</a:t>
            </a:r>
          </a:p>
        </c:rich>
      </c:tx>
      <c:layout>
        <c:manualLayout>
          <c:xMode val="edge"/>
          <c:yMode val="edge"/>
          <c:x val="1.1460853266534119E-2"/>
          <c:y val="0.9504654378550491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FE-4DF1-BA3E-61529BF1A8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FE-4DF1-BA3E-61529BF1A8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FE-4DF1-BA3E-61529BF1A8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FE-4DF1-BA3E-61529BF1A8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6FE-4DF1-BA3E-61529BF1A8E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6FE-4DF1-BA3E-61529BF1A8E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6FE-4DF1-BA3E-61529BF1A8E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6FE-4DF1-BA3E-61529BF1A8E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66FE-4DF1-BA3E-61529BF1A8E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66FE-4DF1-BA3E-61529BF1A8EC}"/>
              </c:ext>
            </c:extLst>
          </c:dPt>
          <c:dLbls>
            <c:dLbl>
              <c:idx val="0"/>
              <c:layout>
                <c:manualLayout>
                  <c:x val="-0.18796923260409443"/>
                  <c:y val="-0.14151959641976808"/>
                </c:manualLayout>
              </c:layout>
              <c:showLegendKey val="0"/>
              <c:showVal val="0"/>
              <c:showCatName val="1"/>
              <c:showSerName val="0"/>
              <c:showPercent val="1"/>
              <c:showBubbleSize val="0"/>
              <c:extLst>
                <c:ext xmlns:c15="http://schemas.microsoft.com/office/drawing/2012/chart" uri="{CE6537A1-D6FC-4f65-9D91-7224C49458BB}">
                  <c15:layout>
                    <c:manualLayout>
                      <c:w val="0.29225023342670398"/>
                      <c:h val="0.12853288607786054"/>
                    </c:manualLayout>
                  </c15:layout>
                </c:ext>
                <c:ext xmlns:c16="http://schemas.microsoft.com/office/drawing/2014/chart" uri="{C3380CC4-5D6E-409C-BE32-E72D297353CC}">
                  <c16:uniqueId val="{00000001-66FE-4DF1-BA3E-61529BF1A8EC}"/>
                </c:ext>
              </c:extLst>
            </c:dLbl>
            <c:dLbl>
              <c:idx val="1"/>
              <c:layout>
                <c:manualLayout>
                  <c:x val="3.8755449686436252E-2"/>
                  <c:y val="-0.15820798035927044"/>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3371759902561201"/>
                      <c:h val="0.11989345954515168"/>
                    </c:manualLayout>
                  </c15:layout>
                </c:ext>
                <c:ext xmlns:c16="http://schemas.microsoft.com/office/drawing/2014/chart" uri="{C3380CC4-5D6E-409C-BE32-E72D297353CC}">
                  <c16:uniqueId val="{00000003-66FE-4DF1-BA3E-61529BF1A8EC}"/>
                </c:ext>
              </c:extLst>
            </c:dLbl>
            <c:dLbl>
              <c:idx val="2"/>
              <c:layout>
                <c:manualLayout>
                  <c:x val="0.25558177776797508"/>
                  <c:y val="-1.1962005166194537E-2"/>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5422990426850237"/>
                      <c:h val="0.11152645623340436"/>
                    </c:manualLayout>
                  </c15:layout>
                </c:ext>
                <c:ext xmlns:c16="http://schemas.microsoft.com/office/drawing/2014/chart" uri="{C3380CC4-5D6E-409C-BE32-E72D297353CC}">
                  <c16:uniqueId val="{00000005-66FE-4DF1-BA3E-61529BF1A8EC}"/>
                </c:ext>
              </c:extLst>
            </c:dLbl>
            <c:dLbl>
              <c:idx val="3"/>
              <c:layout>
                <c:manualLayout>
                  <c:x val="0.22513607367706473"/>
                  <c:y val="2.348747673735409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6FE-4DF1-BA3E-61529BF1A8EC}"/>
                </c:ext>
              </c:extLst>
            </c:dLbl>
            <c:dLbl>
              <c:idx val="4"/>
              <c:layout>
                <c:manualLayout>
                  <c:x val="0.14075579380034189"/>
                  <c:y val="-6.629110385592051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6FE-4DF1-BA3E-61529BF1A8EC}"/>
                </c:ext>
              </c:extLst>
            </c:dLbl>
            <c:dLbl>
              <c:idx val="5"/>
              <c:layout>
                <c:manualLayout>
                  <c:x val="0.16715058541738198"/>
                  <c:y val="2.4576744980048158E-2"/>
                </c:manualLayout>
              </c:layout>
              <c:showLegendKey val="0"/>
              <c:showVal val="0"/>
              <c:showCatName val="1"/>
              <c:showSerName val="0"/>
              <c:showPercent val="1"/>
              <c:showBubbleSize val="0"/>
              <c:extLst>
                <c:ext xmlns:c15="http://schemas.microsoft.com/office/drawing/2012/chart" uri="{CE6537A1-D6FC-4f65-9D91-7224C49458BB}">
                  <c15:layout>
                    <c:manualLayout>
                      <c:w val="0.23165755177744446"/>
                      <c:h val="0.11296929347246226"/>
                    </c:manualLayout>
                  </c15:layout>
                </c:ext>
                <c:ext xmlns:c16="http://schemas.microsoft.com/office/drawing/2014/chart" uri="{C3380CC4-5D6E-409C-BE32-E72D297353CC}">
                  <c16:uniqueId val="{0000000B-66FE-4DF1-BA3E-61529BF1A8EC}"/>
                </c:ext>
              </c:extLst>
            </c:dLbl>
            <c:dLbl>
              <c:idx val="6"/>
              <c:layout>
                <c:manualLayout>
                  <c:x val="0.20682507791053553"/>
                  <c:y val="0.1027204119810226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6FE-4DF1-BA3E-61529BF1A8EC}"/>
                </c:ext>
              </c:extLst>
            </c:dLbl>
            <c:dLbl>
              <c:idx val="7"/>
              <c:layout>
                <c:manualLayout>
                  <c:x val="0.12794577393869991"/>
                  <c:y val="0.14495984749873733"/>
                </c:manualLayout>
              </c:layout>
              <c:showLegendKey val="0"/>
              <c:showVal val="0"/>
              <c:showCatName val="1"/>
              <c:showSerName val="0"/>
              <c:showPercent val="1"/>
              <c:showBubbleSize val="0"/>
              <c:extLst>
                <c:ext xmlns:c15="http://schemas.microsoft.com/office/drawing/2012/chart" uri="{CE6537A1-D6FC-4f65-9D91-7224C49458BB}">
                  <c15:layout>
                    <c:manualLayout>
                      <c:w val="0.2420334713062828"/>
                      <c:h val="0.12019607907494265"/>
                    </c:manualLayout>
                  </c15:layout>
                </c:ext>
                <c:ext xmlns:c16="http://schemas.microsoft.com/office/drawing/2014/chart" uri="{C3380CC4-5D6E-409C-BE32-E72D297353CC}">
                  <c16:uniqueId val="{0000000F-66FE-4DF1-BA3E-61529BF1A8EC}"/>
                </c:ext>
              </c:extLst>
            </c:dLbl>
            <c:dLbl>
              <c:idx val="8"/>
              <c:layout>
                <c:manualLayout>
                  <c:x val="-0.16462736373748613"/>
                  <c:y val="5.959030958338866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6FE-4DF1-BA3E-61529BF1A8EC}"/>
                </c:ext>
              </c:extLst>
            </c:dLbl>
            <c:dLbl>
              <c:idx val="9"/>
              <c:layout>
                <c:manualLayout>
                  <c:x val="-0.2882966426582298"/>
                  <c:y val="5.948804127704124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66FE-4DF1-BA3E-61529BF1A8EC}"/>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Grafikai_2025!$B$117:$B$126</c:f>
              <c:strCache>
                <c:ptCount val="10"/>
                <c:pt idx="0">
                  <c:v>01. Bendros valstybės paslaugos</c:v>
                </c:pt>
                <c:pt idx="1">
                  <c:v>02. Gynyba</c:v>
                </c:pt>
                <c:pt idx="2">
                  <c:v>03. Viešoji tvarka ir visuomenės apsauga</c:v>
                </c:pt>
                <c:pt idx="3">
                  <c:v>04. Ekonomika</c:v>
                </c:pt>
                <c:pt idx="4">
                  <c:v>05. Aplinkos apsauga</c:v>
                </c:pt>
                <c:pt idx="5">
                  <c:v>06. Būstas ir komunalinis ūkis</c:v>
                </c:pt>
                <c:pt idx="6">
                  <c:v>07. Sveikatos apsauga</c:v>
                </c:pt>
                <c:pt idx="7">
                  <c:v>08. Poilsis, kultūra ir religija</c:v>
                </c:pt>
                <c:pt idx="8">
                  <c:v>09. Švietimas</c:v>
                </c:pt>
                <c:pt idx="9">
                  <c:v>10. Socialinė apsauga</c:v>
                </c:pt>
              </c:strCache>
            </c:strRef>
          </c:cat>
          <c:val>
            <c:numRef>
              <c:f>Grafikai_2025!$C$117:$C$126</c:f>
              <c:numCache>
                <c:formatCode>General</c:formatCode>
                <c:ptCount val="10"/>
                <c:pt idx="0" formatCode="#,##0.00">
                  <c:v>48640.4</c:v>
                </c:pt>
                <c:pt idx="1">
                  <c:v>193.3</c:v>
                </c:pt>
                <c:pt idx="2">
                  <c:v>111.5</c:v>
                </c:pt>
                <c:pt idx="3" formatCode="#,##0.00">
                  <c:v>154114.4</c:v>
                </c:pt>
                <c:pt idx="4" formatCode="#,##0.00">
                  <c:v>11194.1</c:v>
                </c:pt>
                <c:pt idx="5" formatCode="#,##0.00">
                  <c:v>33505.1</c:v>
                </c:pt>
                <c:pt idx="6" formatCode="#,##0.00">
                  <c:v>14665.3</c:v>
                </c:pt>
                <c:pt idx="7" formatCode="#,##0.00">
                  <c:v>75502</c:v>
                </c:pt>
                <c:pt idx="8" formatCode="#,##0.00">
                  <c:v>373756.2</c:v>
                </c:pt>
                <c:pt idx="9" formatCode="#,##0.00">
                  <c:v>103482</c:v>
                </c:pt>
              </c:numCache>
            </c:numRef>
          </c:val>
          <c:extLst>
            <c:ext xmlns:c16="http://schemas.microsoft.com/office/drawing/2014/chart" uri="{C3380CC4-5D6E-409C-BE32-E72D297353CC}">
              <c16:uniqueId val="{00000014-66FE-4DF1-BA3E-61529BF1A8EC}"/>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096-1372-4907-B30B-22439625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Blankas_ataskaitų rinkinys_Savivaldybė</Template>
  <TotalTime>15</TotalTime>
  <Pages>79</Pages>
  <Words>21428</Words>
  <Characters>148930</Characters>
  <Application>Microsoft Office Word</Application>
  <DocSecurity>0</DocSecurity>
  <Lines>3723</Lines>
  <Paragraphs>1468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Vardas Pavardė</Manager>
  <Company>KAUNO MIESTO SAVIVALDYBĖ</Company>
  <LinksUpToDate>false</LinksUpToDate>
  <CharactersWithSpaces>168890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DOKUMENTO ANTRAŠTĖ</dc:subject>
  <dc:creator>Windows User</dc:creator>
  <cp:keywords/>
  <cp:lastModifiedBy>Linvydas Pilkauskas</cp:lastModifiedBy>
  <cp:revision>8</cp:revision>
  <cp:lastPrinted>2001-05-16T08:19:00Z</cp:lastPrinted>
  <dcterms:created xsi:type="dcterms:W3CDTF">2026-04-17T09:36:00Z</dcterms:created>
  <dcterms:modified xsi:type="dcterms:W3CDTF">2026-06-18T07:49:00Z</dcterms:modified>
</cp:coreProperties>
</file>