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D57" w:rsidRPr="005279C3" w:rsidRDefault="008C25D8" w:rsidP="008C25D8">
      <w:pPr>
        <w:tabs>
          <w:tab w:val="center" w:pos="4819"/>
          <w:tab w:val="right" w:pos="9638"/>
        </w:tabs>
        <w:ind w:left="5192"/>
        <w:rPr>
          <w:rFonts w:asciiTheme="minorHAnsi" w:hAnsiTheme="minorHAnsi" w:cstheme="minorHAnsi"/>
          <w:color w:val="000000"/>
          <w:szCs w:val="24"/>
          <w:lang w:eastAsia="lt-LT"/>
        </w:rPr>
      </w:pPr>
      <w:r w:rsidRPr="005279C3">
        <w:rPr>
          <w:rFonts w:asciiTheme="minorHAnsi" w:hAnsiTheme="minorHAnsi" w:cstheme="minorHAnsi"/>
          <w:color w:val="000000"/>
          <w:szCs w:val="24"/>
          <w:lang w:eastAsia="lt-LT"/>
        </w:rPr>
        <w:t>Biudžeto vykdymo ataskaitų rinkinių</w:t>
      </w:r>
    </w:p>
    <w:p w:rsidR="008C25D8" w:rsidRPr="005279C3" w:rsidRDefault="008C25D8" w:rsidP="008C25D8">
      <w:pPr>
        <w:tabs>
          <w:tab w:val="center" w:pos="4819"/>
          <w:tab w:val="right" w:pos="9638"/>
        </w:tabs>
        <w:ind w:left="5192"/>
        <w:rPr>
          <w:rFonts w:asciiTheme="minorHAnsi" w:hAnsiTheme="minorHAnsi" w:cstheme="minorHAnsi"/>
          <w:color w:val="000000"/>
          <w:szCs w:val="24"/>
          <w:lang w:eastAsia="lt-LT"/>
        </w:rPr>
      </w:pPr>
      <w:r w:rsidRPr="005279C3">
        <w:rPr>
          <w:rFonts w:asciiTheme="minorHAnsi" w:hAnsiTheme="minorHAnsi" w:cstheme="minorHAnsi"/>
          <w:color w:val="000000"/>
          <w:szCs w:val="24"/>
          <w:lang w:eastAsia="lt-LT"/>
        </w:rPr>
        <w:t xml:space="preserve">rengimo taisyklių </w:t>
      </w:r>
    </w:p>
    <w:p w:rsidR="008C25D8" w:rsidRPr="00096D83" w:rsidRDefault="008C25D8" w:rsidP="008C25D8">
      <w:pPr>
        <w:tabs>
          <w:tab w:val="center" w:pos="4819"/>
          <w:tab w:val="right" w:pos="9638"/>
        </w:tabs>
        <w:ind w:left="5192"/>
        <w:rPr>
          <w:rFonts w:asciiTheme="minorHAnsi" w:hAnsiTheme="minorHAnsi" w:cstheme="minorHAnsi"/>
          <w:color w:val="000000"/>
          <w:szCs w:val="24"/>
          <w:lang w:eastAsia="lt-LT"/>
        </w:rPr>
      </w:pPr>
      <w:r w:rsidRPr="005279C3">
        <w:rPr>
          <w:rFonts w:asciiTheme="minorHAnsi" w:hAnsiTheme="minorHAnsi" w:cstheme="minorHAnsi"/>
          <w:color w:val="000000"/>
          <w:szCs w:val="24"/>
          <w:lang w:eastAsia="lt-LT"/>
        </w:rPr>
        <w:t>30 priedas</w:t>
      </w:r>
    </w:p>
    <w:p w:rsidR="009E7D57" w:rsidRPr="00096D83" w:rsidRDefault="009E7D57">
      <w:pPr>
        <w:tabs>
          <w:tab w:val="left" w:pos="9540"/>
        </w:tabs>
        <w:ind w:left="5387"/>
        <w:rPr>
          <w:rFonts w:asciiTheme="minorHAnsi" w:hAnsiTheme="minorHAnsi" w:cstheme="minorHAnsi"/>
          <w:szCs w:val="22"/>
          <w:lang w:eastAsia="lt-LT"/>
        </w:rPr>
      </w:pPr>
    </w:p>
    <w:p w:rsidR="009E7D57" w:rsidRPr="00096D83" w:rsidRDefault="009E7D57">
      <w:pPr>
        <w:tabs>
          <w:tab w:val="left" w:pos="9540"/>
        </w:tabs>
        <w:ind w:left="5954"/>
        <w:rPr>
          <w:rFonts w:asciiTheme="minorHAnsi" w:hAnsiTheme="minorHAnsi" w:cstheme="minorHAnsi"/>
          <w:b/>
          <w:bCs/>
          <w:sz w:val="22"/>
          <w:szCs w:val="22"/>
          <w:lang w:eastAsia="lt-LT"/>
        </w:rPr>
      </w:pPr>
    </w:p>
    <w:p w:rsidR="009E7D57" w:rsidRPr="008C25D8" w:rsidRDefault="008F0DBC">
      <w:pPr>
        <w:jc w:val="center"/>
        <w:rPr>
          <w:rFonts w:asciiTheme="minorHAnsi" w:hAnsiTheme="minorHAnsi" w:cstheme="minorHAnsi"/>
          <w:bCs/>
          <w:szCs w:val="24"/>
          <w:u w:val="single"/>
          <w:lang w:eastAsia="lt-LT"/>
        </w:rPr>
      </w:pPr>
      <w:r w:rsidRPr="008C25D8">
        <w:rPr>
          <w:rFonts w:asciiTheme="minorHAnsi" w:hAnsiTheme="minorHAnsi" w:cstheme="minorHAnsi"/>
          <w:bCs/>
          <w:szCs w:val="24"/>
          <w:u w:val="single"/>
          <w:lang w:eastAsia="lt-LT"/>
        </w:rPr>
        <w:t>______________</w:t>
      </w:r>
      <w:r w:rsidR="008C25D8" w:rsidRPr="008C25D8">
        <w:rPr>
          <w:rFonts w:asciiTheme="minorHAnsi" w:hAnsiTheme="minorHAnsi" w:cstheme="minorHAnsi"/>
          <w:bCs/>
          <w:szCs w:val="24"/>
          <w:u w:val="single"/>
          <w:lang w:eastAsia="lt-LT"/>
        </w:rPr>
        <w:t xml:space="preserve">                  </w:t>
      </w:r>
      <w:r w:rsidR="005B3B4E" w:rsidRPr="008C25D8">
        <w:rPr>
          <w:rFonts w:asciiTheme="minorHAnsi" w:hAnsiTheme="minorHAnsi" w:cstheme="minorHAnsi"/>
          <w:b/>
          <w:szCs w:val="24"/>
          <w:u w:val="single"/>
          <w:lang w:eastAsia="lt-LT"/>
        </w:rPr>
        <w:t>Kauno miesto</w:t>
      </w:r>
      <w:r w:rsidRPr="008C25D8">
        <w:rPr>
          <w:rFonts w:asciiTheme="minorHAnsi" w:hAnsiTheme="minorHAnsi" w:cstheme="minorHAnsi"/>
          <w:b/>
          <w:szCs w:val="24"/>
          <w:u w:val="single"/>
          <w:lang w:eastAsia="lt-LT"/>
        </w:rPr>
        <w:t>_</w:t>
      </w:r>
      <w:r w:rsidR="000151D5" w:rsidRPr="008C25D8">
        <w:rPr>
          <w:rFonts w:asciiTheme="minorHAnsi" w:hAnsiTheme="minorHAnsi" w:cstheme="minorHAnsi"/>
          <w:b/>
          <w:szCs w:val="24"/>
          <w:u w:val="single"/>
          <w:lang w:eastAsia="lt-LT"/>
        </w:rPr>
        <w:t>savivaldybė</w:t>
      </w:r>
      <w:r w:rsidRPr="008C25D8">
        <w:rPr>
          <w:rFonts w:asciiTheme="minorHAnsi" w:hAnsiTheme="minorHAnsi" w:cstheme="minorHAnsi"/>
          <w:bCs/>
          <w:szCs w:val="24"/>
          <w:u w:val="single"/>
          <w:lang w:eastAsia="lt-LT"/>
        </w:rPr>
        <w:t>_________________________</w:t>
      </w:r>
    </w:p>
    <w:p w:rsidR="009E7D57" w:rsidRPr="00096D83" w:rsidRDefault="008F0DBC">
      <w:pPr>
        <w:jc w:val="center"/>
        <w:rPr>
          <w:rFonts w:asciiTheme="minorHAnsi" w:hAnsiTheme="minorHAnsi" w:cstheme="minorHAnsi"/>
          <w:bCs/>
          <w:sz w:val="20"/>
          <w:lang w:eastAsia="lt-LT"/>
        </w:rPr>
      </w:pPr>
      <w:r w:rsidRPr="00096D83">
        <w:rPr>
          <w:rFonts w:asciiTheme="minorHAnsi" w:hAnsiTheme="minorHAnsi" w:cstheme="minorHAnsi"/>
          <w:bCs/>
          <w:sz w:val="20"/>
          <w:lang w:eastAsia="lt-LT"/>
        </w:rPr>
        <w:t>(įstaigos pavadinimas)</w:t>
      </w:r>
    </w:p>
    <w:p w:rsidR="009E7D57" w:rsidRPr="00096D83" w:rsidRDefault="009E7D57">
      <w:pPr>
        <w:jc w:val="center"/>
        <w:rPr>
          <w:rFonts w:asciiTheme="minorHAnsi" w:hAnsiTheme="minorHAnsi" w:cstheme="minorHAnsi"/>
          <w:b/>
          <w:bCs/>
          <w:szCs w:val="24"/>
          <w:lang w:eastAsia="lt-LT"/>
        </w:rPr>
      </w:pPr>
    </w:p>
    <w:p w:rsidR="009E7D57" w:rsidRPr="00096D83" w:rsidRDefault="005B3B4E">
      <w:pPr>
        <w:jc w:val="center"/>
        <w:rPr>
          <w:rFonts w:asciiTheme="minorHAnsi" w:hAnsiTheme="minorHAnsi" w:cstheme="minorHAnsi"/>
          <w:b/>
          <w:bCs/>
          <w:szCs w:val="24"/>
          <w:lang w:eastAsia="lt-LT"/>
        </w:rPr>
      </w:pPr>
      <w:r w:rsidRPr="00096D83">
        <w:rPr>
          <w:rFonts w:asciiTheme="minorHAnsi" w:hAnsiTheme="minorHAnsi" w:cstheme="minorHAnsi"/>
          <w:szCs w:val="24"/>
          <w:u w:val="single"/>
          <w:lang w:eastAsia="lt-LT"/>
        </w:rPr>
        <w:t xml:space="preserve"> </w:t>
      </w:r>
      <w:r w:rsidRPr="00096D83">
        <w:rPr>
          <w:rFonts w:asciiTheme="minorHAnsi" w:hAnsiTheme="minorHAnsi" w:cstheme="minorHAnsi"/>
          <w:b/>
          <w:bCs/>
          <w:szCs w:val="24"/>
          <w:u w:val="single"/>
          <w:lang w:eastAsia="lt-LT"/>
        </w:rPr>
        <w:t xml:space="preserve">2025    </w:t>
      </w:r>
      <w:r w:rsidRPr="00096D83">
        <w:rPr>
          <w:rFonts w:asciiTheme="minorHAnsi" w:hAnsiTheme="minorHAnsi" w:cstheme="minorHAnsi"/>
          <w:b/>
          <w:bCs/>
          <w:szCs w:val="24"/>
          <w:lang w:eastAsia="lt-LT"/>
        </w:rPr>
        <w:t xml:space="preserve"> </w:t>
      </w:r>
      <w:r w:rsidR="008F0DBC" w:rsidRPr="00096D83">
        <w:rPr>
          <w:rFonts w:asciiTheme="minorHAnsi" w:hAnsiTheme="minorHAnsi" w:cstheme="minorHAnsi"/>
          <w:b/>
          <w:bCs/>
          <w:szCs w:val="24"/>
          <w:lang w:eastAsia="lt-LT"/>
        </w:rPr>
        <w:t xml:space="preserve">SAVIVALDYBĖS BIUDŽETO VYKDYMO </w:t>
      </w:r>
    </w:p>
    <w:p w:rsidR="009E7D57" w:rsidRPr="00096D83" w:rsidRDefault="005279C3">
      <w:pPr>
        <w:ind w:left="426" w:firstLine="1908"/>
        <w:rPr>
          <w:rFonts w:asciiTheme="minorHAnsi" w:hAnsiTheme="minorHAnsi" w:cstheme="minorHAnsi"/>
          <w:b/>
          <w:bCs/>
          <w:szCs w:val="24"/>
          <w:lang w:eastAsia="lt-LT"/>
        </w:rPr>
      </w:pPr>
      <w:r>
        <w:rPr>
          <w:rFonts w:asciiTheme="minorHAnsi" w:hAnsiTheme="minorHAnsi" w:cstheme="minorHAnsi"/>
          <w:color w:val="000000"/>
          <w:sz w:val="20"/>
          <w:lang w:eastAsia="lt-LT"/>
        </w:rPr>
        <w:t xml:space="preserve">       </w:t>
      </w:r>
      <w:r w:rsidR="008F0DBC" w:rsidRPr="00096D83">
        <w:rPr>
          <w:rFonts w:asciiTheme="minorHAnsi" w:hAnsiTheme="minorHAnsi" w:cstheme="minorHAnsi"/>
          <w:color w:val="000000"/>
          <w:sz w:val="20"/>
          <w:lang w:eastAsia="lt-LT"/>
        </w:rPr>
        <w:t>(metų)</w:t>
      </w:r>
    </w:p>
    <w:p w:rsidR="009E7D57" w:rsidRPr="00096D83" w:rsidRDefault="008F0DBC">
      <w:pPr>
        <w:jc w:val="center"/>
        <w:rPr>
          <w:rFonts w:asciiTheme="minorHAnsi" w:hAnsiTheme="minorHAnsi" w:cstheme="minorHAnsi"/>
          <w:b/>
          <w:bCs/>
          <w:szCs w:val="24"/>
          <w:lang w:eastAsia="lt-LT"/>
        </w:rPr>
      </w:pPr>
      <w:r w:rsidRPr="00096D83">
        <w:rPr>
          <w:rFonts w:asciiTheme="minorHAnsi" w:hAnsiTheme="minorHAnsi" w:cstheme="minorHAnsi"/>
          <w:b/>
          <w:bCs/>
          <w:szCs w:val="24"/>
          <w:lang w:eastAsia="lt-LT"/>
        </w:rPr>
        <w:t>ATASKAITŲ RINKINIO</w:t>
      </w:r>
    </w:p>
    <w:p w:rsidR="009E7D57" w:rsidRPr="00096D83" w:rsidRDefault="008F0DBC">
      <w:pPr>
        <w:jc w:val="center"/>
        <w:rPr>
          <w:rFonts w:asciiTheme="minorHAnsi" w:hAnsiTheme="minorHAnsi" w:cstheme="minorHAnsi"/>
          <w:b/>
          <w:bCs/>
          <w:szCs w:val="24"/>
          <w:lang w:eastAsia="lt-LT"/>
        </w:rPr>
      </w:pPr>
      <w:r w:rsidRPr="00096D83">
        <w:rPr>
          <w:rFonts w:asciiTheme="minorHAnsi" w:hAnsiTheme="minorHAnsi" w:cstheme="minorHAnsi"/>
          <w:b/>
          <w:bCs/>
          <w:szCs w:val="24"/>
          <w:lang w:eastAsia="lt-LT"/>
        </w:rPr>
        <w:t>AIŠKINAMASIS RAŠTAS</w:t>
      </w:r>
    </w:p>
    <w:p w:rsidR="009E7D57" w:rsidRPr="00096D83" w:rsidRDefault="009E7D57">
      <w:pPr>
        <w:jc w:val="center"/>
        <w:rPr>
          <w:rFonts w:asciiTheme="minorHAnsi" w:hAnsiTheme="minorHAnsi" w:cstheme="minorHAnsi"/>
          <w:color w:val="000000"/>
          <w:sz w:val="18"/>
          <w:szCs w:val="18"/>
          <w:lang w:eastAsia="lt-LT"/>
        </w:rPr>
      </w:pPr>
    </w:p>
    <w:p w:rsidR="009E7D57" w:rsidRPr="00096D83" w:rsidRDefault="008F0DBC">
      <w:pPr>
        <w:jc w:val="center"/>
        <w:rPr>
          <w:rFonts w:asciiTheme="minorHAnsi" w:hAnsiTheme="minorHAnsi" w:cstheme="minorHAnsi"/>
          <w:szCs w:val="24"/>
          <w:lang w:eastAsia="lt-LT"/>
        </w:rPr>
      </w:pPr>
      <w:r w:rsidRPr="00096D83">
        <w:rPr>
          <w:rFonts w:asciiTheme="minorHAnsi" w:hAnsiTheme="minorHAnsi" w:cstheme="minorHAnsi"/>
          <w:szCs w:val="24"/>
          <w:lang w:eastAsia="lt-LT"/>
        </w:rPr>
        <w:t>__________ Nr. __________</w:t>
      </w:r>
    </w:p>
    <w:p w:rsidR="009E7D57" w:rsidRPr="00096D83" w:rsidRDefault="008F0DBC">
      <w:pPr>
        <w:ind w:left="3828"/>
        <w:rPr>
          <w:rFonts w:asciiTheme="minorHAnsi" w:hAnsiTheme="minorHAnsi" w:cstheme="minorHAnsi"/>
          <w:color w:val="000000"/>
          <w:sz w:val="20"/>
          <w:lang w:eastAsia="lt-LT"/>
        </w:rPr>
      </w:pPr>
      <w:r w:rsidRPr="00096D83">
        <w:rPr>
          <w:rFonts w:asciiTheme="minorHAnsi" w:hAnsiTheme="minorHAnsi" w:cstheme="minorHAnsi"/>
          <w:color w:val="000000"/>
          <w:sz w:val="20"/>
          <w:lang w:eastAsia="lt-LT"/>
        </w:rPr>
        <w:t>(data)</w:t>
      </w:r>
    </w:p>
    <w:p w:rsidR="009E7D57" w:rsidRPr="00096D83" w:rsidRDefault="009E7D57">
      <w:pPr>
        <w:ind w:left="2592" w:firstLine="1296"/>
        <w:rPr>
          <w:rFonts w:asciiTheme="minorHAnsi" w:hAnsiTheme="minorHAnsi" w:cstheme="minorHAnsi"/>
          <w:color w:val="000000"/>
          <w:szCs w:val="24"/>
          <w:lang w:eastAsia="lt-LT"/>
        </w:rPr>
      </w:pPr>
    </w:p>
    <w:p w:rsidR="009E7D57" w:rsidRPr="00096D83" w:rsidRDefault="008F0DBC">
      <w:pPr>
        <w:tabs>
          <w:tab w:val="left" w:pos="426"/>
        </w:tabs>
        <w:jc w:val="center"/>
        <w:rPr>
          <w:rFonts w:asciiTheme="minorHAnsi" w:hAnsiTheme="minorHAnsi" w:cstheme="minorHAnsi"/>
          <w:b/>
          <w:szCs w:val="24"/>
          <w:lang w:eastAsia="lt-LT"/>
        </w:rPr>
      </w:pPr>
      <w:r w:rsidRPr="00096D83">
        <w:rPr>
          <w:rFonts w:asciiTheme="minorHAnsi" w:hAnsiTheme="minorHAnsi" w:cstheme="minorHAnsi"/>
          <w:b/>
          <w:szCs w:val="24"/>
          <w:lang w:eastAsia="lt-LT"/>
        </w:rPr>
        <w:t>I SKYRIUS</w:t>
      </w:r>
    </w:p>
    <w:p w:rsidR="009E7D57" w:rsidRPr="00096D83" w:rsidRDefault="008F0DBC">
      <w:pPr>
        <w:jc w:val="center"/>
        <w:rPr>
          <w:rFonts w:asciiTheme="minorHAnsi" w:hAnsiTheme="minorHAnsi" w:cstheme="minorHAnsi"/>
          <w:b/>
          <w:szCs w:val="24"/>
          <w:lang w:eastAsia="lt-LT"/>
        </w:rPr>
      </w:pPr>
      <w:r w:rsidRPr="00096D83">
        <w:rPr>
          <w:rFonts w:asciiTheme="minorHAnsi" w:hAnsiTheme="minorHAnsi" w:cstheme="minorHAnsi"/>
          <w:b/>
          <w:szCs w:val="24"/>
          <w:lang w:eastAsia="lt-LT"/>
        </w:rPr>
        <w:t>BENDROSIOS NUOSTATOS</w:t>
      </w:r>
    </w:p>
    <w:p w:rsidR="009E7D57" w:rsidRPr="00096D83" w:rsidRDefault="009E7D57">
      <w:pPr>
        <w:jc w:val="both"/>
        <w:rPr>
          <w:rFonts w:asciiTheme="minorHAnsi" w:hAnsiTheme="minorHAnsi" w:cstheme="minorHAnsi"/>
          <w:b/>
          <w:sz w:val="20"/>
          <w:lang w:eastAsia="lt-LT"/>
        </w:rPr>
      </w:pPr>
    </w:p>
    <w:p w:rsidR="000151D5" w:rsidRPr="00096D83" w:rsidRDefault="00096D83" w:rsidP="00583729">
      <w:pPr>
        <w:tabs>
          <w:tab w:val="left" w:pos="426"/>
        </w:tabs>
        <w:spacing w:line="360" w:lineRule="auto"/>
        <w:ind w:firstLine="851"/>
        <w:jc w:val="both"/>
        <w:rPr>
          <w:rFonts w:asciiTheme="minorHAnsi" w:hAnsiTheme="minorHAnsi" w:cstheme="minorHAnsi"/>
        </w:rPr>
      </w:pPr>
      <w:r w:rsidRPr="00B077FA">
        <w:rPr>
          <w:rFonts w:asciiTheme="minorHAnsi" w:hAnsiTheme="minorHAnsi" w:cstheme="minorHAnsi"/>
        </w:rPr>
        <w:t>Kauno miesto s</w:t>
      </w:r>
      <w:r w:rsidR="00583729" w:rsidRPr="00B077FA">
        <w:rPr>
          <w:rFonts w:asciiTheme="minorHAnsi" w:hAnsiTheme="minorHAnsi" w:cstheme="minorHAnsi"/>
        </w:rPr>
        <w:t>avivaldybės b</w:t>
      </w:r>
      <w:r w:rsidR="000151D5" w:rsidRPr="00B077FA">
        <w:rPr>
          <w:rFonts w:asciiTheme="minorHAnsi" w:hAnsiTheme="minorHAnsi" w:cstheme="minorHAnsi"/>
        </w:rPr>
        <w:t>iudžeto vykdymo ataskaitų rinkinys</w:t>
      </w:r>
      <w:r w:rsidR="000151D5" w:rsidRPr="00096D83">
        <w:rPr>
          <w:rFonts w:asciiTheme="minorHAnsi" w:hAnsiTheme="minorHAnsi" w:cstheme="minorHAnsi"/>
        </w:rPr>
        <w:t xml:space="preserve"> parengtas vadovaujantis Lietuvos Respublikos viešojo sektoriaus atskaitomybės įstatymu</w:t>
      </w:r>
      <w:r w:rsidR="008F0DBC" w:rsidRPr="00096D83">
        <w:rPr>
          <w:rFonts w:asciiTheme="minorHAnsi" w:hAnsiTheme="minorHAnsi" w:cstheme="minorHAnsi"/>
        </w:rPr>
        <w:t>,</w:t>
      </w:r>
      <w:r w:rsidR="000151D5" w:rsidRPr="00096D83">
        <w:rPr>
          <w:rFonts w:asciiTheme="minorHAnsi" w:hAnsiTheme="minorHAnsi" w:cstheme="minorHAnsi"/>
        </w:rPr>
        <w:t xml:space="preserve"> Lietuvos Respublikos biudžeto sandaros įstatymu</w:t>
      </w:r>
      <w:r w:rsidR="008F0DBC" w:rsidRPr="00096D83">
        <w:rPr>
          <w:rFonts w:asciiTheme="minorHAnsi" w:hAnsiTheme="minorHAnsi" w:cstheme="minorHAnsi"/>
        </w:rPr>
        <w:t>,</w:t>
      </w:r>
      <w:r w:rsidR="000151D5" w:rsidRPr="00096D83">
        <w:rPr>
          <w:rFonts w:asciiTheme="minorHAnsi" w:eastAsiaTheme="minorEastAsia" w:hAnsiTheme="minorHAnsi" w:cstheme="minorHAnsi"/>
        </w:rPr>
        <w:t xml:space="preserve"> Viešojo sektoriaus apskaitos ir atskaitomybės standartų nuostatomis</w:t>
      </w:r>
      <w:r w:rsidR="008F0DBC" w:rsidRPr="00096D83">
        <w:rPr>
          <w:rFonts w:asciiTheme="minorHAnsi" w:eastAsiaTheme="minorEastAsia" w:hAnsiTheme="minorHAnsi" w:cstheme="minorHAnsi"/>
        </w:rPr>
        <w:t xml:space="preserve">, </w:t>
      </w:r>
      <w:r w:rsidR="000151D5" w:rsidRPr="00096D83">
        <w:rPr>
          <w:rFonts w:asciiTheme="minorHAnsi" w:hAnsiTheme="minorHAnsi" w:cstheme="minorHAnsi"/>
        </w:rPr>
        <w:t>Lietuvos Respublikos finansų ministro 2004 m sausio 1 d. įsakymu Nr. 1K-184 „Dėl Lietuvos Respublikos valstybės ir savivaldybių biudžeto pajamų ir išlaidų klasifikacijos patvirtinimo“</w:t>
      </w:r>
      <w:r w:rsidR="008F0DBC" w:rsidRPr="00096D83">
        <w:rPr>
          <w:rFonts w:asciiTheme="minorHAnsi" w:hAnsiTheme="minorHAnsi" w:cstheme="minorHAnsi"/>
        </w:rPr>
        <w:t xml:space="preserve">, </w:t>
      </w:r>
      <w:r w:rsidR="000151D5" w:rsidRPr="00096D83">
        <w:rPr>
          <w:rFonts w:asciiTheme="minorHAnsi" w:hAnsiTheme="minorHAnsi" w:cstheme="minorHAnsi"/>
        </w:rPr>
        <w:t>Lietuvos Respublikos finansų</w:t>
      </w:r>
      <w:r w:rsidR="00583729" w:rsidRPr="00096D83">
        <w:rPr>
          <w:rFonts w:asciiTheme="minorHAnsi" w:hAnsiTheme="minorHAnsi" w:cstheme="minorHAnsi"/>
        </w:rPr>
        <w:t xml:space="preserve"> </w:t>
      </w:r>
      <w:r w:rsidR="000151D5" w:rsidRPr="00096D83">
        <w:rPr>
          <w:rFonts w:asciiTheme="minorHAnsi" w:hAnsiTheme="minorHAnsi" w:cstheme="minorHAnsi"/>
        </w:rPr>
        <w:t>ministro 2025 m. kovo 25 d. įsakymu Nr. 1K-63</w:t>
      </w:r>
      <w:r w:rsidR="000151D5" w:rsidRPr="00096D83">
        <w:rPr>
          <w:rFonts w:asciiTheme="minorHAnsi" w:hAnsiTheme="minorHAnsi" w:cstheme="minorHAnsi"/>
          <w:b/>
          <w:bCs/>
        </w:rPr>
        <w:t xml:space="preserve"> </w:t>
      </w:r>
      <w:r w:rsidR="00583729" w:rsidRPr="00096D83">
        <w:rPr>
          <w:rFonts w:asciiTheme="minorHAnsi" w:hAnsiTheme="minorHAnsi" w:cstheme="minorHAnsi"/>
          <w:b/>
          <w:bCs/>
        </w:rPr>
        <w:t xml:space="preserve">  </w:t>
      </w:r>
      <w:r w:rsidR="000151D5" w:rsidRPr="00096D83">
        <w:rPr>
          <w:rFonts w:asciiTheme="minorHAnsi" w:hAnsiTheme="minorHAnsi" w:cstheme="minorHAnsi"/>
        </w:rPr>
        <w:t>„Dėl biudžeto vykdymo ataskaitų rinkinių rengimo taisyklių“</w:t>
      </w:r>
      <w:r w:rsidR="008061B7" w:rsidRPr="00096D83">
        <w:rPr>
          <w:rFonts w:asciiTheme="minorHAnsi" w:hAnsiTheme="minorHAnsi" w:cstheme="minorHAnsi"/>
        </w:rPr>
        <w:t xml:space="preserve"> </w:t>
      </w:r>
      <w:r w:rsidR="00B471D0" w:rsidRPr="00096D83">
        <w:rPr>
          <w:rFonts w:asciiTheme="minorHAnsi" w:hAnsiTheme="minorHAnsi" w:cstheme="minorHAnsi"/>
        </w:rPr>
        <w:t>ir</w:t>
      </w:r>
      <w:r w:rsidR="000151D5" w:rsidRPr="00096D83">
        <w:rPr>
          <w:rFonts w:asciiTheme="minorHAnsi" w:hAnsiTheme="minorHAnsi" w:cstheme="minorHAnsi"/>
        </w:rPr>
        <w:t xml:space="preserve"> kitais teisės aktais, reglamentuojančiais biudžetinių įstaigų biudžeto vykdymą ir atskaitomybės sudarymą. </w:t>
      </w:r>
    </w:p>
    <w:p w:rsidR="000151D5" w:rsidRPr="00096D83" w:rsidRDefault="00096D83" w:rsidP="00583729">
      <w:pPr>
        <w:pStyle w:val="Sraopastraipa"/>
        <w:tabs>
          <w:tab w:val="left" w:pos="142"/>
        </w:tabs>
        <w:spacing w:line="360" w:lineRule="auto"/>
        <w:ind w:left="0" w:firstLine="851"/>
        <w:jc w:val="both"/>
        <w:rPr>
          <w:rFonts w:asciiTheme="minorHAnsi" w:hAnsiTheme="minorHAnsi" w:cstheme="minorHAnsi"/>
          <w:strike/>
          <w:color w:val="EE0000"/>
        </w:rPr>
      </w:pPr>
      <w:r w:rsidRPr="00B077FA">
        <w:rPr>
          <w:rFonts w:asciiTheme="minorHAnsi" w:hAnsiTheme="minorHAnsi" w:cstheme="minorHAnsi"/>
        </w:rPr>
        <w:t>Kauno miesto s</w:t>
      </w:r>
      <w:r w:rsidR="00583729" w:rsidRPr="00B077FA">
        <w:rPr>
          <w:rFonts w:asciiTheme="minorHAnsi" w:hAnsiTheme="minorHAnsi" w:cstheme="minorHAnsi"/>
        </w:rPr>
        <w:t xml:space="preserve">avivaldybės </w:t>
      </w:r>
      <w:r w:rsidRPr="00B077FA">
        <w:rPr>
          <w:rFonts w:asciiTheme="minorHAnsi" w:hAnsiTheme="minorHAnsi" w:cstheme="minorHAnsi"/>
        </w:rPr>
        <w:t xml:space="preserve">(toliau – Savivaldybė) </w:t>
      </w:r>
      <w:r w:rsidR="00583729" w:rsidRPr="00B077FA">
        <w:rPr>
          <w:rFonts w:asciiTheme="minorHAnsi" w:hAnsiTheme="minorHAnsi" w:cstheme="minorHAnsi"/>
        </w:rPr>
        <w:t>b</w:t>
      </w:r>
      <w:r w:rsidR="000151D5" w:rsidRPr="00B077FA">
        <w:rPr>
          <w:rFonts w:asciiTheme="minorHAnsi" w:hAnsiTheme="minorHAnsi" w:cstheme="minorHAnsi"/>
        </w:rPr>
        <w:t xml:space="preserve">iudžeto vykdymo ataskaitų rinkinio rengimo tikslas – pateikti išsamią ir tikslią informaciją apie </w:t>
      </w:r>
      <w:r w:rsidRPr="00B077FA">
        <w:rPr>
          <w:rFonts w:asciiTheme="minorHAnsi" w:hAnsiTheme="minorHAnsi" w:cstheme="minorHAnsi"/>
        </w:rPr>
        <w:t>S</w:t>
      </w:r>
      <w:r w:rsidR="000151D5" w:rsidRPr="00B077FA">
        <w:rPr>
          <w:rFonts w:asciiTheme="minorHAnsi" w:hAnsiTheme="minorHAnsi" w:cstheme="minorHAnsi"/>
        </w:rPr>
        <w:t>avivaldybės</w:t>
      </w:r>
      <w:r w:rsidR="00E17657" w:rsidRPr="00B077FA">
        <w:rPr>
          <w:rFonts w:asciiTheme="minorHAnsi" w:hAnsiTheme="minorHAnsi" w:cstheme="minorHAnsi"/>
        </w:rPr>
        <w:t xml:space="preserve"> </w:t>
      </w:r>
      <w:r w:rsidR="000151D5" w:rsidRPr="00B077FA">
        <w:rPr>
          <w:rFonts w:asciiTheme="minorHAnsi" w:hAnsiTheme="minorHAnsi" w:cstheme="minorHAnsi"/>
        </w:rPr>
        <w:t>biudžeto pajamų plano</w:t>
      </w:r>
      <w:r w:rsidR="0085100F" w:rsidRPr="00B077FA">
        <w:rPr>
          <w:rFonts w:asciiTheme="minorHAnsi" w:hAnsiTheme="minorHAnsi" w:cstheme="minorHAnsi"/>
        </w:rPr>
        <w:t>,</w:t>
      </w:r>
      <w:r w:rsidR="0053788F" w:rsidRPr="00B077FA">
        <w:rPr>
          <w:rFonts w:asciiTheme="minorHAnsi" w:hAnsiTheme="minorHAnsi" w:cstheme="minorHAnsi"/>
        </w:rPr>
        <w:t xml:space="preserve"> iš valstybės biudžeto gautų dotacijų </w:t>
      </w:r>
      <w:r w:rsidR="0085100F" w:rsidRPr="00B077FA">
        <w:rPr>
          <w:rFonts w:asciiTheme="minorHAnsi" w:hAnsiTheme="minorHAnsi" w:cstheme="minorHAnsi"/>
        </w:rPr>
        <w:t>ir</w:t>
      </w:r>
      <w:r w:rsidR="0053788F" w:rsidRPr="00B077FA">
        <w:rPr>
          <w:rFonts w:asciiTheme="minorHAnsi" w:hAnsiTheme="minorHAnsi" w:cstheme="minorHAnsi"/>
        </w:rPr>
        <w:t xml:space="preserve"> asignavimų</w:t>
      </w:r>
      <w:r w:rsidR="000151D5" w:rsidRPr="00B077FA">
        <w:rPr>
          <w:rFonts w:asciiTheme="minorHAnsi" w:hAnsiTheme="minorHAnsi" w:cstheme="minorHAnsi"/>
        </w:rPr>
        <w:t xml:space="preserve"> plano įvykdymą</w:t>
      </w:r>
      <w:r w:rsidR="0085100F" w:rsidRPr="00B077FA">
        <w:rPr>
          <w:rFonts w:asciiTheme="minorHAnsi" w:hAnsiTheme="minorHAnsi" w:cstheme="minorHAnsi"/>
        </w:rPr>
        <w:t xml:space="preserve"> bei</w:t>
      </w:r>
      <w:r w:rsidR="0053788F" w:rsidRPr="00B077FA">
        <w:rPr>
          <w:rFonts w:asciiTheme="minorHAnsi" w:hAnsiTheme="minorHAnsi" w:cstheme="minorHAnsi"/>
        </w:rPr>
        <w:t xml:space="preserve"> atskleisti </w:t>
      </w:r>
      <w:r w:rsidR="0085100F" w:rsidRPr="00B077FA">
        <w:rPr>
          <w:rFonts w:asciiTheme="minorHAnsi" w:hAnsiTheme="minorHAnsi" w:cstheme="minorHAnsi"/>
        </w:rPr>
        <w:t xml:space="preserve">jų </w:t>
      </w:r>
      <w:r w:rsidR="0053788F" w:rsidRPr="00B077FA">
        <w:rPr>
          <w:rFonts w:asciiTheme="minorHAnsi" w:hAnsiTheme="minorHAnsi" w:cstheme="minorHAnsi"/>
        </w:rPr>
        <w:t>nepanaudojimo priežastis</w:t>
      </w:r>
      <w:r w:rsidR="000151D5" w:rsidRPr="00B077FA">
        <w:rPr>
          <w:rFonts w:asciiTheme="minorHAnsi" w:hAnsiTheme="minorHAnsi" w:cstheme="minorHAnsi"/>
        </w:rPr>
        <w:t xml:space="preserve"> </w:t>
      </w:r>
      <w:r w:rsidR="00841B69" w:rsidRPr="00B077FA">
        <w:rPr>
          <w:rFonts w:asciiTheme="minorHAnsi" w:hAnsiTheme="minorHAnsi" w:cstheme="minorHAnsi"/>
        </w:rPr>
        <w:t>2025 met</w:t>
      </w:r>
      <w:r w:rsidR="0085100F" w:rsidRPr="00B077FA">
        <w:rPr>
          <w:rFonts w:asciiTheme="minorHAnsi" w:hAnsiTheme="minorHAnsi" w:cstheme="minorHAnsi"/>
        </w:rPr>
        <w:t>ai</w:t>
      </w:r>
      <w:r w:rsidR="00841B69" w:rsidRPr="00B077FA">
        <w:rPr>
          <w:rFonts w:asciiTheme="minorHAnsi" w:hAnsiTheme="minorHAnsi" w:cstheme="minorHAnsi"/>
        </w:rPr>
        <w:t>s.</w:t>
      </w:r>
      <w:r w:rsidR="000151D5" w:rsidRPr="00B077FA">
        <w:rPr>
          <w:rFonts w:asciiTheme="minorHAnsi" w:hAnsiTheme="minorHAnsi" w:cstheme="minorHAnsi"/>
        </w:rPr>
        <w:t xml:space="preserve"> </w:t>
      </w:r>
      <w:r w:rsidR="00583729" w:rsidRPr="00B077FA">
        <w:rPr>
          <w:rFonts w:asciiTheme="minorHAnsi" w:hAnsiTheme="minorHAnsi" w:cstheme="minorHAnsi"/>
        </w:rPr>
        <w:t xml:space="preserve">Savivaldybės </w:t>
      </w:r>
      <w:r w:rsidR="00992930" w:rsidRPr="00B077FA">
        <w:rPr>
          <w:rFonts w:asciiTheme="minorHAnsi" w:hAnsiTheme="minorHAnsi" w:cstheme="minorHAnsi"/>
        </w:rPr>
        <w:t xml:space="preserve">meras organizuoja Savivaldybės biudžeto vykdymą, Savivaldybės </w:t>
      </w:r>
      <w:r w:rsidR="00583729" w:rsidRPr="00B077FA">
        <w:rPr>
          <w:rFonts w:asciiTheme="minorHAnsi" w:hAnsiTheme="minorHAnsi" w:cstheme="minorHAnsi"/>
        </w:rPr>
        <w:t xml:space="preserve">biudžeto vykdymo ataskaitų rinkinį rengia </w:t>
      </w:r>
      <w:r w:rsidRPr="00B077FA">
        <w:rPr>
          <w:rFonts w:asciiTheme="minorHAnsi" w:hAnsiTheme="minorHAnsi" w:cstheme="minorHAnsi"/>
        </w:rPr>
        <w:t>ir už parengimą atsako S</w:t>
      </w:r>
      <w:r w:rsidR="0085100F" w:rsidRPr="00B077FA">
        <w:rPr>
          <w:rFonts w:asciiTheme="minorHAnsi" w:hAnsiTheme="minorHAnsi" w:cstheme="minorHAnsi"/>
        </w:rPr>
        <w:t>avivaldybės administracij</w:t>
      </w:r>
      <w:r w:rsidR="00BE3A9A" w:rsidRPr="00B077FA">
        <w:rPr>
          <w:rFonts w:asciiTheme="minorHAnsi" w:hAnsiTheme="minorHAnsi" w:cstheme="minorHAnsi"/>
        </w:rPr>
        <w:t xml:space="preserve">os </w:t>
      </w:r>
      <w:r w:rsidR="00E85897" w:rsidRPr="00B077FA">
        <w:rPr>
          <w:rFonts w:asciiTheme="minorHAnsi" w:hAnsiTheme="minorHAnsi" w:cstheme="minorHAnsi"/>
        </w:rPr>
        <w:t>padalinys, kuriam pavesta atlikti mokėjimų, apskaitos ir atskaitomybės funkcijas</w:t>
      </w:r>
      <w:r w:rsidR="00E17657" w:rsidRPr="00B077FA">
        <w:rPr>
          <w:rFonts w:asciiTheme="minorHAnsi" w:hAnsiTheme="minorHAnsi" w:cstheme="minorHAnsi"/>
        </w:rPr>
        <w:t>.</w:t>
      </w:r>
      <w:r w:rsidR="00E17657" w:rsidRPr="00096D83">
        <w:rPr>
          <w:rFonts w:asciiTheme="minorHAnsi" w:hAnsiTheme="minorHAnsi" w:cstheme="minorHAnsi"/>
        </w:rPr>
        <w:t xml:space="preserve"> </w:t>
      </w:r>
    </w:p>
    <w:p w:rsidR="009E7D57" w:rsidRPr="00096D83" w:rsidRDefault="009E7D57">
      <w:pPr>
        <w:jc w:val="both"/>
        <w:rPr>
          <w:rFonts w:asciiTheme="minorHAnsi" w:hAnsiTheme="minorHAnsi" w:cstheme="minorHAnsi"/>
          <w:sz w:val="22"/>
          <w:szCs w:val="22"/>
          <w:lang w:eastAsia="lt-LT"/>
        </w:rPr>
      </w:pPr>
    </w:p>
    <w:p w:rsidR="009E7D57" w:rsidRPr="00096D83" w:rsidRDefault="008F0DBC">
      <w:pPr>
        <w:tabs>
          <w:tab w:val="left" w:pos="426"/>
        </w:tabs>
        <w:jc w:val="center"/>
        <w:rPr>
          <w:rFonts w:asciiTheme="minorHAnsi" w:hAnsiTheme="minorHAnsi" w:cstheme="minorHAnsi"/>
          <w:b/>
          <w:szCs w:val="24"/>
          <w:lang w:eastAsia="lt-LT"/>
        </w:rPr>
      </w:pPr>
      <w:r w:rsidRPr="00096D83">
        <w:rPr>
          <w:rFonts w:asciiTheme="minorHAnsi" w:hAnsiTheme="minorHAnsi" w:cstheme="minorHAnsi"/>
          <w:b/>
          <w:caps/>
          <w:szCs w:val="24"/>
          <w:lang w:eastAsia="lt-LT"/>
        </w:rPr>
        <w:t>II skyrius</w:t>
      </w:r>
    </w:p>
    <w:p w:rsidR="009E7D57" w:rsidRPr="00096D83" w:rsidRDefault="008F0DBC">
      <w:pPr>
        <w:tabs>
          <w:tab w:val="left" w:pos="426"/>
        </w:tabs>
        <w:jc w:val="center"/>
        <w:rPr>
          <w:rFonts w:asciiTheme="minorHAnsi" w:hAnsiTheme="minorHAnsi" w:cstheme="minorHAnsi"/>
          <w:b/>
          <w:caps/>
          <w:szCs w:val="24"/>
          <w:lang w:eastAsia="lt-LT"/>
        </w:rPr>
      </w:pPr>
      <w:r w:rsidRPr="00096D83">
        <w:rPr>
          <w:rFonts w:asciiTheme="minorHAnsi" w:hAnsiTheme="minorHAnsi" w:cstheme="minorHAnsi"/>
          <w:b/>
          <w:caps/>
          <w:szCs w:val="24"/>
          <w:lang w:eastAsia="lt-LT"/>
        </w:rPr>
        <w:t>Apskaitos politika</w:t>
      </w:r>
    </w:p>
    <w:p w:rsidR="005F671E" w:rsidRPr="00096D83" w:rsidRDefault="005F671E">
      <w:pPr>
        <w:tabs>
          <w:tab w:val="left" w:pos="426"/>
        </w:tabs>
        <w:jc w:val="center"/>
        <w:rPr>
          <w:rFonts w:asciiTheme="minorHAnsi" w:hAnsiTheme="minorHAnsi" w:cstheme="minorHAnsi"/>
          <w:b/>
          <w:caps/>
          <w:szCs w:val="24"/>
          <w:lang w:eastAsia="lt-LT"/>
        </w:rPr>
      </w:pPr>
    </w:p>
    <w:p w:rsidR="005F671E" w:rsidRPr="00B077FA" w:rsidRDefault="005F671E" w:rsidP="000F71CE">
      <w:pPr>
        <w:spacing w:line="360" w:lineRule="auto"/>
        <w:ind w:firstLine="1134"/>
        <w:jc w:val="both"/>
        <w:rPr>
          <w:rFonts w:asciiTheme="minorHAnsi" w:hAnsiTheme="minorHAnsi" w:cstheme="minorHAnsi"/>
          <w:b/>
          <w:caps/>
          <w:szCs w:val="24"/>
          <w:lang w:eastAsia="lt-LT"/>
        </w:rPr>
      </w:pPr>
      <w:r w:rsidRPr="00B077FA">
        <w:rPr>
          <w:rFonts w:asciiTheme="minorHAnsi" w:hAnsiTheme="minorHAnsi" w:cstheme="minorHAnsi"/>
        </w:rPr>
        <w:t xml:space="preserve">Savivaldybės biudžetas tvirtinamas biudžetiniams metams. </w:t>
      </w:r>
      <w:r w:rsidRPr="00B077FA">
        <w:rPr>
          <w:rFonts w:asciiTheme="minorHAnsi" w:hAnsiTheme="minorHAnsi" w:cstheme="minorHAnsi"/>
          <w:bCs/>
        </w:rPr>
        <w:t xml:space="preserve">Savivaldybės biudžeto projekto rengimas organizuojamas Savivaldybės mero (toliau – meras) nustatyta tvarka. </w:t>
      </w:r>
      <w:r w:rsidRPr="00B077FA">
        <w:rPr>
          <w:rFonts w:asciiTheme="minorHAnsi" w:hAnsiTheme="minorHAnsi" w:cstheme="minorHAnsi"/>
        </w:rPr>
        <w:t>Meras</w:t>
      </w:r>
      <w:r w:rsidRPr="00B077FA">
        <w:rPr>
          <w:rFonts w:asciiTheme="minorHAnsi" w:hAnsiTheme="minorHAnsi" w:cstheme="minorHAnsi"/>
          <w:b/>
        </w:rPr>
        <w:t xml:space="preserve"> </w:t>
      </w:r>
      <w:r w:rsidRPr="00B077FA">
        <w:rPr>
          <w:rFonts w:asciiTheme="minorHAnsi" w:hAnsiTheme="minorHAnsi" w:cstheme="minorHAnsi"/>
        </w:rPr>
        <w:t>parengtą Savivaldybės biudžeto projektą teikia svarstyti Savivaldybės tarybai Savivaldybės tarybos veiklos reglamento nustatyta tvarka. Biudžetas tvirtinamas Savivaldybės tarybos sprendimu.</w:t>
      </w:r>
    </w:p>
    <w:p w:rsidR="005F671E" w:rsidRPr="00B077FA" w:rsidRDefault="005F671E" w:rsidP="000F71CE">
      <w:pPr>
        <w:spacing w:line="360" w:lineRule="auto"/>
        <w:ind w:firstLine="1134"/>
        <w:jc w:val="both"/>
        <w:rPr>
          <w:rFonts w:asciiTheme="minorHAnsi" w:hAnsiTheme="minorHAnsi" w:cstheme="minorHAnsi"/>
        </w:rPr>
      </w:pPr>
      <w:r w:rsidRPr="00B077FA">
        <w:rPr>
          <w:rFonts w:asciiTheme="minorHAnsi" w:hAnsiTheme="minorHAnsi" w:cstheme="minorHAnsi"/>
          <w:bCs/>
        </w:rPr>
        <w:t xml:space="preserve"> Savivaldybės taryba, tvirtindama</w:t>
      </w:r>
      <w:r w:rsidR="00992930" w:rsidRPr="00B077FA">
        <w:rPr>
          <w:rFonts w:asciiTheme="minorHAnsi" w:hAnsiTheme="minorHAnsi" w:cstheme="minorHAnsi"/>
          <w:bCs/>
        </w:rPr>
        <w:t xml:space="preserve"> </w:t>
      </w:r>
      <w:r w:rsidRPr="00B077FA">
        <w:rPr>
          <w:rFonts w:asciiTheme="minorHAnsi" w:hAnsiTheme="minorHAnsi" w:cstheme="minorHAnsi"/>
          <w:bCs/>
        </w:rPr>
        <w:t>Savivaldybės pirmųjų biudžetinių metų biudžeto pajamas, numato lėšas iš valstybės biudžeto pagal tam tikrų metų biudžeto patvirtinimo įstatyme patvirtintus finansinius rodiklius, valstybės institucijų pranešimus apie planuojamas skirti specialiųjų tikslinių dotacijų sumas valstybinėms (valstybės perduotoms savivaldybėms) funkcijoms atlikti, ugdymo reikmėms, kitoms tikslinėms išlaidoms finansuoti, taip pat numato Europos Sąjungos ir kitos tarptautinės finansinės paramos  ir bendrojo finansavimo lėšas</w:t>
      </w:r>
      <w:r w:rsidR="00992930" w:rsidRPr="00B077FA">
        <w:rPr>
          <w:rFonts w:asciiTheme="minorHAnsi" w:hAnsiTheme="minorHAnsi" w:cstheme="minorHAnsi"/>
          <w:bCs/>
        </w:rPr>
        <w:t xml:space="preserve">. </w:t>
      </w:r>
      <w:r w:rsidRPr="00B077FA">
        <w:rPr>
          <w:rFonts w:asciiTheme="minorHAnsi" w:hAnsiTheme="minorHAnsi" w:cstheme="minorHAnsi"/>
        </w:rPr>
        <w:t>Savivaldybės antrųjų ir trečiųjų biudžetinių metų bendras biudžeto pajamų sumas, planuoja sumas iš gyventojų pajamų mokesčio (išskyrus fiksuoto dydžio gyventojų pajamų mokestį, mokamą už pajamas, gaunamas iš veiklos, kuria verčiamasi turint verslo liudijimą) ir dotacijas iš valstybės biudžeto vadovaudamasi tam tikrų metų biudžeto patvirtinimo įstatyme patvirtintais antrųjų ir trečiųjų biudžetinių metų prognozuojamais dydžiais.</w:t>
      </w:r>
    </w:p>
    <w:p w:rsidR="005F671E" w:rsidRPr="00B077FA" w:rsidRDefault="005F671E" w:rsidP="00992930">
      <w:pPr>
        <w:tabs>
          <w:tab w:val="left" w:pos="426"/>
        </w:tabs>
        <w:spacing w:line="360" w:lineRule="auto"/>
        <w:ind w:firstLine="1134"/>
        <w:jc w:val="both"/>
        <w:rPr>
          <w:rFonts w:asciiTheme="minorHAnsi" w:hAnsiTheme="minorHAnsi" w:cstheme="minorHAnsi"/>
          <w:b/>
          <w:caps/>
          <w:szCs w:val="24"/>
          <w:lang w:eastAsia="lt-LT"/>
        </w:rPr>
      </w:pPr>
      <w:r w:rsidRPr="00B077FA">
        <w:rPr>
          <w:rFonts w:asciiTheme="minorHAnsi" w:hAnsiTheme="minorHAnsi" w:cstheme="minorHAnsi"/>
          <w:szCs w:val="24"/>
        </w:rPr>
        <w:t>Savivaldybės</w:t>
      </w:r>
      <w:r w:rsidRPr="00B077FA">
        <w:rPr>
          <w:rFonts w:asciiTheme="minorHAnsi" w:hAnsiTheme="minorHAnsi" w:cstheme="minorHAnsi"/>
        </w:rPr>
        <w:t xml:space="preserve"> biudžeto apyvartinės lėšos sudaromos iš Savivaldybės biudžeto lėšų likučio, o kai jo nepakanka, – iš biudžeto pajamų</w:t>
      </w:r>
      <w:r w:rsidR="00992930" w:rsidRPr="00B077FA">
        <w:rPr>
          <w:rFonts w:asciiTheme="minorHAnsi" w:hAnsiTheme="minorHAnsi" w:cstheme="minorHAnsi"/>
        </w:rPr>
        <w:t xml:space="preserve">. </w:t>
      </w:r>
    </w:p>
    <w:p w:rsidR="005F671E" w:rsidRPr="00B077FA" w:rsidRDefault="005F671E" w:rsidP="00992930">
      <w:pPr>
        <w:tabs>
          <w:tab w:val="left" w:pos="426"/>
        </w:tabs>
        <w:spacing w:line="360" w:lineRule="auto"/>
        <w:ind w:firstLine="1134"/>
        <w:jc w:val="both"/>
        <w:rPr>
          <w:rFonts w:asciiTheme="minorHAnsi" w:hAnsiTheme="minorHAnsi" w:cstheme="minorHAnsi"/>
          <w:b/>
          <w:caps/>
          <w:szCs w:val="24"/>
          <w:lang w:eastAsia="lt-LT"/>
        </w:rPr>
      </w:pPr>
      <w:r w:rsidRPr="00B077FA">
        <w:rPr>
          <w:rFonts w:asciiTheme="minorHAnsi" w:hAnsiTheme="minorHAnsi" w:cstheme="minorHAnsi"/>
        </w:rPr>
        <w:t>Savivaldybės biudžetinės įstaigos programų sąmatose patvirtintiems asignavimams pirmiausia naudo</w:t>
      </w:r>
      <w:r w:rsidR="00992930" w:rsidRPr="00B077FA">
        <w:rPr>
          <w:rFonts w:asciiTheme="minorHAnsi" w:hAnsiTheme="minorHAnsi" w:cstheme="minorHAnsi"/>
        </w:rPr>
        <w:t>ja</w:t>
      </w:r>
      <w:r w:rsidRPr="00B077FA">
        <w:rPr>
          <w:rFonts w:asciiTheme="minorHAnsi" w:hAnsiTheme="minorHAnsi" w:cstheme="minorHAnsi"/>
        </w:rPr>
        <w:t xml:space="preserve"> lėšas, gautas iš einamaisiais biudžetiniais metais įmokėtų į Savivaldybės biudžetą tos biudžetinės įstaigos pajamų, įskaitant ankstesniais metais nepanaudotus šių lėšų likučius.</w:t>
      </w:r>
    </w:p>
    <w:p w:rsidR="007E683C" w:rsidRPr="00B077FA" w:rsidRDefault="003E3572" w:rsidP="00992930">
      <w:pPr>
        <w:spacing w:line="360" w:lineRule="auto"/>
        <w:ind w:firstLine="1296"/>
        <w:jc w:val="both"/>
        <w:rPr>
          <w:rFonts w:asciiTheme="minorHAnsi" w:hAnsiTheme="minorHAnsi" w:cstheme="minorHAnsi"/>
        </w:rPr>
      </w:pPr>
      <w:r w:rsidRPr="00B077FA">
        <w:rPr>
          <w:rFonts w:asciiTheme="minorHAnsi" w:hAnsiTheme="minorHAnsi" w:cstheme="minorHAnsi"/>
        </w:rPr>
        <w:t>Savivaldybės biudžeto vykdymo ataskaitų rinkinys parengtas vadovaujantis Savivaldybės biudžeto pajamų ir išlaidų vykdymo apskaitos duomenimis, sudarytas konsoliduojant Savivaldybės biudžeto, 167-ių Savivaldybės biudžetinių įstaigų</w:t>
      </w:r>
      <w:r w:rsidR="001A7644">
        <w:rPr>
          <w:rFonts w:asciiTheme="minorHAnsi" w:hAnsiTheme="minorHAnsi" w:cstheme="minorHAnsi"/>
        </w:rPr>
        <w:t xml:space="preserve"> pateiktus biudžeto išlaidų sąmatos vykdymo ataskaitų duomenis </w:t>
      </w:r>
      <w:r w:rsidR="001A7644" w:rsidRPr="00B077FA">
        <w:rPr>
          <w:rFonts w:asciiTheme="minorHAnsi" w:hAnsiTheme="minorHAnsi" w:cstheme="minorHAnsi"/>
        </w:rPr>
        <w:t>pagal Lietuvos Respublikos finansų ministro patvirtintas ataskaitų formas</w:t>
      </w:r>
      <w:r w:rsidR="001A7644">
        <w:rPr>
          <w:rFonts w:asciiTheme="minorHAnsi" w:hAnsiTheme="minorHAnsi" w:cstheme="minorHAnsi"/>
        </w:rPr>
        <w:t>. Į konsolidavimą taip pat įtraukti 4-ių Savivaldybės viešųjų įstaigų</w:t>
      </w:r>
      <w:r w:rsidRPr="00B077FA">
        <w:rPr>
          <w:rFonts w:asciiTheme="minorHAnsi" w:hAnsiTheme="minorHAnsi" w:cstheme="minorHAnsi"/>
        </w:rPr>
        <w:t xml:space="preserve">, </w:t>
      </w:r>
      <w:r w:rsidR="001A7644">
        <w:rPr>
          <w:rFonts w:asciiTheme="minorHAnsi" w:hAnsiTheme="minorHAnsi" w:cstheme="minorHAnsi"/>
        </w:rPr>
        <w:t>kurioms Savivaldybės 2025 metų biudžete buvo numatyti asignavimai, biudžeto išlaidų sąmatos vykdymo ataskaitų duomenys.</w:t>
      </w:r>
      <w:r w:rsidRPr="00B077FA">
        <w:rPr>
          <w:rFonts w:asciiTheme="minorHAnsi" w:hAnsiTheme="minorHAnsi" w:cstheme="minorHAnsi"/>
        </w:rPr>
        <w:t xml:space="preserve"> </w:t>
      </w:r>
      <w:r w:rsidR="00583729" w:rsidRPr="00B077FA">
        <w:rPr>
          <w:rFonts w:asciiTheme="minorHAnsi" w:hAnsiTheme="minorHAnsi" w:cstheme="minorHAnsi"/>
        </w:rPr>
        <w:t>Savivaldybės biudžeto vykdymo ataskaitų rinkin</w:t>
      </w:r>
      <w:r w:rsidR="000F6D39" w:rsidRPr="00B077FA">
        <w:rPr>
          <w:rFonts w:asciiTheme="minorHAnsi" w:hAnsiTheme="minorHAnsi" w:cstheme="minorHAnsi"/>
        </w:rPr>
        <w:t xml:space="preserve">io, parengto pagal 2025 m. gruodžio 31 d. būklę, </w:t>
      </w:r>
      <w:r w:rsidR="00583729" w:rsidRPr="00B077FA">
        <w:rPr>
          <w:rFonts w:asciiTheme="minorHAnsi" w:hAnsiTheme="minorHAnsi" w:cstheme="minorHAnsi"/>
        </w:rPr>
        <w:t>duomenys nurodomi taikant pinigų apskaitos pr</w:t>
      </w:r>
      <w:r w:rsidR="00992930" w:rsidRPr="00B077FA">
        <w:rPr>
          <w:rFonts w:asciiTheme="minorHAnsi" w:hAnsiTheme="minorHAnsi" w:cstheme="minorHAnsi"/>
        </w:rPr>
        <w:t>i</w:t>
      </w:r>
      <w:r w:rsidR="00583729" w:rsidRPr="00B077FA">
        <w:rPr>
          <w:rFonts w:asciiTheme="minorHAnsi" w:hAnsiTheme="minorHAnsi" w:cstheme="minorHAnsi"/>
        </w:rPr>
        <w:t>ncipą.</w:t>
      </w:r>
      <w:r w:rsidR="00992930" w:rsidRPr="00B077FA">
        <w:rPr>
          <w:rFonts w:asciiTheme="minorHAnsi" w:hAnsiTheme="minorHAnsi" w:cstheme="minorHAnsi"/>
        </w:rPr>
        <w:t xml:space="preserve"> </w:t>
      </w:r>
    </w:p>
    <w:p w:rsidR="005F671E" w:rsidRPr="00096D83" w:rsidRDefault="005F671E" w:rsidP="000F71CE">
      <w:pPr>
        <w:spacing w:line="360" w:lineRule="auto"/>
        <w:ind w:firstLine="1276"/>
        <w:jc w:val="both"/>
        <w:rPr>
          <w:rFonts w:asciiTheme="minorHAnsi" w:hAnsiTheme="minorHAnsi" w:cstheme="minorHAnsi"/>
        </w:rPr>
      </w:pPr>
      <w:r w:rsidRPr="00B077FA">
        <w:rPr>
          <w:rFonts w:asciiTheme="minorHAnsi" w:hAnsiTheme="minorHAnsi" w:cstheme="minorHAnsi"/>
        </w:rPr>
        <w:t xml:space="preserve"> Savivaldybės biudžeto vykdymo ataskaitų rinkinį pasirašo meras ir teikia Savivaldybės tarybai tvirtinti Savivaldybės tarybos veiklos reglamento nustatyta tvarka ir terminais.</w:t>
      </w:r>
      <w:r w:rsidRPr="00096D83">
        <w:rPr>
          <w:rFonts w:asciiTheme="minorHAnsi" w:hAnsiTheme="minorHAnsi" w:cstheme="minorHAnsi"/>
        </w:rPr>
        <w:t xml:space="preserve"> </w:t>
      </w:r>
    </w:p>
    <w:p w:rsidR="009E7D57" w:rsidRPr="00096D83" w:rsidRDefault="009E7D57">
      <w:pPr>
        <w:tabs>
          <w:tab w:val="left" w:pos="426"/>
        </w:tabs>
        <w:jc w:val="center"/>
        <w:rPr>
          <w:rFonts w:asciiTheme="minorHAnsi" w:hAnsiTheme="minorHAnsi" w:cstheme="minorHAnsi"/>
          <w:b/>
          <w:szCs w:val="24"/>
          <w:lang w:eastAsia="lt-LT"/>
        </w:rPr>
      </w:pPr>
    </w:p>
    <w:p w:rsidR="009E7D57" w:rsidRPr="00096D83" w:rsidRDefault="008F0DBC">
      <w:pPr>
        <w:tabs>
          <w:tab w:val="left" w:pos="426"/>
        </w:tabs>
        <w:jc w:val="center"/>
        <w:rPr>
          <w:rFonts w:asciiTheme="minorHAnsi" w:hAnsiTheme="minorHAnsi" w:cstheme="minorHAnsi"/>
          <w:b/>
          <w:szCs w:val="24"/>
          <w:lang w:eastAsia="lt-LT"/>
        </w:rPr>
      </w:pPr>
      <w:r w:rsidRPr="00096D83">
        <w:rPr>
          <w:rFonts w:asciiTheme="minorHAnsi" w:hAnsiTheme="minorHAnsi" w:cstheme="minorHAnsi"/>
          <w:b/>
          <w:szCs w:val="24"/>
          <w:lang w:eastAsia="lt-LT"/>
        </w:rPr>
        <w:t>III SKYRIUS</w:t>
      </w:r>
    </w:p>
    <w:p w:rsidR="009E7D57" w:rsidRPr="00096D83" w:rsidRDefault="008F0DBC">
      <w:pPr>
        <w:tabs>
          <w:tab w:val="left" w:pos="426"/>
        </w:tabs>
        <w:jc w:val="center"/>
        <w:rPr>
          <w:rFonts w:asciiTheme="minorHAnsi" w:hAnsiTheme="minorHAnsi" w:cstheme="minorHAnsi"/>
          <w:b/>
          <w:szCs w:val="24"/>
          <w:lang w:eastAsia="lt-LT"/>
        </w:rPr>
      </w:pPr>
      <w:r w:rsidRPr="00096D83">
        <w:rPr>
          <w:rFonts w:asciiTheme="minorHAnsi" w:hAnsiTheme="minorHAnsi" w:cstheme="minorHAnsi"/>
          <w:b/>
          <w:szCs w:val="24"/>
          <w:lang w:eastAsia="lt-LT"/>
        </w:rPr>
        <w:t>SAVIVALDYBĖS BIUDŽETO PAJAMŲ PLANO VYKDYMAS</w:t>
      </w:r>
    </w:p>
    <w:p w:rsidR="00F67E15" w:rsidRPr="00096D83" w:rsidRDefault="00F67E15">
      <w:pPr>
        <w:tabs>
          <w:tab w:val="left" w:pos="426"/>
        </w:tabs>
        <w:jc w:val="center"/>
        <w:rPr>
          <w:rFonts w:asciiTheme="minorHAnsi" w:hAnsiTheme="minorHAnsi" w:cstheme="minorHAnsi"/>
          <w:b/>
          <w:szCs w:val="24"/>
          <w:lang w:eastAsia="lt-LT"/>
        </w:rPr>
      </w:pPr>
    </w:p>
    <w:p w:rsidR="00F67E15" w:rsidRPr="00577BC3" w:rsidRDefault="00F67E15" w:rsidP="00F711D5">
      <w:pPr>
        <w:tabs>
          <w:tab w:val="left" w:pos="1418"/>
        </w:tabs>
        <w:suppressAutoHyphens/>
        <w:spacing w:line="360" w:lineRule="auto"/>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Kauno miesto savivaldybės </w:t>
      </w:r>
      <w:r w:rsidR="00B97543" w:rsidRPr="00096D83">
        <w:rPr>
          <w:rFonts w:asciiTheme="minorHAnsi" w:hAnsiTheme="minorHAnsi" w:cstheme="minorHAnsi"/>
          <w:szCs w:val="24"/>
          <w:lang w:eastAsia="zh-CN"/>
        </w:rPr>
        <w:t xml:space="preserve">taryba 2025 metų pradžioje patvirtino </w:t>
      </w:r>
      <w:r w:rsidRPr="00096D83">
        <w:rPr>
          <w:rFonts w:asciiTheme="minorHAnsi" w:hAnsiTheme="minorHAnsi" w:cstheme="minorHAnsi"/>
          <w:szCs w:val="24"/>
          <w:lang w:eastAsia="zh-CN"/>
        </w:rPr>
        <w:t xml:space="preserve"> </w:t>
      </w:r>
      <w:r w:rsidR="00FE6BB9" w:rsidRPr="00096D83">
        <w:rPr>
          <w:rFonts w:asciiTheme="minorHAnsi" w:hAnsiTheme="minorHAnsi" w:cstheme="minorHAnsi"/>
          <w:szCs w:val="24"/>
          <w:lang w:eastAsia="zh-CN"/>
        </w:rPr>
        <w:t>663 562,1 tūkst. eurų savivaldybės biudžeto pajamų planą. Metų eigoje gavus informaciją apie papildomai skirtas ar sumažintas valstybės biudžeto dotacijas, Europos Sąjungos</w:t>
      </w:r>
      <w:r w:rsidR="00A4781D" w:rsidRPr="00096D83">
        <w:rPr>
          <w:rFonts w:asciiTheme="minorHAnsi" w:hAnsiTheme="minorHAnsi" w:cstheme="minorHAnsi"/>
          <w:szCs w:val="24"/>
          <w:lang w:eastAsia="zh-CN"/>
        </w:rPr>
        <w:t>,</w:t>
      </w:r>
      <w:r w:rsidR="00FE6BB9" w:rsidRPr="00096D83">
        <w:rPr>
          <w:rFonts w:asciiTheme="minorHAnsi" w:hAnsiTheme="minorHAnsi" w:cstheme="minorHAnsi"/>
          <w:szCs w:val="24"/>
          <w:lang w:eastAsia="zh-CN"/>
        </w:rPr>
        <w:t xml:space="preserve"> kitos tarptautinės finansinės paramos</w:t>
      </w:r>
      <w:r w:rsidR="00A4781D" w:rsidRPr="00096D83">
        <w:rPr>
          <w:rFonts w:asciiTheme="minorHAnsi" w:hAnsiTheme="minorHAnsi" w:cstheme="minorHAnsi"/>
          <w:szCs w:val="24"/>
          <w:lang w:eastAsia="zh-CN"/>
        </w:rPr>
        <w:t xml:space="preserve"> ir bendrojo finansavimo</w:t>
      </w:r>
      <w:r w:rsidR="00FE6BB9" w:rsidRPr="00096D83">
        <w:rPr>
          <w:rFonts w:asciiTheme="minorHAnsi" w:hAnsiTheme="minorHAnsi" w:cstheme="minorHAnsi"/>
          <w:szCs w:val="24"/>
          <w:lang w:eastAsia="zh-CN"/>
        </w:rPr>
        <w:t xml:space="preserve"> lėšas bei į savivaldybės biudžetą įskaitomas savarankiškas pajamas, biudžeto pajamų planas buvo tikslintas. Ataskaitiniam laikotarpiui</w:t>
      </w:r>
      <w:r w:rsidRPr="00096D83">
        <w:rPr>
          <w:rFonts w:asciiTheme="minorHAnsi" w:hAnsiTheme="minorHAnsi" w:cstheme="minorHAnsi"/>
          <w:szCs w:val="24"/>
          <w:lang w:eastAsia="zh-CN"/>
        </w:rPr>
        <w:t xml:space="preserve"> biudžeto pajamų patikslintas planas </w:t>
      </w:r>
      <w:r w:rsidR="00ED6590" w:rsidRPr="00096D83">
        <w:rPr>
          <w:rFonts w:asciiTheme="minorHAnsi" w:hAnsiTheme="minorHAnsi" w:cstheme="minorHAnsi"/>
          <w:szCs w:val="24"/>
          <w:lang w:eastAsia="zh-CN"/>
        </w:rPr>
        <w:t xml:space="preserve">sudarė </w:t>
      </w:r>
      <w:r w:rsidR="009632AD" w:rsidRPr="00096D83">
        <w:rPr>
          <w:rFonts w:asciiTheme="minorHAnsi" w:hAnsiTheme="minorHAnsi" w:cstheme="minorHAnsi"/>
          <w:szCs w:val="24"/>
          <w:lang w:eastAsia="zh-CN"/>
        </w:rPr>
        <w:t>730 </w:t>
      </w:r>
      <w:r w:rsidR="009632AD" w:rsidRPr="00577BC3">
        <w:rPr>
          <w:rFonts w:asciiTheme="minorHAnsi" w:hAnsiTheme="minorHAnsi" w:cstheme="minorHAnsi"/>
          <w:szCs w:val="24"/>
          <w:lang w:eastAsia="zh-CN"/>
        </w:rPr>
        <w:t>315,</w:t>
      </w:r>
      <w:r w:rsidR="00E934DD" w:rsidRPr="00577BC3">
        <w:rPr>
          <w:rFonts w:asciiTheme="minorHAnsi" w:hAnsiTheme="minorHAnsi" w:cstheme="minorHAnsi"/>
          <w:szCs w:val="24"/>
          <w:lang w:eastAsia="zh-CN"/>
        </w:rPr>
        <w:t>3</w:t>
      </w:r>
      <w:r w:rsidRPr="00577BC3">
        <w:rPr>
          <w:rFonts w:asciiTheme="minorHAnsi" w:hAnsiTheme="minorHAnsi" w:cstheme="minorHAnsi"/>
          <w:szCs w:val="24"/>
          <w:lang w:eastAsia="zh-CN"/>
        </w:rPr>
        <w:t xml:space="preserve"> tūkst. eurų</w:t>
      </w:r>
      <w:r w:rsidR="00ED6590" w:rsidRPr="00577BC3">
        <w:rPr>
          <w:rFonts w:asciiTheme="minorHAnsi" w:hAnsiTheme="minorHAnsi" w:cstheme="minorHAnsi"/>
          <w:szCs w:val="24"/>
          <w:lang w:eastAsia="zh-CN"/>
        </w:rPr>
        <w:t>, o</w:t>
      </w:r>
      <w:r w:rsidR="00F711D5">
        <w:rPr>
          <w:rFonts w:asciiTheme="minorHAnsi" w:hAnsiTheme="minorHAnsi" w:cstheme="minorHAnsi"/>
          <w:szCs w:val="24"/>
          <w:lang w:eastAsia="zh-CN"/>
        </w:rPr>
        <w:t xml:space="preserve"> </w:t>
      </w:r>
      <w:r w:rsidR="00ED6590" w:rsidRPr="00577BC3">
        <w:rPr>
          <w:rFonts w:asciiTheme="minorHAnsi" w:hAnsiTheme="minorHAnsi" w:cstheme="minorHAnsi"/>
          <w:szCs w:val="24"/>
          <w:lang w:eastAsia="zh-CN"/>
        </w:rPr>
        <w:t xml:space="preserve">faktiškai gauta </w:t>
      </w:r>
      <w:r w:rsidR="009632AD" w:rsidRPr="00577BC3">
        <w:rPr>
          <w:rFonts w:asciiTheme="minorHAnsi" w:hAnsiTheme="minorHAnsi" w:cstheme="minorHAnsi"/>
          <w:szCs w:val="24"/>
          <w:lang w:eastAsia="zh-CN"/>
        </w:rPr>
        <w:t>757</w:t>
      </w:r>
      <w:r w:rsidR="00E934DD" w:rsidRPr="00577BC3">
        <w:rPr>
          <w:rFonts w:asciiTheme="minorHAnsi" w:hAnsiTheme="minorHAnsi" w:cstheme="minorHAnsi"/>
          <w:szCs w:val="24"/>
          <w:lang w:eastAsia="zh-CN"/>
        </w:rPr>
        <w:t> 705,</w:t>
      </w:r>
      <w:r w:rsidR="00B579AF" w:rsidRPr="00577BC3">
        <w:rPr>
          <w:rFonts w:asciiTheme="minorHAnsi" w:hAnsiTheme="minorHAnsi" w:cstheme="minorHAnsi"/>
          <w:szCs w:val="24"/>
          <w:lang w:eastAsia="zh-CN"/>
        </w:rPr>
        <w:t>7</w:t>
      </w:r>
      <w:r w:rsidRPr="00577BC3">
        <w:rPr>
          <w:rFonts w:asciiTheme="minorHAnsi" w:hAnsiTheme="minorHAnsi" w:cstheme="minorHAnsi"/>
          <w:szCs w:val="24"/>
          <w:lang w:eastAsia="zh-CN"/>
        </w:rPr>
        <w:t xml:space="preserve"> tūkst. eurų</w:t>
      </w:r>
      <w:r w:rsidR="00ED6590" w:rsidRPr="00577BC3">
        <w:rPr>
          <w:rFonts w:asciiTheme="minorHAnsi" w:hAnsiTheme="minorHAnsi" w:cstheme="minorHAnsi"/>
          <w:szCs w:val="24"/>
          <w:lang w:eastAsia="zh-CN"/>
        </w:rPr>
        <w:t xml:space="preserve">, t. y. pajamų planas </w:t>
      </w:r>
      <w:r w:rsidR="00FD1B4A" w:rsidRPr="00577BC3">
        <w:rPr>
          <w:rFonts w:asciiTheme="minorHAnsi" w:hAnsiTheme="minorHAnsi" w:cstheme="minorHAnsi"/>
          <w:szCs w:val="24"/>
          <w:lang w:eastAsia="zh-CN"/>
        </w:rPr>
        <w:t>viršytas</w:t>
      </w:r>
      <w:r w:rsidR="00ED6590" w:rsidRPr="00577BC3">
        <w:rPr>
          <w:rFonts w:asciiTheme="minorHAnsi" w:hAnsiTheme="minorHAnsi" w:cstheme="minorHAnsi"/>
          <w:szCs w:val="24"/>
          <w:lang w:eastAsia="zh-CN"/>
        </w:rPr>
        <w:t xml:space="preserve"> </w:t>
      </w:r>
      <w:r w:rsidR="00643296" w:rsidRPr="00577BC3">
        <w:rPr>
          <w:rFonts w:asciiTheme="minorHAnsi" w:hAnsiTheme="minorHAnsi" w:cstheme="minorHAnsi"/>
          <w:szCs w:val="24"/>
          <w:lang w:eastAsia="zh-CN"/>
        </w:rPr>
        <w:t>10</w:t>
      </w:r>
      <w:r w:rsidR="009632AD" w:rsidRPr="00577BC3">
        <w:rPr>
          <w:rFonts w:asciiTheme="minorHAnsi" w:hAnsiTheme="minorHAnsi" w:cstheme="minorHAnsi"/>
          <w:szCs w:val="24"/>
          <w:lang w:eastAsia="zh-CN"/>
        </w:rPr>
        <w:t>3,8</w:t>
      </w:r>
      <w:r w:rsidRPr="00577BC3">
        <w:rPr>
          <w:rFonts w:asciiTheme="minorHAnsi" w:hAnsiTheme="minorHAnsi" w:cstheme="minorHAnsi"/>
          <w:szCs w:val="24"/>
          <w:lang w:eastAsia="zh-CN"/>
        </w:rPr>
        <w:t xml:space="preserve"> proc., </w:t>
      </w:r>
      <w:r w:rsidR="00ED6590" w:rsidRPr="00577BC3">
        <w:rPr>
          <w:rFonts w:asciiTheme="minorHAnsi" w:hAnsiTheme="minorHAnsi" w:cstheme="minorHAnsi"/>
          <w:szCs w:val="24"/>
          <w:lang w:eastAsia="zh-CN"/>
        </w:rPr>
        <w:t>arba</w:t>
      </w:r>
      <w:r w:rsidRPr="00577BC3">
        <w:rPr>
          <w:rFonts w:asciiTheme="minorHAnsi" w:hAnsiTheme="minorHAnsi" w:cstheme="minorHAnsi"/>
          <w:szCs w:val="24"/>
          <w:lang w:eastAsia="zh-CN"/>
        </w:rPr>
        <w:t xml:space="preserve"> </w:t>
      </w:r>
      <w:r w:rsidR="00E934DD" w:rsidRPr="00577BC3">
        <w:rPr>
          <w:rFonts w:asciiTheme="minorHAnsi" w:hAnsiTheme="minorHAnsi" w:cstheme="minorHAnsi"/>
          <w:szCs w:val="24"/>
          <w:lang w:eastAsia="zh-CN"/>
        </w:rPr>
        <w:t>27</w:t>
      </w:r>
      <w:r w:rsidR="001C3F53" w:rsidRPr="00577BC3">
        <w:rPr>
          <w:rFonts w:asciiTheme="minorHAnsi" w:hAnsiTheme="minorHAnsi" w:cstheme="minorHAnsi"/>
          <w:szCs w:val="24"/>
          <w:lang w:eastAsia="zh-CN"/>
        </w:rPr>
        <w:t xml:space="preserve"> </w:t>
      </w:r>
      <w:r w:rsidR="00E934DD" w:rsidRPr="00577BC3">
        <w:rPr>
          <w:rFonts w:asciiTheme="minorHAnsi" w:hAnsiTheme="minorHAnsi" w:cstheme="minorHAnsi"/>
          <w:szCs w:val="24"/>
          <w:lang w:eastAsia="zh-CN"/>
        </w:rPr>
        <w:t>390,</w:t>
      </w:r>
      <w:r w:rsidR="008C063C" w:rsidRPr="00577BC3">
        <w:rPr>
          <w:rFonts w:asciiTheme="minorHAnsi" w:hAnsiTheme="minorHAnsi" w:cstheme="minorHAnsi"/>
          <w:szCs w:val="24"/>
          <w:lang w:eastAsia="zh-CN"/>
        </w:rPr>
        <w:t>4</w:t>
      </w:r>
      <w:r w:rsidR="00E934DD" w:rsidRPr="00577BC3">
        <w:rPr>
          <w:rFonts w:asciiTheme="minorHAnsi" w:hAnsiTheme="minorHAnsi" w:cstheme="minorHAnsi"/>
          <w:szCs w:val="24"/>
          <w:lang w:eastAsia="zh-CN"/>
        </w:rPr>
        <w:t xml:space="preserve"> </w:t>
      </w:r>
      <w:r w:rsidRPr="00577BC3">
        <w:rPr>
          <w:rFonts w:asciiTheme="minorHAnsi" w:hAnsiTheme="minorHAnsi" w:cstheme="minorHAnsi"/>
          <w:szCs w:val="24"/>
          <w:lang w:eastAsia="zh-CN"/>
        </w:rPr>
        <w:t>tūkst. eurų.</w:t>
      </w:r>
    </w:p>
    <w:p w:rsidR="00F67E15" w:rsidRPr="00577BC3" w:rsidRDefault="00F67E15"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Savivaldybės 202</w:t>
      </w:r>
      <w:r w:rsidR="003D7435" w:rsidRPr="00577BC3">
        <w:rPr>
          <w:rFonts w:asciiTheme="minorHAnsi" w:hAnsiTheme="minorHAnsi" w:cstheme="minorHAnsi"/>
          <w:szCs w:val="24"/>
          <w:lang w:eastAsia="zh-CN"/>
        </w:rPr>
        <w:t>5</w:t>
      </w:r>
      <w:r w:rsidRPr="00577BC3">
        <w:rPr>
          <w:rFonts w:asciiTheme="minorHAnsi" w:hAnsiTheme="minorHAnsi" w:cstheme="minorHAnsi"/>
          <w:szCs w:val="24"/>
          <w:lang w:eastAsia="zh-CN"/>
        </w:rPr>
        <w:t xml:space="preserve"> metų patikslintas pajamų planas savarankiškoms funkcijoms atlikti </w:t>
      </w:r>
      <w:r w:rsidRPr="00577BC3">
        <w:rPr>
          <w:rFonts w:asciiTheme="minorHAnsi" w:hAnsiTheme="minorHAnsi" w:cstheme="minorHAnsi"/>
          <w:szCs w:val="24"/>
          <w:lang w:eastAsia="zh-CN"/>
        </w:rPr>
        <w:br/>
      </w:r>
      <w:r w:rsidR="003D7435" w:rsidRPr="00577BC3">
        <w:rPr>
          <w:rFonts w:asciiTheme="minorHAnsi" w:hAnsiTheme="minorHAnsi" w:cstheme="minorHAnsi"/>
          <w:szCs w:val="24"/>
          <w:lang w:eastAsia="zh-CN"/>
        </w:rPr>
        <w:t>439 87</w:t>
      </w:r>
      <w:r w:rsidR="00250114" w:rsidRPr="00577BC3">
        <w:rPr>
          <w:rFonts w:asciiTheme="minorHAnsi" w:hAnsiTheme="minorHAnsi" w:cstheme="minorHAnsi"/>
          <w:szCs w:val="24"/>
          <w:lang w:eastAsia="zh-CN"/>
        </w:rPr>
        <w:t>5</w:t>
      </w:r>
      <w:r w:rsidRPr="00577BC3">
        <w:rPr>
          <w:rFonts w:asciiTheme="minorHAnsi" w:hAnsiTheme="minorHAnsi" w:cstheme="minorHAnsi"/>
          <w:szCs w:val="24"/>
          <w:lang w:eastAsia="zh-CN"/>
        </w:rPr>
        <w:t xml:space="preserve"> tūkst. eurų (be dotacijų) įvykdytas </w:t>
      </w:r>
      <w:r w:rsidR="007C3CE9" w:rsidRPr="00577BC3">
        <w:rPr>
          <w:rFonts w:asciiTheme="minorHAnsi" w:hAnsiTheme="minorHAnsi" w:cstheme="minorHAnsi"/>
          <w:szCs w:val="24"/>
          <w:lang w:eastAsia="zh-CN"/>
        </w:rPr>
        <w:t>10</w:t>
      </w:r>
      <w:r w:rsidR="003D7435" w:rsidRPr="00577BC3">
        <w:rPr>
          <w:rFonts w:asciiTheme="minorHAnsi" w:hAnsiTheme="minorHAnsi" w:cstheme="minorHAnsi"/>
          <w:szCs w:val="24"/>
          <w:lang w:eastAsia="zh-CN"/>
        </w:rPr>
        <w:t>7,1</w:t>
      </w:r>
      <w:r w:rsidRPr="00577BC3">
        <w:rPr>
          <w:rFonts w:asciiTheme="minorHAnsi" w:hAnsiTheme="minorHAnsi" w:cstheme="minorHAnsi"/>
          <w:szCs w:val="24"/>
          <w:lang w:eastAsia="zh-CN"/>
        </w:rPr>
        <w:t xml:space="preserve"> proc. ir gauta </w:t>
      </w:r>
      <w:r w:rsidR="003D7435" w:rsidRPr="00577BC3">
        <w:rPr>
          <w:rFonts w:asciiTheme="minorHAnsi" w:hAnsiTheme="minorHAnsi" w:cstheme="minorHAnsi"/>
          <w:szCs w:val="24"/>
          <w:lang w:eastAsia="zh-CN"/>
        </w:rPr>
        <w:t>31 212,</w:t>
      </w:r>
      <w:r w:rsidR="00A62D00" w:rsidRPr="00577BC3">
        <w:rPr>
          <w:rFonts w:asciiTheme="minorHAnsi" w:hAnsiTheme="minorHAnsi" w:cstheme="minorHAnsi"/>
          <w:szCs w:val="24"/>
          <w:lang w:eastAsia="zh-CN"/>
        </w:rPr>
        <w:t>9</w:t>
      </w:r>
      <w:r w:rsidRPr="00577BC3">
        <w:rPr>
          <w:rFonts w:asciiTheme="minorHAnsi" w:hAnsiTheme="minorHAnsi" w:cstheme="minorHAnsi"/>
          <w:szCs w:val="24"/>
          <w:lang w:eastAsia="zh-CN"/>
        </w:rPr>
        <w:t xml:space="preserve"> tūkst. eurų daugiau nei planuota. Pajamų planas įvykdytas pagal visas pajamų rūšis, išskyrus </w:t>
      </w:r>
      <w:r w:rsidR="00EE0E2C" w:rsidRPr="00577BC3">
        <w:rPr>
          <w:rFonts w:asciiTheme="minorHAnsi" w:hAnsiTheme="minorHAnsi" w:cstheme="minorHAnsi"/>
          <w:szCs w:val="24"/>
          <w:lang w:eastAsia="zh-CN"/>
        </w:rPr>
        <w:t xml:space="preserve">kitas </w:t>
      </w:r>
      <w:r w:rsidR="00B573F9" w:rsidRPr="00577BC3">
        <w:rPr>
          <w:rFonts w:asciiTheme="minorHAnsi" w:hAnsiTheme="minorHAnsi" w:cstheme="minorHAnsi"/>
          <w:szCs w:val="24"/>
          <w:lang w:eastAsia="zh-CN"/>
        </w:rPr>
        <w:t xml:space="preserve">neišvardintas </w:t>
      </w:r>
      <w:r w:rsidR="00EE0E2C" w:rsidRPr="00577BC3">
        <w:rPr>
          <w:rFonts w:asciiTheme="minorHAnsi" w:hAnsiTheme="minorHAnsi" w:cstheme="minorHAnsi"/>
          <w:szCs w:val="24"/>
          <w:lang w:eastAsia="zh-CN"/>
        </w:rPr>
        <w:t>pajamas</w:t>
      </w:r>
      <w:r w:rsidRPr="00577BC3">
        <w:rPr>
          <w:rFonts w:asciiTheme="minorHAnsi" w:hAnsiTheme="minorHAnsi" w:cstheme="minorHAnsi"/>
          <w:szCs w:val="24"/>
          <w:lang w:eastAsia="zh-CN"/>
        </w:rPr>
        <w:t>.</w:t>
      </w:r>
    </w:p>
    <w:p w:rsidR="005F5293" w:rsidRPr="00577BC3" w:rsidRDefault="005F5293"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Gyventojų pajamų mokes</w:t>
      </w:r>
      <w:r w:rsidR="00F85328" w:rsidRPr="00577BC3">
        <w:rPr>
          <w:rFonts w:asciiTheme="minorHAnsi" w:hAnsiTheme="minorHAnsi" w:cstheme="minorHAnsi"/>
          <w:szCs w:val="24"/>
          <w:lang w:eastAsia="zh-CN"/>
        </w:rPr>
        <w:t>čio</w:t>
      </w:r>
      <w:r w:rsidR="00CB70C6" w:rsidRPr="00577BC3">
        <w:rPr>
          <w:rFonts w:asciiTheme="minorHAnsi" w:hAnsiTheme="minorHAnsi" w:cstheme="minorHAnsi"/>
          <w:szCs w:val="24"/>
          <w:lang w:eastAsia="zh-CN"/>
        </w:rPr>
        <w:t xml:space="preserve"> 2025 metų pajamų planas </w:t>
      </w:r>
      <w:r w:rsidR="00F85328" w:rsidRPr="00577BC3">
        <w:rPr>
          <w:rFonts w:asciiTheme="minorHAnsi" w:hAnsiTheme="minorHAnsi" w:cstheme="minorHAnsi"/>
          <w:szCs w:val="24"/>
          <w:lang w:eastAsia="zh-CN"/>
        </w:rPr>
        <w:t xml:space="preserve">368 022 tūkst. eurų, </w:t>
      </w:r>
      <w:r w:rsidR="00CB70C6" w:rsidRPr="00577BC3">
        <w:rPr>
          <w:rFonts w:asciiTheme="minorHAnsi" w:hAnsiTheme="minorHAnsi" w:cstheme="minorHAnsi"/>
          <w:szCs w:val="24"/>
          <w:lang w:eastAsia="zh-CN"/>
        </w:rPr>
        <w:t>įvykdytas 10</w:t>
      </w:r>
      <w:r w:rsidRPr="00577BC3">
        <w:rPr>
          <w:rFonts w:asciiTheme="minorHAnsi" w:hAnsiTheme="minorHAnsi" w:cstheme="minorHAnsi"/>
          <w:szCs w:val="24"/>
          <w:lang w:eastAsia="zh-CN"/>
        </w:rPr>
        <w:t>2,</w:t>
      </w:r>
      <w:r w:rsidR="00CB70C6" w:rsidRPr="00577BC3">
        <w:rPr>
          <w:rFonts w:asciiTheme="minorHAnsi" w:hAnsiTheme="minorHAnsi" w:cstheme="minorHAnsi"/>
          <w:szCs w:val="24"/>
          <w:lang w:eastAsia="zh-CN"/>
        </w:rPr>
        <w:t>9</w:t>
      </w:r>
      <w:r w:rsidRPr="00577BC3">
        <w:rPr>
          <w:rFonts w:asciiTheme="minorHAnsi" w:hAnsiTheme="minorHAnsi" w:cstheme="minorHAnsi"/>
          <w:szCs w:val="24"/>
          <w:lang w:eastAsia="zh-CN"/>
        </w:rPr>
        <w:t xml:space="preserve"> proc.</w:t>
      </w:r>
      <w:r w:rsidR="00F85328" w:rsidRPr="00577BC3">
        <w:rPr>
          <w:rFonts w:asciiTheme="minorHAnsi" w:hAnsiTheme="minorHAnsi" w:cstheme="minorHAnsi"/>
          <w:szCs w:val="24"/>
          <w:lang w:eastAsia="zh-CN"/>
        </w:rPr>
        <w:t>,</w:t>
      </w:r>
      <w:r w:rsidRPr="00577BC3">
        <w:rPr>
          <w:rFonts w:asciiTheme="minorHAnsi" w:hAnsiTheme="minorHAnsi" w:cstheme="minorHAnsi"/>
          <w:szCs w:val="24"/>
          <w:lang w:eastAsia="zh-CN"/>
        </w:rPr>
        <w:t xml:space="preserve"> </w:t>
      </w:r>
      <w:r w:rsidR="00CB70C6" w:rsidRPr="00577BC3">
        <w:rPr>
          <w:rFonts w:asciiTheme="minorHAnsi" w:hAnsiTheme="minorHAnsi" w:cstheme="minorHAnsi"/>
          <w:szCs w:val="24"/>
          <w:lang w:eastAsia="zh-CN"/>
        </w:rPr>
        <w:t>t. y. gauta 10 584,4 tūkst. eurų daugiau nei planuota</w:t>
      </w:r>
      <w:r w:rsidR="00F85328" w:rsidRPr="00577BC3">
        <w:rPr>
          <w:rFonts w:asciiTheme="minorHAnsi" w:hAnsiTheme="minorHAnsi" w:cstheme="minorHAnsi"/>
          <w:szCs w:val="24"/>
          <w:lang w:eastAsia="zh-CN"/>
        </w:rPr>
        <w:t xml:space="preserve"> ir </w:t>
      </w:r>
      <w:r w:rsidR="002D423A" w:rsidRPr="00577BC3">
        <w:rPr>
          <w:rFonts w:asciiTheme="minorHAnsi" w:hAnsiTheme="minorHAnsi" w:cstheme="minorHAnsi"/>
          <w:szCs w:val="24"/>
          <w:lang w:eastAsia="zh-CN"/>
        </w:rPr>
        <w:t>32 018,9 tūkst. eurų daugiau</w:t>
      </w:r>
      <w:r w:rsidR="00F85328" w:rsidRPr="00577BC3">
        <w:rPr>
          <w:rFonts w:asciiTheme="minorHAnsi" w:hAnsiTheme="minorHAnsi" w:cstheme="minorHAnsi"/>
          <w:szCs w:val="24"/>
          <w:lang w:eastAsia="zh-CN"/>
        </w:rPr>
        <w:t>, nei 2024 metais</w:t>
      </w:r>
      <w:r w:rsidR="00CB70C6" w:rsidRPr="00577BC3">
        <w:rPr>
          <w:rFonts w:asciiTheme="minorHAnsi" w:hAnsiTheme="minorHAnsi" w:cstheme="minorHAnsi"/>
          <w:szCs w:val="24"/>
          <w:lang w:eastAsia="zh-CN"/>
        </w:rPr>
        <w:t xml:space="preserve">. </w:t>
      </w:r>
    </w:p>
    <w:p w:rsidR="00CB70C6" w:rsidRPr="00577BC3" w:rsidRDefault="00CB70C6"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Turto mokesči</w:t>
      </w:r>
      <w:r w:rsidR="006B6718" w:rsidRPr="00577BC3">
        <w:rPr>
          <w:rFonts w:asciiTheme="minorHAnsi" w:hAnsiTheme="minorHAnsi" w:cstheme="minorHAnsi"/>
          <w:szCs w:val="24"/>
          <w:lang w:eastAsia="zh-CN"/>
        </w:rPr>
        <w:t>ų</w:t>
      </w:r>
      <w:r w:rsidRPr="00577BC3">
        <w:rPr>
          <w:rFonts w:asciiTheme="minorHAnsi" w:hAnsiTheme="minorHAnsi" w:cstheme="minorHAnsi"/>
          <w:szCs w:val="24"/>
          <w:lang w:eastAsia="zh-CN"/>
        </w:rPr>
        <w:t xml:space="preserve"> planas </w:t>
      </w:r>
      <w:r w:rsidR="00F85328" w:rsidRPr="00577BC3">
        <w:rPr>
          <w:rFonts w:asciiTheme="minorHAnsi" w:hAnsiTheme="minorHAnsi" w:cstheme="minorHAnsi"/>
          <w:szCs w:val="24"/>
          <w:lang w:eastAsia="zh-CN"/>
        </w:rPr>
        <w:t xml:space="preserve">24 150 tūkst. eurų, </w:t>
      </w:r>
      <w:r w:rsidRPr="00577BC3">
        <w:rPr>
          <w:rFonts w:asciiTheme="minorHAnsi" w:hAnsiTheme="minorHAnsi" w:cstheme="minorHAnsi"/>
          <w:szCs w:val="24"/>
          <w:lang w:eastAsia="zh-CN"/>
        </w:rPr>
        <w:t>įvykdytas</w:t>
      </w:r>
      <w:r w:rsidR="00714FA7" w:rsidRPr="00577BC3">
        <w:rPr>
          <w:rFonts w:asciiTheme="minorHAnsi" w:hAnsiTheme="minorHAnsi" w:cstheme="minorHAnsi"/>
          <w:szCs w:val="24"/>
          <w:lang w:eastAsia="zh-CN"/>
        </w:rPr>
        <w:t xml:space="preserve"> 123,4 proc. arba gauta 5 644,7 tūkst. eurų daugiau nei planuota</w:t>
      </w:r>
      <w:r w:rsidR="00F85328" w:rsidRPr="00577BC3">
        <w:rPr>
          <w:rFonts w:asciiTheme="minorHAnsi" w:hAnsiTheme="minorHAnsi" w:cstheme="minorHAnsi"/>
          <w:szCs w:val="24"/>
          <w:lang w:eastAsia="zh-CN"/>
        </w:rPr>
        <w:t xml:space="preserve">. </w:t>
      </w:r>
      <w:r w:rsidR="006B6718" w:rsidRPr="00577BC3">
        <w:rPr>
          <w:rFonts w:asciiTheme="minorHAnsi" w:hAnsiTheme="minorHAnsi" w:cstheme="minorHAnsi"/>
          <w:szCs w:val="24"/>
          <w:lang w:eastAsia="zh-CN"/>
        </w:rPr>
        <w:t>Iš šios sumos 5 039,5 tūkst. eurų daugiau gauta nekilnojamojo turto mokesčio, 489,8 tūkst. eurų – žemės mokesčio</w:t>
      </w:r>
      <w:r w:rsidR="00D905F8" w:rsidRPr="00577BC3">
        <w:rPr>
          <w:rFonts w:asciiTheme="minorHAnsi" w:hAnsiTheme="minorHAnsi" w:cstheme="minorHAnsi"/>
          <w:szCs w:val="24"/>
          <w:lang w:eastAsia="zh-CN"/>
        </w:rPr>
        <w:t xml:space="preserve"> </w:t>
      </w:r>
      <w:r w:rsidR="006B6718" w:rsidRPr="00577BC3">
        <w:rPr>
          <w:rFonts w:asciiTheme="minorHAnsi" w:hAnsiTheme="minorHAnsi" w:cstheme="minorHAnsi"/>
          <w:szCs w:val="24"/>
          <w:lang w:eastAsia="zh-CN"/>
        </w:rPr>
        <w:t>i</w:t>
      </w:r>
      <w:r w:rsidR="00D905F8" w:rsidRPr="00577BC3">
        <w:rPr>
          <w:rFonts w:asciiTheme="minorHAnsi" w:hAnsiTheme="minorHAnsi" w:cstheme="minorHAnsi"/>
          <w:szCs w:val="24"/>
          <w:lang w:eastAsia="zh-CN"/>
        </w:rPr>
        <w:t>r</w:t>
      </w:r>
      <w:r w:rsidR="006B6718" w:rsidRPr="00577BC3">
        <w:rPr>
          <w:rFonts w:asciiTheme="minorHAnsi" w:hAnsiTheme="minorHAnsi" w:cstheme="minorHAnsi"/>
          <w:szCs w:val="24"/>
          <w:lang w:eastAsia="zh-CN"/>
        </w:rPr>
        <w:t xml:space="preserve"> 115,4 tūkst. eurų </w:t>
      </w:r>
      <w:r w:rsidR="00AC6DDB" w:rsidRPr="00577BC3">
        <w:rPr>
          <w:rFonts w:asciiTheme="minorHAnsi" w:hAnsiTheme="minorHAnsi" w:cstheme="minorHAnsi"/>
          <w:szCs w:val="24"/>
          <w:lang w:eastAsia="zh-CN"/>
        </w:rPr>
        <w:t xml:space="preserve">– </w:t>
      </w:r>
      <w:r w:rsidR="006B6718" w:rsidRPr="00577BC3">
        <w:rPr>
          <w:rFonts w:asciiTheme="minorHAnsi" w:hAnsiTheme="minorHAnsi" w:cstheme="minorHAnsi"/>
          <w:szCs w:val="24"/>
          <w:lang w:eastAsia="zh-CN"/>
        </w:rPr>
        <w:t xml:space="preserve">paveldimo turto mokesčio. </w:t>
      </w:r>
    </w:p>
    <w:p w:rsidR="003F7284" w:rsidRPr="00577BC3" w:rsidRDefault="003F7284"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 xml:space="preserve">Mokesčių už aplinkos teršimą planas įvykdytas </w:t>
      </w:r>
      <w:r w:rsidR="006C129F" w:rsidRPr="00577BC3">
        <w:rPr>
          <w:rFonts w:asciiTheme="minorHAnsi" w:hAnsiTheme="minorHAnsi" w:cstheme="minorHAnsi"/>
          <w:szCs w:val="24"/>
          <w:lang w:eastAsia="zh-CN"/>
        </w:rPr>
        <w:t>103,4 tūkst. eurų, t.</w:t>
      </w:r>
      <w:r w:rsidR="002D423A" w:rsidRPr="00577BC3">
        <w:rPr>
          <w:rFonts w:asciiTheme="minorHAnsi" w:hAnsiTheme="minorHAnsi" w:cstheme="minorHAnsi"/>
          <w:szCs w:val="24"/>
          <w:lang w:eastAsia="zh-CN"/>
        </w:rPr>
        <w:t xml:space="preserve"> </w:t>
      </w:r>
      <w:r w:rsidR="006C129F" w:rsidRPr="00577BC3">
        <w:rPr>
          <w:rFonts w:asciiTheme="minorHAnsi" w:hAnsiTheme="minorHAnsi" w:cstheme="minorHAnsi"/>
          <w:szCs w:val="24"/>
          <w:lang w:eastAsia="zh-CN"/>
        </w:rPr>
        <w:t>y. 47,4 tūkst. eurų daugiau nei planuota.</w:t>
      </w:r>
    </w:p>
    <w:p w:rsidR="00982E29" w:rsidRPr="00577BC3" w:rsidRDefault="00026400"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Kitų pajamų patikslintas planas įvykdytas 128,4 proc.</w:t>
      </w:r>
      <w:r w:rsidR="00F85328" w:rsidRPr="00577BC3">
        <w:rPr>
          <w:rFonts w:asciiTheme="minorHAnsi" w:hAnsiTheme="minorHAnsi" w:cstheme="minorHAnsi"/>
          <w:szCs w:val="24"/>
          <w:lang w:eastAsia="zh-CN"/>
        </w:rPr>
        <w:t xml:space="preserve"> arba</w:t>
      </w:r>
      <w:r w:rsidRPr="00577BC3">
        <w:rPr>
          <w:rFonts w:asciiTheme="minorHAnsi" w:hAnsiTheme="minorHAnsi" w:cstheme="minorHAnsi"/>
          <w:szCs w:val="24"/>
          <w:lang w:eastAsia="zh-CN"/>
        </w:rPr>
        <w:t xml:space="preserve"> gauta 11 940,3 tūkst. eurų daugiau nei planuota</w:t>
      </w:r>
      <w:r w:rsidR="00DA218E" w:rsidRPr="00577BC3">
        <w:rPr>
          <w:rFonts w:asciiTheme="minorHAnsi" w:hAnsiTheme="minorHAnsi" w:cstheme="minorHAnsi"/>
          <w:szCs w:val="24"/>
          <w:lang w:eastAsia="zh-CN"/>
        </w:rPr>
        <w:t xml:space="preserve"> </w:t>
      </w:r>
      <w:r w:rsidR="00F85328" w:rsidRPr="00577BC3">
        <w:rPr>
          <w:rFonts w:asciiTheme="minorHAnsi" w:hAnsiTheme="minorHAnsi" w:cstheme="minorHAnsi"/>
          <w:szCs w:val="24"/>
          <w:lang w:eastAsia="zh-CN"/>
        </w:rPr>
        <w:t xml:space="preserve">ir </w:t>
      </w:r>
      <w:r w:rsidR="00DA218E" w:rsidRPr="00577BC3">
        <w:rPr>
          <w:rFonts w:asciiTheme="minorHAnsi" w:hAnsiTheme="minorHAnsi" w:cstheme="minorHAnsi"/>
          <w:szCs w:val="24"/>
          <w:lang w:eastAsia="zh-CN"/>
        </w:rPr>
        <w:t>5 991,6 tūkst. eurų daugiau</w:t>
      </w:r>
      <w:r w:rsidR="00F85328" w:rsidRPr="00577BC3">
        <w:rPr>
          <w:rFonts w:asciiTheme="minorHAnsi" w:hAnsiTheme="minorHAnsi" w:cstheme="minorHAnsi"/>
          <w:szCs w:val="24"/>
          <w:lang w:eastAsia="zh-CN"/>
        </w:rPr>
        <w:t xml:space="preserve"> nei 2024 metais. T</w:t>
      </w:r>
      <w:r w:rsidRPr="00577BC3">
        <w:rPr>
          <w:rFonts w:asciiTheme="minorHAnsi" w:hAnsiTheme="minorHAnsi" w:cstheme="minorHAnsi"/>
          <w:szCs w:val="24"/>
          <w:lang w:eastAsia="zh-CN"/>
        </w:rPr>
        <w:t xml:space="preserve">urto pajamų planas įvykdytas 175,7 proc. t. y. </w:t>
      </w:r>
      <w:r w:rsidR="00EC3B1D" w:rsidRPr="00577BC3">
        <w:rPr>
          <w:rFonts w:asciiTheme="minorHAnsi" w:hAnsiTheme="minorHAnsi" w:cstheme="minorHAnsi"/>
          <w:szCs w:val="24"/>
          <w:lang w:eastAsia="zh-CN"/>
        </w:rPr>
        <w:t xml:space="preserve">šių pajamų </w:t>
      </w:r>
      <w:r w:rsidRPr="00577BC3">
        <w:rPr>
          <w:rFonts w:asciiTheme="minorHAnsi" w:hAnsiTheme="minorHAnsi" w:cstheme="minorHAnsi"/>
          <w:szCs w:val="24"/>
          <w:lang w:eastAsia="zh-CN"/>
        </w:rPr>
        <w:t>gauta daugiau 3 556 tūkst. eurų</w:t>
      </w:r>
      <w:r w:rsidR="00EC3B1D" w:rsidRPr="00577BC3">
        <w:rPr>
          <w:rFonts w:asciiTheme="minorHAnsi" w:hAnsiTheme="minorHAnsi" w:cstheme="minorHAnsi"/>
          <w:szCs w:val="24"/>
          <w:lang w:eastAsia="zh-CN"/>
        </w:rPr>
        <w:t xml:space="preserve">. </w:t>
      </w:r>
      <w:r w:rsidR="00185872" w:rsidRPr="00577BC3">
        <w:rPr>
          <w:rFonts w:asciiTheme="minorHAnsi" w:hAnsiTheme="minorHAnsi" w:cstheme="minorHAnsi"/>
          <w:szCs w:val="24"/>
          <w:lang w:eastAsia="zh-CN"/>
        </w:rPr>
        <w:t>Pajamų už prekes ir paslaugas patikslintas planas 34</w:t>
      </w:r>
      <w:r w:rsidR="00363E07" w:rsidRPr="00577BC3">
        <w:rPr>
          <w:rFonts w:asciiTheme="minorHAnsi" w:hAnsiTheme="minorHAnsi" w:cstheme="minorHAnsi"/>
          <w:szCs w:val="24"/>
          <w:lang w:eastAsia="zh-CN"/>
        </w:rPr>
        <w:t xml:space="preserve"> </w:t>
      </w:r>
      <w:r w:rsidR="00185872" w:rsidRPr="00577BC3">
        <w:rPr>
          <w:rFonts w:asciiTheme="minorHAnsi" w:hAnsiTheme="minorHAnsi" w:cstheme="minorHAnsi"/>
          <w:szCs w:val="24"/>
          <w:lang w:eastAsia="zh-CN"/>
        </w:rPr>
        <w:t>565,5 tūkst. eurų</w:t>
      </w:r>
      <w:r w:rsidR="00363E07" w:rsidRPr="00577BC3">
        <w:rPr>
          <w:rFonts w:asciiTheme="minorHAnsi" w:hAnsiTheme="minorHAnsi" w:cstheme="minorHAnsi"/>
          <w:szCs w:val="24"/>
          <w:lang w:eastAsia="zh-CN"/>
        </w:rPr>
        <w:t xml:space="preserve"> įvykdytas 122,6 proc.</w:t>
      </w:r>
      <w:r w:rsidR="00EC3B1D" w:rsidRPr="00577BC3">
        <w:rPr>
          <w:rFonts w:asciiTheme="minorHAnsi" w:hAnsiTheme="minorHAnsi" w:cstheme="minorHAnsi"/>
          <w:szCs w:val="24"/>
          <w:lang w:eastAsia="zh-CN"/>
        </w:rPr>
        <w:t xml:space="preserve"> arba</w:t>
      </w:r>
      <w:r w:rsidR="00363E07" w:rsidRPr="00577BC3">
        <w:rPr>
          <w:rFonts w:asciiTheme="minorHAnsi" w:hAnsiTheme="minorHAnsi" w:cstheme="minorHAnsi"/>
          <w:szCs w:val="24"/>
          <w:lang w:eastAsia="zh-CN"/>
        </w:rPr>
        <w:t xml:space="preserve"> 7 817,8 tūkst. eurų daugiau nei planuota.</w:t>
      </w:r>
      <w:r w:rsidR="00982E29" w:rsidRPr="00577BC3">
        <w:rPr>
          <w:rFonts w:asciiTheme="minorHAnsi" w:hAnsiTheme="minorHAnsi" w:cstheme="minorHAnsi"/>
          <w:szCs w:val="24"/>
          <w:lang w:eastAsia="zh-CN"/>
        </w:rPr>
        <w:t xml:space="preserve"> </w:t>
      </w:r>
      <w:r w:rsidR="00EC3B1D" w:rsidRPr="00577BC3">
        <w:rPr>
          <w:rFonts w:asciiTheme="minorHAnsi" w:hAnsiTheme="minorHAnsi" w:cstheme="minorHAnsi"/>
          <w:szCs w:val="24"/>
          <w:lang w:eastAsia="zh-CN"/>
        </w:rPr>
        <w:t xml:space="preserve">Taip pat šių pajamų grupei priskiriamos rinkliavos, kurių 2025 metų planas </w:t>
      </w:r>
      <w:r w:rsidR="00982E29" w:rsidRPr="00577BC3">
        <w:rPr>
          <w:rFonts w:asciiTheme="minorHAnsi" w:hAnsiTheme="minorHAnsi" w:cstheme="minorHAnsi"/>
          <w:szCs w:val="24"/>
          <w:lang w:eastAsia="zh-CN"/>
        </w:rPr>
        <w:t>13</w:t>
      </w:r>
      <w:r w:rsidR="00224AF3" w:rsidRPr="00577BC3">
        <w:rPr>
          <w:rFonts w:asciiTheme="minorHAnsi" w:hAnsiTheme="minorHAnsi" w:cstheme="minorHAnsi"/>
          <w:szCs w:val="24"/>
          <w:lang w:eastAsia="zh-CN"/>
        </w:rPr>
        <w:t xml:space="preserve"> </w:t>
      </w:r>
      <w:r w:rsidR="00982E29" w:rsidRPr="00577BC3">
        <w:rPr>
          <w:rFonts w:asciiTheme="minorHAnsi" w:hAnsiTheme="minorHAnsi" w:cstheme="minorHAnsi"/>
          <w:szCs w:val="24"/>
          <w:lang w:eastAsia="zh-CN"/>
        </w:rPr>
        <w:t>950 tūkst. eurų</w:t>
      </w:r>
      <w:r w:rsidR="00EC3B1D" w:rsidRPr="00577BC3">
        <w:rPr>
          <w:rFonts w:asciiTheme="minorHAnsi" w:hAnsiTheme="minorHAnsi" w:cstheme="minorHAnsi"/>
          <w:szCs w:val="24"/>
          <w:lang w:eastAsia="zh-CN"/>
        </w:rPr>
        <w:t xml:space="preserve"> įvykdytas ir viršytas </w:t>
      </w:r>
      <w:r w:rsidR="00982E29" w:rsidRPr="00577BC3">
        <w:rPr>
          <w:rFonts w:asciiTheme="minorHAnsi" w:hAnsiTheme="minorHAnsi" w:cstheme="minorHAnsi"/>
          <w:szCs w:val="24"/>
          <w:lang w:eastAsia="zh-CN"/>
        </w:rPr>
        <w:t>2</w:t>
      </w:r>
      <w:r w:rsidR="00224AF3" w:rsidRPr="00577BC3">
        <w:rPr>
          <w:rFonts w:asciiTheme="minorHAnsi" w:hAnsiTheme="minorHAnsi" w:cstheme="minorHAnsi"/>
          <w:szCs w:val="24"/>
          <w:lang w:eastAsia="zh-CN"/>
        </w:rPr>
        <w:t xml:space="preserve"> </w:t>
      </w:r>
      <w:r w:rsidR="00982E29" w:rsidRPr="00577BC3">
        <w:rPr>
          <w:rFonts w:asciiTheme="minorHAnsi" w:hAnsiTheme="minorHAnsi" w:cstheme="minorHAnsi"/>
          <w:szCs w:val="24"/>
          <w:lang w:eastAsia="zh-CN"/>
        </w:rPr>
        <w:t xml:space="preserve">922,4 tūkst. eurų, iš jų: </w:t>
      </w:r>
      <w:r w:rsidR="00FA3FC4" w:rsidRPr="00577BC3">
        <w:rPr>
          <w:rFonts w:asciiTheme="minorHAnsi" w:hAnsiTheme="minorHAnsi" w:cstheme="minorHAnsi"/>
          <w:szCs w:val="24"/>
          <w:lang w:eastAsia="zh-CN"/>
        </w:rPr>
        <w:t>1</w:t>
      </w:r>
      <w:r w:rsidR="00224AF3" w:rsidRPr="00577BC3">
        <w:rPr>
          <w:rFonts w:asciiTheme="minorHAnsi" w:hAnsiTheme="minorHAnsi" w:cstheme="minorHAnsi"/>
          <w:szCs w:val="24"/>
          <w:lang w:eastAsia="zh-CN"/>
        </w:rPr>
        <w:t xml:space="preserve"> </w:t>
      </w:r>
      <w:r w:rsidR="00FA3FC4" w:rsidRPr="00577BC3">
        <w:rPr>
          <w:rFonts w:asciiTheme="minorHAnsi" w:hAnsiTheme="minorHAnsi" w:cstheme="minorHAnsi"/>
          <w:szCs w:val="24"/>
          <w:lang w:eastAsia="zh-CN"/>
        </w:rPr>
        <w:t xml:space="preserve">910,3 tūkst. eurų daugiau surinkta </w:t>
      </w:r>
      <w:r w:rsidR="00EC3B1D" w:rsidRPr="00577BC3">
        <w:rPr>
          <w:rFonts w:asciiTheme="minorHAnsi" w:hAnsiTheme="minorHAnsi" w:cstheme="minorHAnsi"/>
          <w:szCs w:val="24"/>
          <w:lang w:eastAsia="zh-CN"/>
        </w:rPr>
        <w:t xml:space="preserve">vietinės </w:t>
      </w:r>
      <w:r w:rsidR="00FA3FC4" w:rsidRPr="00577BC3">
        <w:rPr>
          <w:rFonts w:asciiTheme="minorHAnsi" w:hAnsiTheme="minorHAnsi" w:cstheme="minorHAnsi"/>
          <w:szCs w:val="24"/>
          <w:lang w:eastAsia="zh-CN"/>
        </w:rPr>
        <w:t>rinkliavos už automobilių statymą</w:t>
      </w:r>
      <w:r w:rsidR="00EC3B1D" w:rsidRPr="00577BC3">
        <w:rPr>
          <w:rFonts w:asciiTheme="minorHAnsi" w:hAnsiTheme="minorHAnsi" w:cstheme="minorHAnsi"/>
          <w:szCs w:val="24"/>
          <w:lang w:eastAsia="zh-CN"/>
        </w:rPr>
        <w:t xml:space="preserve"> Kauno miesto </w:t>
      </w:r>
      <w:r w:rsidR="00FA3FC4" w:rsidRPr="00577BC3">
        <w:rPr>
          <w:rFonts w:asciiTheme="minorHAnsi" w:hAnsiTheme="minorHAnsi" w:cstheme="minorHAnsi"/>
          <w:szCs w:val="24"/>
          <w:lang w:eastAsia="zh-CN"/>
        </w:rPr>
        <w:t xml:space="preserve"> </w:t>
      </w:r>
      <w:r w:rsidR="00EC3B1D" w:rsidRPr="00577BC3">
        <w:rPr>
          <w:rFonts w:asciiTheme="minorHAnsi" w:hAnsiTheme="minorHAnsi" w:cstheme="minorHAnsi"/>
          <w:szCs w:val="24"/>
          <w:lang w:eastAsia="zh-CN"/>
        </w:rPr>
        <w:t>s</w:t>
      </w:r>
      <w:r w:rsidR="00FA3FC4" w:rsidRPr="00577BC3">
        <w:rPr>
          <w:rFonts w:asciiTheme="minorHAnsi" w:hAnsiTheme="minorHAnsi" w:cstheme="minorHAnsi"/>
          <w:szCs w:val="24"/>
          <w:lang w:eastAsia="zh-CN"/>
        </w:rPr>
        <w:t xml:space="preserve">avivaldybės tarybos nustatytose miesto gatvių ir aikščių vietose, 153,3 tūkst. eurų daugiau </w:t>
      </w:r>
      <w:r w:rsidR="00EC3B1D" w:rsidRPr="00577BC3">
        <w:rPr>
          <w:rFonts w:asciiTheme="minorHAnsi" w:hAnsiTheme="minorHAnsi" w:cstheme="minorHAnsi"/>
          <w:szCs w:val="24"/>
          <w:lang w:eastAsia="zh-CN"/>
        </w:rPr>
        <w:t xml:space="preserve">– </w:t>
      </w:r>
      <w:r w:rsidR="00B738BA" w:rsidRPr="00577BC3">
        <w:rPr>
          <w:rFonts w:asciiTheme="minorHAnsi" w:hAnsiTheme="minorHAnsi" w:cstheme="minorHAnsi"/>
          <w:szCs w:val="24"/>
          <w:lang w:eastAsia="zh-CN"/>
        </w:rPr>
        <w:t>už naudojimąsi Kauno miesto viešojo turizmo ir poilsio infrastruktūra.</w:t>
      </w:r>
    </w:p>
    <w:p w:rsidR="008167CB" w:rsidRPr="00577BC3" w:rsidRDefault="008167CB"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 xml:space="preserve">Pajamų iš baudų, konfiskuoto turto ir kitų netesybų planas taip pat įvykdytas ir viršytas </w:t>
      </w:r>
      <w:r w:rsidR="00F7787A" w:rsidRPr="00577BC3">
        <w:rPr>
          <w:rFonts w:asciiTheme="minorHAnsi" w:hAnsiTheme="minorHAnsi" w:cstheme="minorHAnsi"/>
          <w:szCs w:val="24"/>
          <w:lang w:eastAsia="zh-CN"/>
        </w:rPr>
        <w:br/>
      </w:r>
      <w:r w:rsidRPr="00577BC3">
        <w:rPr>
          <w:rFonts w:asciiTheme="minorHAnsi" w:hAnsiTheme="minorHAnsi" w:cstheme="minorHAnsi"/>
          <w:szCs w:val="24"/>
          <w:lang w:eastAsia="zh-CN"/>
        </w:rPr>
        <w:t>1</w:t>
      </w:r>
      <w:r w:rsidR="00F7787A" w:rsidRPr="00577BC3">
        <w:rPr>
          <w:rFonts w:asciiTheme="minorHAnsi" w:hAnsiTheme="minorHAnsi" w:cstheme="minorHAnsi"/>
          <w:szCs w:val="24"/>
          <w:lang w:eastAsia="zh-CN"/>
        </w:rPr>
        <w:t xml:space="preserve"> </w:t>
      </w:r>
      <w:r w:rsidRPr="00577BC3">
        <w:rPr>
          <w:rFonts w:asciiTheme="minorHAnsi" w:hAnsiTheme="minorHAnsi" w:cstheme="minorHAnsi"/>
          <w:szCs w:val="24"/>
          <w:lang w:eastAsia="zh-CN"/>
        </w:rPr>
        <w:t>432,1 tūkst. eurų.</w:t>
      </w:r>
    </w:p>
    <w:p w:rsidR="00D905F8" w:rsidRPr="00577BC3" w:rsidRDefault="00D905F8"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Kitų neišvardintų pajamų (pajamų klasifikacijos kodas 1.4.4) pagal planą negauta 865,6 tūkst. eurų.</w:t>
      </w:r>
    </w:p>
    <w:p w:rsidR="008167CB" w:rsidRPr="00577BC3" w:rsidRDefault="008167CB"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Materialiojo ir nematerialiojo turto realizavimo pajamų planas įvykdytas 170,7 proc., t. y. gauta 2 996,1 tūkst. eurų daugiau nei buvo planuot</w:t>
      </w:r>
      <w:r w:rsidR="002F1D48" w:rsidRPr="00577BC3">
        <w:rPr>
          <w:rFonts w:asciiTheme="minorHAnsi" w:hAnsiTheme="minorHAnsi" w:cstheme="minorHAnsi"/>
          <w:szCs w:val="24"/>
          <w:lang w:eastAsia="zh-CN"/>
        </w:rPr>
        <w:t>a</w:t>
      </w:r>
      <w:r w:rsidRPr="00577BC3">
        <w:rPr>
          <w:rFonts w:asciiTheme="minorHAnsi" w:hAnsiTheme="minorHAnsi" w:cstheme="minorHAnsi"/>
          <w:szCs w:val="24"/>
          <w:lang w:eastAsia="zh-CN"/>
        </w:rPr>
        <w:t>.</w:t>
      </w:r>
    </w:p>
    <w:p w:rsidR="00F67E15" w:rsidRPr="00096D83" w:rsidRDefault="00F67E15" w:rsidP="00E46A51">
      <w:pPr>
        <w:tabs>
          <w:tab w:val="left" w:pos="1418"/>
        </w:tabs>
        <w:suppressAutoHyphens/>
        <w:spacing w:line="360" w:lineRule="auto"/>
        <w:ind w:firstLine="851"/>
        <w:jc w:val="both"/>
        <w:rPr>
          <w:rFonts w:asciiTheme="minorHAnsi" w:hAnsiTheme="minorHAnsi" w:cstheme="minorHAnsi"/>
          <w:szCs w:val="24"/>
          <w:lang w:eastAsia="zh-CN"/>
        </w:rPr>
      </w:pPr>
      <w:r w:rsidRPr="00577BC3">
        <w:rPr>
          <w:rFonts w:asciiTheme="minorHAnsi" w:hAnsiTheme="minorHAnsi" w:cstheme="minorHAnsi"/>
          <w:szCs w:val="24"/>
          <w:lang w:eastAsia="zh-CN"/>
        </w:rPr>
        <w:t>Dotacijų (be Europos Sąjungos</w:t>
      </w:r>
      <w:r w:rsidR="00A4781D" w:rsidRPr="00577BC3">
        <w:rPr>
          <w:rFonts w:asciiTheme="minorHAnsi" w:hAnsiTheme="minorHAnsi" w:cstheme="minorHAnsi"/>
          <w:szCs w:val="24"/>
          <w:lang w:eastAsia="zh-CN"/>
        </w:rPr>
        <w:t>,</w:t>
      </w:r>
      <w:r w:rsidRPr="00577BC3">
        <w:rPr>
          <w:rFonts w:asciiTheme="minorHAnsi" w:hAnsiTheme="minorHAnsi" w:cstheme="minorHAnsi"/>
          <w:szCs w:val="24"/>
          <w:lang w:eastAsia="zh-CN"/>
        </w:rPr>
        <w:t xml:space="preserve"> kitos tarptautinės finansinės paramos</w:t>
      </w:r>
      <w:r w:rsidR="00A4781D" w:rsidRPr="00577BC3">
        <w:rPr>
          <w:rFonts w:asciiTheme="minorHAnsi" w:hAnsiTheme="minorHAnsi" w:cstheme="minorHAnsi"/>
          <w:szCs w:val="24"/>
          <w:lang w:eastAsia="zh-CN"/>
        </w:rPr>
        <w:t xml:space="preserve"> ir bendrojo finansavimo</w:t>
      </w:r>
      <w:r w:rsidRPr="00577BC3">
        <w:rPr>
          <w:rFonts w:asciiTheme="minorHAnsi" w:hAnsiTheme="minorHAnsi" w:cstheme="minorHAnsi"/>
          <w:szCs w:val="24"/>
          <w:lang w:eastAsia="zh-CN"/>
        </w:rPr>
        <w:t xml:space="preserve"> lėšų) patikslintas planas </w:t>
      </w:r>
      <w:r w:rsidR="009E24F3" w:rsidRPr="00577BC3">
        <w:rPr>
          <w:rFonts w:asciiTheme="minorHAnsi" w:hAnsiTheme="minorHAnsi" w:cstheme="minorHAnsi"/>
          <w:szCs w:val="24"/>
          <w:lang w:eastAsia="zh-CN"/>
        </w:rPr>
        <w:t>263 776,</w:t>
      </w:r>
      <w:r w:rsidR="00B0783A" w:rsidRPr="00577BC3">
        <w:rPr>
          <w:rFonts w:asciiTheme="minorHAnsi" w:hAnsiTheme="minorHAnsi" w:cstheme="minorHAnsi"/>
          <w:szCs w:val="24"/>
          <w:lang w:eastAsia="zh-CN"/>
        </w:rPr>
        <w:t>7</w:t>
      </w:r>
      <w:r w:rsidRPr="00577BC3">
        <w:rPr>
          <w:rFonts w:asciiTheme="minorHAnsi" w:hAnsiTheme="minorHAnsi" w:cstheme="minorHAnsi"/>
          <w:szCs w:val="24"/>
          <w:lang w:eastAsia="zh-CN"/>
        </w:rPr>
        <w:t xml:space="preserve"> tūkst. eurų</w:t>
      </w:r>
      <w:r w:rsidR="005244D5" w:rsidRPr="00577BC3">
        <w:rPr>
          <w:rFonts w:asciiTheme="minorHAnsi" w:hAnsiTheme="minorHAnsi" w:cstheme="minorHAnsi"/>
          <w:szCs w:val="24"/>
          <w:lang w:eastAsia="zh-CN"/>
        </w:rPr>
        <w:t>,</w:t>
      </w:r>
      <w:r w:rsidRPr="00577BC3">
        <w:rPr>
          <w:rFonts w:asciiTheme="minorHAnsi" w:hAnsiTheme="minorHAnsi" w:cstheme="minorHAnsi"/>
          <w:szCs w:val="24"/>
          <w:lang w:eastAsia="zh-CN"/>
        </w:rPr>
        <w:t xml:space="preserve"> įvykdytas 2</w:t>
      </w:r>
      <w:r w:rsidR="009E24F3" w:rsidRPr="00577BC3">
        <w:rPr>
          <w:rFonts w:asciiTheme="minorHAnsi" w:hAnsiTheme="minorHAnsi" w:cstheme="minorHAnsi"/>
          <w:szCs w:val="24"/>
          <w:lang w:eastAsia="zh-CN"/>
        </w:rPr>
        <w:t>60 060,7</w:t>
      </w:r>
      <w:r w:rsidRPr="00577BC3">
        <w:rPr>
          <w:rFonts w:asciiTheme="minorHAnsi" w:hAnsiTheme="minorHAnsi" w:cstheme="minorHAnsi"/>
          <w:szCs w:val="24"/>
          <w:lang w:eastAsia="zh-CN"/>
        </w:rPr>
        <w:t xml:space="preserve"> tūkst. eurų arba 9</w:t>
      </w:r>
      <w:r w:rsidR="009E24F3" w:rsidRPr="00577BC3">
        <w:rPr>
          <w:rFonts w:asciiTheme="minorHAnsi" w:hAnsiTheme="minorHAnsi" w:cstheme="minorHAnsi"/>
          <w:szCs w:val="24"/>
          <w:lang w:eastAsia="zh-CN"/>
        </w:rPr>
        <w:t>8,6</w:t>
      </w:r>
      <w:r w:rsidRPr="00577BC3">
        <w:rPr>
          <w:rFonts w:asciiTheme="minorHAnsi" w:hAnsiTheme="minorHAnsi" w:cstheme="minorHAnsi"/>
          <w:szCs w:val="24"/>
          <w:lang w:eastAsia="zh-CN"/>
        </w:rPr>
        <w:t xml:space="preserve"> proc., t. y. liko nepanaudota </w:t>
      </w:r>
      <w:r w:rsidR="009E24F3" w:rsidRPr="00577BC3">
        <w:rPr>
          <w:rFonts w:asciiTheme="minorHAnsi" w:hAnsiTheme="minorHAnsi" w:cstheme="minorHAnsi"/>
          <w:szCs w:val="24"/>
          <w:lang w:eastAsia="zh-CN"/>
        </w:rPr>
        <w:t>3 716</w:t>
      </w:r>
      <w:r w:rsidRPr="00577BC3">
        <w:rPr>
          <w:rFonts w:asciiTheme="minorHAnsi" w:hAnsiTheme="minorHAnsi" w:cstheme="minorHAnsi"/>
          <w:szCs w:val="24"/>
          <w:lang w:eastAsia="zh-CN"/>
        </w:rPr>
        <w:t xml:space="preserve"> tūkst. eurų.</w:t>
      </w:r>
    </w:p>
    <w:p w:rsidR="00F67E15" w:rsidRPr="00096D83" w:rsidRDefault="00F67E15" w:rsidP="00E46A51">
      <w:pPr>
        <w:tabs>
          <w:tab w:val="left" w:pos="1418"/>
        </w:tabs>
        <w:suppressAutoHyphens/>
        <w:spacing w:line="360" w:lineRule="auto"/>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Į valstybės biudžetą grąžinta </w:t>
      </w:r>
      <w:r w:rsidR="00023428" w:rsidRPr="00096D83">
        <w:rPr>
          <w:rFonts w:asciiTheme="minorHAnsi" w:hAnsiTheme="minorHAnsi" w:cstheme="minorHAnsi"/>
          <w:szCs w:val="24"/>
          <w:lang w:eastAsia="zh-CN"/>
        </w:rPr>
        <w:t>1 849,4</w:t>
      </w:r>
      <w:r w:rsidRPr="00096D83">
        <w:rPr>
          <w:rFonts w:asciiTheme="minorHAnsi" w:hAnsiTheme="minorHAnsi" w:cstheme="minorHAnsi"/>
          <w:szCs w:val="24"/>
          <w:lang w:eastAsia="zh-CN"/>
        </w:rPr>
        <w:t xml:space="preserve"> tūkst. eurų nepanaudotų valstybės biudžeto dotacijų, kurios </w:t>
      </w:r>
      <w:r w:rsidR="00023428" w:rsidRPr="00096D83">
        <w:rPr>
          <w:rFonts w:asciiTheme="minorHAnsi" w:hAnsiTheme="minorHAnsi" w:cstheme="minorHAnsi"/>
          <w:szCs w:val="24"/>
          <w:lang w:eastAsia="zh-CN"/>
        </w:rPr>
        <w:t xml:space="preserve">buvo </w:t>
      </w:r>
      <w:r w:rsidRPr="00096D83">
        <w:rPr>
          <w:rFonts w:asciiTheme="minorHAnsi" w:hAnsiTheme="minorHAnsi" w:cstheme="minorHAnsi"/>
          <w:szCs w:val="24"/>
          <w:lang w:eastAsia="zh-CN"/>
        </w:rPr>
        <w:t>numatytos Lietuvos Respublikos 202</w:t>
      </w:r>
      <w:r w:rsidR="002C75C0" w:rsidRPr="00096D83">
        <w:rPr>
          <w:rFonts w:asciiTheme="minorHAnsi" w:hAnsiTheme="minorHAnsi" w:cstheme="minorHAnsi"/>
          <w:szCs w:val="24"/>
          <w:lang w:eastAsia="zh-CN"/>
        </w:rPr>
        <w:t>5</w:t>
      </w:r>
      <w:r w:rsidR="00AB2D82" w:rsidRPr="00096D83">
        <w:rPr>
          <w:rFonts w:asciiTheme="minorHAnsi" w:hAnsiTheme="minorHAnsi" w:cstheme="minorHAnsi"/>
          <w:szCs w:val="24"/>
          <w:lang w:eastAsia="zh-CN"/>
        </w:rPr>
        <w:t>-</w:t>
      </w:r>
      <w:r w:rsidR="002C75C0" w:rsidRPr="00096D83">
        <w:rPr>
          <w:rFonts w:asciiTheme="minorHAnsi" w:hAnsiTheme="minorHAnsi" w:cstheme="minorHAnsi"/>
          <w:szCs w:val="24"/>
          <w:lang w:eastAsia="zh-CN"/>
        </w:rPr>
        <w:t>2027</w:t>
      </w:r>
      <w:r w:rsidRPr="00096D83">
        <w:rPr>
          <w:rFonts w:asciiTheme="minorHAnsi" w:hAnsiTheme="minorHAnsi" w:cstheme="minorHAnsi"/>
          <w:szCs w:val="24"/>
          <w:lang w:eastAsia="zh-CN"/>
        </w:rPr>
        <w:t xml:space="preserve"> metų biudžeto </w:t>
      </w:r>
      <w:r w:rsidR="002C75C0" w:rsidRPr="00096D83">
        <w:rPr>
          <w:rFonts w:asciiTheme="minorHAnsi" w:hAnsiTheme="minorHAnsi" w:cstheme="minorHAnsi"/>
          <w:szCs w:val="24"/>
          <w:lang w:eastAsia="zh-CN"/>
        </w:rPr>
        <w:t>patvirtinimo</w:t>
      </w:r>
      <w:r w:rsidRPr="00096D83">
        <w:rPr>
          <w:rFonts w:asciiTheme="minorHAnsi" w:hAnsiTheme="minorHAnsi" w:cstheme="minorHAnsi"/>
          <w:szCs w:val="24"/>
          <w:lang w:eastAsia="zh-CN"/>
        </w:rPr>
        <w:t xml:space="preserve"> įstatyme ir valstybės institucijų paskirstytos Savivaldybei, iš jų:</w:t>
      </w:r>
    </w:p>
    <w:p w:rsidR="00F67E15" w:rsidRPr="00096D83" w:rsidRDefault="00F67E15" w:rsidP="00E46A51">
      <w:pPr>
        <w:pStyle w:val="Sraopastraipa"/>
        <w:tabs>
          <w:tab w:val="left" w:pos="1134"/>
          <w:tab w:val="left" w:pos="1418"/>
        </w:tabs>
        <w:spacing w:line="360" w:lineRule="auto"/>
        <w:ind w:left="0"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1. </w:t>
      </w:r>
      <w:r w:rsidR="00023428" w:rsidRPr="00096D83">
        <w:rPr>
          <w:rFonts w:asciiTheme="minorHAnsi" w:hAnsiTheme="minorHAnsi" w:cstheme="minorHAnsi"/>
          <w:szCs w:val="24"/>
          <w:lang w:eastAsia="zh-CN"/>
        </w:rPr>
        <w:t>1 182,5</w:t>
      </w:r>
      <w:r w:rsidRPr="00096D83">
        <w:rPr>
          <w:rFonts w:asciiTheme="minorHAnsi" w:hAnsiTheme="minorHAnsi" w:cstheme="minorHAnsi"/>
          <w:szCs w:val="24"/>
          <w:lang w:eastAsia="zh-CN"/>
        </w:rPr>
        <w:t xml:space="preserve"> tūkst. eurų – ugdymo planui įgyvendinti ir ugdymo procesui organizuoti bei švietimo specialiajai pagalbai teikti, dėl biudžetinėse švietimo įstaigose neužimtų etatų, darbuotojų nedarbingumo, pedagoginių darbuotojų žemesnės kvalifikacijos ir minimalaus pasirinktų mokytis dalykų skaičiaus</w:t>
      </w:r>
      <w:r w:rsidR="00190E86" w:rsidRPr="00096D83">
        <w:rPr>
          <w:rFonts w:asciiTheme="minorHAnsi" w:hAnsiTheme="minorHAnsi" w:cstheme="minorHAnsi"/>
          <w:szCs w:val="24"/>
          <w:lang w:eastAsia="zh-CN"/>
        </w:rPr>
        <w:t>;</w:t>
      </w:r>
      <w:r w:rsidRPr="00096D83">
        <w:rPr>
          <w:rFonts w:asciiTheme="minorHAnsi" w:hAnsiTheme="minorHAnsi" w:cstheme="minorHAnsi"/>
          <w:szCs w:val="24"/>
          <w:lang w:eastAsia="zh-CN"/>
        </w:rPr>
        <w:t xml:space="preserve"> </w:t>
      </w:r>
    </w:p>
    <w:p w:rsidR="005B58BC" w:rsidRPr="00096D83" w:rsidRDefault="00846A55" w:rsidP="00F711D5">
      <w:pPr>
        <w:pStyle w:val="Sraopastraipa"/>
        <w:numPr>
          <w:ilvl w:val="0"/>
          <w:numId w:val="3"/>
        </w:numPr>
        <w:tabs>
          <w:tab w:val="left" w:pos="1134"/>
          <w:tab w:val="left" w:pos="1418"/>
        </w:tabs>
        <w:suppressAutoHyphens/>
        <w:spacing w:line="360" w:lineRule="auto"/>
        <w:ind w:left="0"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158,9 tūkst. eurų – valstybinėms (valstybės perduotoms savivaldybėms) funkcijoms atlikti, tame tarpe:</w:t>
      </w:r>
    </w:p>
    <w:p w:rsidR="000B12C5" w:rsidRPr="00096D83" w:rsidRDefault="0084606D" w:rsidP="005B58BC">
      <w:pPr>
        <w:tabs>
          <w:tab w:val="left" w:pos="1276"/>
          <w:tab w:val="left" w:pos="1418"/>
        </w:tabs>
        <w:suppressAutoHyphens/>
        <w:spacing w:line="360" w:lineRule="auto"/>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w:t>
      </w:r>
      <w:r w:rsidR="000B12C5" w:rsidRPr="00096D83">
        <w:rPr>
          <w:rFonts w:asciiTheme="minorHAnsi" w:hAnsiTheme="minorHAnsi" w:cstheme="minorHAnsi"/>
          <w:szCs w:val="24"/>
          <w:lang w:eastAsia="zh-CN"/>
        </w:rPr>
        <w:t xml:space="preserve"> 81,6 tūkst. eurų – Savivaldybės užimtumo didinimo programai įgyvendinti, iš jų: 71,1 tūkst. eurų nepanaudota, nes programoje dalyvavusios įmonės įdarbino mažiau tikslinės grupės asmenų, taip pat dalis asmenų atsisakė dalyvauti darbo rinkoje visą programos laiką. Dėl mažesnio poreikio atvejo vadybininko paslaugoms liko nepanaudoti 5,9 tūkst. eurų ir 4,6 tūkst. eurų – administravimo išlaidoms skirtų lėšų, nes negali būti viršijama nustatyta administravimo išlaidoms taikoma procentinė dalis, skaičiuojama nuo faktiškai panaudotų lėšų paslaugai teikti (4 procentai programos vykdymui skirtų lėšų);</w:t>
      </w:r>
    </w:p>
    <w:p w:rsidR="00F711D5" w:rsidRDefault="000B12C5" w:rsidP="00904396">
      <w:pPr>
        <w:pStyle w:val="Sraopastraipa"/>
        <w:numPr>
          <w:ilvl w:val="0"/>
          <w:numId w:val="8"/>
        </w:numPr>
        <w:suppressAutoHyphens/>
        <w:spacing w:line="360" w:lineRule="auto"/>
        <w:ind w:left="0" w:firstLine="993"/>
        <w:jc w:val="both"/>
        <w:rPr>
          <w:rFonts w:asciiTheme="minorHAnsi" w:hAnsiTheme="minorHAnsi" w:cstheme="minorHAnsi"/>
          <w:szCs w:val="24"/>
          <w:lang w:eastAsia="zh-CN"/>
        </w:rPr>
      </w:pPr>
      <w:r w:rsidRPr="00F711D5">
        <w:rPr>
          <w:rFonts w:asciiTheme="minorHAnsi" w:hAnsiTheme="minorHAnsi" w:cstheme="minorHAnsi"/>
          <w:szCs w:val="24"/>
          <w:lang w:eastAsia="zh-CN"/>
        </w:rPr>
        <w:t>61,7 tūkst. eurų – socialinei paramai mokini</w:t>
      </w:r>
      <w:r w:rsidR="00350814" w:rsidRPr="00F711D5">
        <w:rPr>
          <w:rFonts w:asciiTheme="minorHAnsi" w:hAnsiTheme="minorHAnsi" w:cstheme="minorHAnsi"/>
          <w:szCs w:val="24"/>
          <w:lang w:eastAsia="zh-CN"/>
        </w:rPr>
        <w:t>ų nemokamam maitinimui</w:t>
      </w:r>
      <w:r w:rsidRPr="00F711D5">
        <w:rPr>
          <w:rFonts w:asciiTheme="minorHAnsi" w:hAnsiTheme="minorHAnsi" w:cstheme="minorHAnsi"/>
          <w:szCs w:val="24"/>
          <w:lang w:eastAsia="zh-CN"/>
        </w:rPr>
        <w:t>, dėl nuo 2025 metų rugsėjo mėnesio priešmokyklinio ugdymo įstaigose sumažėjusio mokinių skaičiaus</w:t>
      </w:r>
      <w:r w:rsidR="00F525BA" w:rsidRPr="00F711D5">
        <w:rPr>
          <w:rFonts w:asciiTheme="minorHAnsi" w:hAnsiTheme="minorHAnsi" w:cstheme="minorHAnsi"/>
          <w:szCs w:val="24"/>
          <w:lang w:eastAsia="zh-CN"/>
        </w:rPr>
        <w:t xml:space="preserve"> ir sergamumo</w:t>
      </w:r>
      <w:r w:rsidRPr="00F711D5">
        <w:rPr>
          <w:rFonts w:asciiTheme="minorHAnsi" w:hAnsiTheme="minorHAnsi" w:cstheme="minorHAnsi"/>
          <w:szCs w:val="24"/>
          <w:lang w:eastAsia="zh-CN"/>
        </w:rPr>
        <w:t>;</w:t>
      </w:r>
    </w:p>
    <w:p w:rsidR="00F711D5" w:rsidRPr="00F711D5" w:rsidRDefault="004C4236" w:rsidP="00904396">
      <w:pPr>
        <w:pStyle w:val="Sraopastraipa"/>
        <w:numPr>
          <w:ilvl w:val="0"/>
          <w:numId w:val="8"/>
        </w:numPr>
        <w:suppressAutoHyphens/>
        <w:spacing w:line="360" w:lineRule="auto"/>
        <w:ind w:left="0" w:firstLine="993"/>
        <w:jc w:val="both"/>
        <w:rPr>
          <w:rFonts w:asciiTheme="minorHAnsi" w:hAnsiTheme="minorHAnsi" w:cstheme="minorHAnsi"/>
          <w:szCs w:val="24"/>
          <w:lang w:eastAsia="zh-CN"/>
        </w:rPr>
      </w:pPr>
      <w:r w:rsidRPr="00F711D5">
        <w:rPr>
          <w:rFonts w:asciiTheme="minorHAnsi" w:hAnsiTheme="minorHAnsi" w:cstheme="minorHAnsi"/>
          <w:szCs w:val="24"/>
          <w:lang w:eastAsia="zh-CN"/>
        </w:rPr>
        <w:t>6,6 tūkst. eurų – socialin</w:t>
      </w:r>
      <w:r w:rsidR="00F525BA" w:rsidRPr="00F711D5">
        <w:rPr>
          <w:rFonts w:asciiTheme="minorHAnsi" w:hAnsiTheme="minorHAnsi" w:cstheme="minorHAnsi"/>
          <w:szCs w:val="24"/>
          <w:lang w:eastAsia="zh-CN"/>
        </w:rPr>
        <w:t>ėms</w:t>
      </w:r>
      <w:r w:rsidRPr="00F711D5">
        <w:rPr>
          <w:rFonts w:asciiTheme="minorHAnsi" w:hAnsiTheme="minorHAnsi" w:cstheme="minorHAnsi"/>
          <w:szCs w:val="24"/>
          <w:lang w:eastAsia="zh-CN"/>
        </w:rPr>
        <w:t xml:space="preserve"> išmok</w:t>
      </w:r>
      <w:r w:rsidR="00F525BA" w:rsidRPr="00F711D5">
        <w:rPr>
          <w:rFonts w:asciiTheme="minorHAnsi" w:hAnsiTheme="minorHAnsi" w:cstheme="minorHAnsi"/>
          <w:szCs w:val="24"/>
          <w:lang w:eastAsia="zh-CN"/>
        </w:rPr>
        <w:t>oms</w:t>
      </w:r>
      <w:r w:rsidRPr="00F711D5">
        <w:rPr>
          <w:rFonts w:asciiTheme="minorHAnsi" w:hAnsiTheme="minorHAnsi" w:cstheme="minorHAnsi"/>
          <w:szCs w:val="24"/>
          <w:lang w:eastAsia="zh-CN"/>
        </w:rPr>
        <w:t xml:space="preserve"> ir kompensacij</w:t>
      </w:r>
      <w:r w:rsidR="00F525BA" w:rsidRPr="00F711D5">
        <w:rPr>
          <w:rFonts w:asciiTheme="minorHAnsi" w:hAnsiTheme="minorHAnsi" w:cstheme="minorHAnsi"/>
          <w:szCs w:val="24"/>
          <w:lang w:eastAsia="zh-CN"/>
        </w:rPr>
        <w:t xml:space="preserve">oms </w:t>
      </w:r>
      <w:r w:rsidRPr="00F711D5">
        <w:rPr>
          <w:rFonts w:asciiTheme="minorHAnsi" w:hAnsiTheme="minorHAnsi" w:cstheme="minorHAnsi"/>
          <w:szCs w:val="24"/>
          <w:lang w:eastAsia="zh-CN"/>
        </w:rPr>
        <w:t>(paramai mirties atveju mokėti) mokė</w:t>
      </w:r>
      <w:r w:rsidR="00F525BA" w:rsidRPr="00F711D5">
        <w:rPr>
          <w:rFonts w:asciiTheme="minorHAnsi" w:hAnsiTheme="minorHAnsi" w:cstheme="minorHAnsi"/>
          <w:szCs w:val="24"/>
          <w:lang w:eastAsia="zh-CN"/>
        </w:rPr>
        <w:t>ti</w:t>
      </w:r>
      <w:r w:rsidRPr="00F711D5">
        <w:rPr>
          <w:rFonts w:asciiTheme="minorHAnsi" w:hAnsiTheme="minorHAnsi" w:cstheme="minorHAnsi"/>
          <w:szCs w:val="24"/>
          <w:lang w:eastAsia="zh-CN"/>
        </w:rPr>
        <w:t>, dėl mažesnio besikreipusių asmenų skaičiaus;</w:t>
      </w:r>
    </w:p>
    <w:p w:rsidR="00F711D5" w:rsidRDefault="004C4236" w:rsidP="003C0497">
      <w:pPr>
        <w:pStyle w:val="Sraopastraipa"/>
        <w:numPr>
          <w:ilvl w:val="0"/>
          <w:numId w:val="8"/>
        </w:numPr>
        <w:tabs>
          <w:tab w:val="left" w:pos="993"/>
        </w:tabs>
        <w:suppressAutoHyphens/>
        <w:spacing w:line="360" w:lineRule="auto"/>
        <w:ind w:left="0" w:firstLine="993"/>
        <w:jc w:val="both"/>
        <w:rPr>
          <w:rFonts w:asciiTheme="minorHAnsi" w:hAnsiTheme="minorHAnsi" w:cstheme="minorHAnsi"/>
          <w:szCs w:val="24"/>
          <w:lang w:eastAsia="zh-CN"/>
        </w:rPr>
      </w:pPr>
      <w:r w:rsidRPr="00F711D5">
        <w:rPr>
          <w:rFonts w:asciiTheme="minorHAnsi" w:hAnsiTheme="minorHAnsi" w:cstheme="minorHAnsi"/>
          <w:szCs w:val="24"/>
          <w:lang w:eastAsia="zh-CN"/>
        </w:rPr>
        <w:t>4,</w:t>
      </w:r>
      <w:r w:rsidR="00A060D2" w:rsidRPr="00F711D5">
        <w:rPr>
          <w:rFonts w:asciiTheme="minorHAnsi" w:hAnsiTheme="minorHAnsi" w:cstheme="minorHAnsi"/>
          <w:szCs w:val="24"/>
          <w:lang w:eastAsia="zh-CN"/>
        </w:rPr>
        <w:t>1</w:t>
      </w:r>
      <w:r w:rsidRPr="00F711D5">
        <w:rPr>
          <w:rFonts w:asciiTheme="minorHAnsi" w:hAnsiTheme="minorHAnsi" w:cstheme="minorHAnsi"/>
          <w:szCs w:val="24"/>
          <w:lang w:eastAsia="zh-CN"/>
        </w:rPr>
        <w:t xml:space="preserve"> tūkst. eurų – būsto nuomos mokesčio dalies kompensavimui, dėl mažesnio patvirtintų prašymų skaičiaus;</w:t>
      </w:r>
    </w:p>
    <w:p w:rsidR="00F711D5" w:rsidRDefault="004C4236" w:rsidP="00F711D5">
      <w:pPr>
        <w:pStyle w:val="Sraopastraipa"/>
        <w:numPr>
          <w:ilvl w:val="0"/>
          <w:numId w:val="8"/>
        </w:numPr>
        <w:tabs>
          <w:tab w:val="left" w:pos="993"/>
        </w:tabs>
        <w:suppressAutoHyphens/>
        <w:spacing w:line="360" w:lineRule="auto"/>
        <w:ind w:left="0" w:firstLine="993"/>
        <w:jc w:val="both"/>
        <w:rPr>
          <w:rFonts w:asciiTheme="minorHAnsi" w:hAnsiTheme="minorHAnsi" w:cstheme="minorHAnsi"/>
          <w:szCs w:val="24"/>
          <w:lang w:eastAsia="zh-CN"/>
        </w:rPr>
      </w:pPr>
      <w:r w:rsidRPr="00F711D5">
        <w:rPr>
          <w:rFonts w:asciiTheme="minorHAnsi" w:hAnsiTheme="minorHAnsi" w:cstheme="minorHAnsi"/>
          <w:szCs w:val="24"/>
          <w:lang w:eastAsia="zh-CN"/>
        </w:rPr>
        <w:t>2,9 tūkst. eurų – kompensacijoms nepriklausomybės gynėjams bei jų šeimoms</w:t>
      </w:r>
      <w:r w:rsidR="003E0C55" w:rsidRPr="00F711D5">
        <w:rPr>
          <w:rFonts w:asciiTheme="minorHAnsi" w:hAnsiTheme="minorHAnsi" w:cstheme="minorHAnsi"/>
          <w:szCs w:val="24"/>
          <w:lang w:eastAsia="zh-CN"/>
        </w:rPr>
        <w:t>,</w:t>
      </w:r>
      <w:r w:rsidRPr="00F711D5">
        <w:rPr>
          <w:rFonts w:asciiTheme="minorHAnsi" w:hAnsiTheme="minorHAnsi" w:cstheme="minorHAnsi"/>
          <w:szCs w:val="24"/>
          <w:lang w:eastAsia="zh-CN"/>
        </w:rPr>
        <w:t xml:space="preserve"> iš jų 2,8 tūkst. eurų</w:t>
      </w:r>
      <w:r w:rsidR="003E0C55" w:rsidRPr="00F711D5">
        <w:rPr>
          <w:rFonts w:asciiTheme="minorHAnsi" w:hAnsiTheme="minorHAnsi" w:cstheme="minorHAnsi"/>
          <w:szCs w:val="24"/>
          <w:lang w:eastAsia="zh-CN"/>
        </w:rPr>
        <w:t xml:space="preserve"> – </w:t>
      </w:r>
      <w:r w:rsidRPr="00F711D5">
        <w:rPr>
          <w:rFonts w:asciiTheme="minorHAnsi" w:hAnsiTheme="minorHAnsi" w:cstheme="minorHAnsi"/>
          <w:szCs w:val="24"/>
          <w:lang w:eastAsia="zh-CN"/>
        </w:rPr>
        <w:t>mirus vienam nepriklausomybės gynėjų ir 0,1 tūkst. eurų – dėl mažesnio kompensacijų už komunalines paslaugas poreikio;</w:t>
      </w:r>
    </w:p>
    <w:p w:rsidR="00F711D5" w:rsidRPr="00F711D5" w:rsidRDefault="00B90FDB" w:rsidP="00F711D5">
      <w:pPr>
        <w:pStyle w:val="Sraopastraipa"/>
        <w:numPr>
          <w:ilvl w:val="0"/>
          <w:numId w:val="8"/>
        </w:numPr>
        <w:tabs>
          <w:tab w:val="left" w:pos="993"/>
        </w:tabs>
        <w:suppressAutoHyphens/>
        <w:spacing w:line="360" w:lineRule="auto"/>
        <w:ind w:left="0" w:firstLine="993"/>
        <w:jc w:val="both"/>
        <w:rPr>
          <w:rFonts w:asciiTheme="minorHAnsi" w:hAnsiTheme="minorHAnsi" w:cstheme="minorHAnsi"/>
          <w:szCs w:val="24"/>
          <w:lang w:eastAsia="zh-CN"/>
        </w:rPr>
      </w:pPr>
      <w:r w:rsidRPr="00F711D5">
        <w:rPr>
          <w:rFonts w:asciiTheme="minorHAnsi" w:hAnsiTheme="minorHAnsi" w:cstheme="minorHAnsi"/>
          <w:szCs w:val="24"/>
          <w:lang w:eastAsia="zh-CN"/>
        </w:rPr>
        <w:t xml:space="preserve"> </w:t>
      </w:r>
      <w:r w:rsidR="004C4236" w:rsidRPr="00F711D5">
        <w:rPr>
          <w:rFonts w:asciiTheme="minorHAnsi" w:hAnsiTheme="minorHAnsi" w:cstheme="minorHAnsi"/>
          <w:szCs w:val="24"/>
          <w:lang w:eastAsia="zh-CN"/>
        </w:rPr>
        <w:t>0,8 tūkst. eurų – civilinės saugos reikalų ir paslaugų administravimui, dėl darbuotojo nedarbingumo gruodžio mėnesį</w:t>
      </w:r>
      <w:r w:rsidR="00A17BA7" w:rsidRPr="00F711D5">
        <w:rPr>
          <w:rFonts w:asciiTheme="minorHAnsi" w:hAnsiTheme="minorHAnsi" w:cstheme="minorHAnsi"/>
          <w:szCs w:val="24"/>
          <w:lang w:eastAsia="zh-CN"/>
        </w:rPr>
        <w:t>;</w:t>
      </w:r>
    </w:p>
    <w:p w:rsidR="004C4236" w:rsidRPr="00096D83" w:rsidRDefault="00F711D5" w:rsidP="00F711D5">
      <w:pPr>
        <w:pStyle w:val="Sraopastraipa"/>
        <w:tabs>
          <w:tab w:val="left" w:pos="142"/>
        </w:tabs>
        <w:spacing w:line="360" w:lineRule="auto"/>
        <w:ind w:left="0" w:firstLine="851"/>
        <w:jc w:val="both"/>
        <w:rPr>
          <w:rFonts w:asciiTheme="minorHAnsi" w:hAnsiTheme="minorHAnsi" w:cstheme="minorHAnsi"/>
          <w:szCs w:val="24"/>
          <w:lang w:eastAsia="zh-CN"/>
        </w:rPr>
      </w:pPr>
      <w:r>
        <w:rPr>
          <w:rFonts w:asciiTheme="minorHAnsi" w:hAnsiTheme="minorHAnsi" w:cstheme="minorHAnsi"/>
          <w:szCs w:val="24"/>
          <w:lang w:eastAsia="zh-CN"/>
        </w:rPr>
        <w:t>D</w:t>
      </w:r>
      <w:r w:rsidR="004C4236" w:rsidRPr="00096D83">
        <w:rPr>
          <w:rFonts w:asciiTheme="minorHAnsi" w:hAnsiTheme="minorHAnsi" w:cstheme="minorHAnsi"/>
          <w:szCs w:val="24"/>
          <w:lang w:eastAsia="zh-CN"/>
        </w:rPr>
        <w:t>ėl faktiškai mažesnio poreikio liko nepanaudota 1,</w:t>
      </w:r>
      <w:r w:rsidR="00A060D2" w:rsidRPr="00096D83">
        <w:rPr>
          <w:rFonts w:asciiTheme="minorHAnsi" w:hAnsiTheme="minorHAnsi" w:cstheme="minorHAnsi"/>
          <w:szCs w:val="24"/>
          <w:lang w:eastAsia="zh-CN"/>
        </w:rPr>
        <w:t>2</w:t>
      </w:r>
      <w:r w:rsidR="004C4236" w:rsidRPr="00096D83">
        <w:rPr>
          <w:rFonts w:asciiTheme="minorHAnsi" w:hAnsiTheme="minorHAnsi" w:cstheme="minorHAnsi"/>
          <w:szCs w:val="24"/>
          <w:lang w:eastAsia="zh-CN"/>
        </w:rPr>
        <w:t xml:space="preserve"> tūkst. eurų kitoms valstybės deleguotoms funkcijoms vykdyti skirtų lėšų, iš jų: 0,5 tūkst. eurų – pirminės teisinės pagalbos teikimui, 0,3 tūkst. eurų – socialinėms paslaugoms, 0,2 tūkst. eurų – mobilizacijos administravimui, 0,2 tūkst. eurų – sveikatos įgūdžių stiprinim</w:t>
      </w:r>
      <w:r w:rsidR="00304C54" w:rsidRPr="00096D83">
        <w:rPr>
          <w:rFonts w:asciiTheme="minorHAnsi" w:hAnsiTheme="minorHAnsi" w:cstheme="minorHAnsi"/>
          <w:szCs w:val="24"/>
          <w:lang w:eastAsia="zh-CN"/>
        </w:rPr>
        <w:t>ui</w:t>
      </w:r>
      <w:r w:rsidR="004C4236" w:rsidRPr="00096D83">
        <w:rPr>
          <w:rFonts w:asciiTheme="minorHAnsi" w:hAnsiTheme="minorHAnsi" w:cstheme="minorHAnsi"/>
          <w:szCs w:val="24"/>
          <w:lang w:eastAsia="zh-CN"/>
        </w:rPr>
        <w:t xml:space="preserve"> ugdymo įstaigose ir visuomenės stebėsenai</w:t>
      </w:r>
      <w:r w:rsidR="009B68F3" w:rsidRPr="00096D83">
        <w:rPr>
          <w:rFonts w:asciiTheme="minorHAnsi" w:hAnsiTheme="minorHAnsi" w:cstheme="minorHAnsi"/>
          <w:szCs w:val="24"/>
          <w:lang w:eastAsia="zh-CN"/>
        </w:rPr>
        <w:t>.</w:t>
      </w:r>
    </w:p>
    <w:p w:rsidR="004C4236" w:rsidRPr="00096D83" w:rsidRDefault="00190E86" w:rsidP="00E46A51">
      <w:pPr>
        <w:pStyle w:val="Sraopastraipa"/>
        <w:numPr>
          <w:ilvl w:val="0"/>
          <w:numId w:val="3"/>
        </w:numPr>
        <w:tabs>
          <w:tab w:val="left" w:pos="1134"/>
          <w:tab w:val="left" w:pos="1418"/>
        </w:tabs>
        <w:spacing w:line="360" w:lineRule="auto"/>
        <w:ind w:left="0"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508 tūkst. eurų – kitų dotacijų tame tarpe:</w:t>
      </w:r>
    </w:p>
    <w:p w:rsidR="00F711D5" w:rsidRDefault="001B2A26" w:rsidP="00E474C8">
      <w:pPr>
        <w:pStyle w:val="Sraopastraipa"/>
        <w:numPr>
          <w:ilvl w:val="0"/>
          <w:numId w:val="9"/>
        </w:numPr>
        <w:tabs>
          <w:tab w:val="left" w:pos="1134"/>
        </w:tabs>
        <w:spacing w:line="360" w:lineRule="auto"/>
        <w:ind w:left="0" w:firstLine="851"/>
        <w:jc w:val="both"/>
        <w:rPr>
          <w:rFonts w:asciiTheme="minorHAnsi" w:hAnsiTheme="minorHAnsi" w:cstheme="minorHAnsi"/>
          <w:szCs w:val="24"/>
        </w:rPr>
      </w:pPr>
      <w:r w:rsidRPr="00F711D5">
        <w:rPr>
          <w:rFonts w:asciiTheme="minorHAnsi" w:hAnsiTheme="minorHAnsi" w:cstheme="minorHAnsi"/>
          <w:szCs w:val="24"/>
          <w:lang w:eastAsia="zh-CN"/>
        </w:rPr>
        <w:t>102,5</w:t>
      </w:r>
      <w:r w:rsidRPr="00F711D5">
        <w:rPr>
          <w:rFonts w:asciiTheme="minorHAnsi" w:hAnsiTheme="minorHAnsi" w:cstheme="minorHAnsi"/>
          <w:szCs w:val="24"/>
        </w:rPr>
        <w:t xml:space="preserve"> tūkst. eurų </w:t>
      </w:r>
      <w:r w:rsidRPr="00F711D5">
        <w:rPr>
          <w:rFonts w:asciiTheme="minorHAnsi" w:hAnsiTheme="minorHAnsi" w:cstheme="minorHAnsi"/>
          <w:szCs w:val="24"/>
          <w:lang w:eastAsia="zh-CN"/>
        </w:rPr>
        <w:t xml:space="preserve">– būstų pritaikymui </w:t>
      </w:r>
      <w:r w:rsidR="00A758F6" w:rsidRPr="00F711D5">
        <w:rPr>
          <w:rFonts w:asciiTheme="minorHAnsi" w:hAnsiTheme="minorHAnsi" w:cstheme="minorHAnsi"/>
          <w:szCs w:val="24"/>
          <w:lang w:eastAsia="zh-CN"/>
        </w:rPr>
        <w:t>asmenims su negalia</w:t>
      </w:r>
      <w:r w:rsidRPr="00F711D5">
        <w:rPr>
          <w:rFonts w:asciiTheme="minorHAnsi" w:hAnsiTheme="minorHAnsi" w:cstheme="minorHAnsi"/>
          <w:szCs w:val="24"/>
          <w:lang w:eastAsia="zh-CN"/>
        </w:rPr>
        <w:t xml:space="preserve">, </w:t>
      </w:r>
      <w:r w:rsidR="00ED2D17" w:rsidRPr="00F711D5">
        <w:rPr>
          <w:rFonts w:asciiTheme="minorHAnsi" w:hAnsiTheme="minorHAnsi" w:cstheme="minorHAnsi"/>
          <w:szCs w:val="24"/>
          <w:lang w:eastAsia="zh-CN"/>
        </w:rPr>
        <w:t xml:space="preserve">nes dalis darbų, dėl jų </w:t>
      </w:r>
      <w:r w:rsidR="0047294B" w:rsidRPr="00F711D5">
        <w:rPr>
          <w:rFonts w:asciiTheme="minorHAnsi" w:hAnsiTheme="minorHAnsi" w:cstheme="minorHAnsi"/>
          <w:szCs w:val="24"/>
          <w:lang w:eastAsia="zh-CN"/>
        </w:rPr>
        <w:t>specifiškumo</w:t>
      </w:r>
      <w:r w:rsidR="00ED2D17" w:rsidRPr="00F711D5">
        <w:rPr>
          <w:rFonts w:asciiTheme="minorHAnsi" w:hAnsiTheme="minorHAnsi" w:cstheme="minorHAnsi"/>
          <w:szCs w:val="24"/>
          <w:lang w:eastAsia="zh-CN"/>
        </w:rPr>
        <w:t xml:space="preserve"> persikėlė į kitus metus</w:t>
      </w:r>
      <w:r w:rsidR="00E715C3" w:rsidRPr="00F711D5">
        <w:rPr>
          <w:rFonts w:asciiTheme="minorHAnsi" w:hAnsiTheme="minorHAnsi" w:cstheme="minorHAnsi"/>
          <w:szCs w:val="24"/>
          <w:lang w:eastAsia="zh-CN"/>
        </w:rPr>
        <w:t>;</w:t>
      </w:r>
    </w:p>
    <w:p w:rsidR="00F711D5" w:rsidRDefault="008279E2" w:rsidP="00E0113A">
      <w:pPr>
        <w:pStyle w:val="Sraopastraipa"/>
        <w:numPr>
          <w:ilvl w:val="0"/>
          <w:numId w:val="9"/>
        </w:numPr>
        <w:tabs>
          <w:tab w:val="left" w:pos="1134"/>
          <w:tab w:val="left" w:pos="1276"/>
        </w:tab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 xml:space="preserve">94 tūkst. eurų – specialistų pareigybėms finansuoti specialiojo ugdymo centruose, </w:t>
      </w:r>
      <w:r w:rsidR="00B55992" w:rsidRPr="00F711D5">
        <w:rPr>
          <w:rFonts w:asciiTheme="minorHAnsi" w:hAnsiTheme="minorHAnsi" w:cstheme="minorHAnsi"/>
          <w:szCs w:val="24"/>
          <w:lang w:eastAsia="zh-CN"/>
        </w:rPr>
        <w:t xml:space="preserve">dėl </w:t>
      </w:r>
      <w:r w:rsidR="00B86BF8" w:rsidRPr="00F711D5">
        <w:rPr>
          <w:rFonts w:asciiTheme="minorHAnsi" w:hAnsiTheme="minorHAnsi" w:cstheme="minorHAnsi"/>
          <w:szCs w:val="24"/>
          <w:lang w:eastAsia="zh-CN"/>
        </w:rPr>
        <w:t xml:space="preserve">kvalifikuotų </w:t>
      </w:r>
      <w:r w:rsidR="00B55992" w:rsidRPr="00F711D5">
        <w:rPr>
          <w:rFonts w:asciiTheme="minorHAnsi" w:hAnsiTheme="minorHAnsi" w:cstheme="minorHAnsi"/>
          <w:szCs w:val="24"/>
          <w:lang w:eastAsia="zh-CN"/>
        </w:rPr>
        <w:t xml:space="preserve">specialiąją pagalbą teikiančių specialistų trūkumo Kauno </w:t>
      </w:r>
      <w:r w:rsidR="00A67E26" w:rsidRPr="00F711D5">
        <w:rPr>
          <w:rFonts w:asciiTheme="minorHAnsi" w:hAnsiTheme="minorHAnsi" w:cstheme="minorHAnsi"/>
          <w:szCs w:val="24"/>
          <w:lang w:eastAsia="zh-CN"/>
        </w:rPr>
        <w:t>š</w:t>
      </w:r>
      <w:r w:rsidR="00B55992" w:rsidRPr="00F711D5">
        <w:rPr>
          <w:rFonts w:asciiTheme="minorHAnsi" w:hAnsiTheme="minorHAnsi" w:cstheme="minorHAnsi"/>
          <w:szCs w:val="24"/>
          <w:lang w:eastAsia="zh-CN"/>
        </w:rPr>
        <w:t>v. Roko mokykl</w:t>
      </w:r>
      <w:r w:rsidR="00B86BF8" w:rsidRPr="00F711D5">
        <w:rPr>
          <w:rFonts w:asciiTheme="minorHAnsi" w:hAnsiTheme="minorHAnsi" w:cstheme="minorHAnsi"/>
          <w:szCs w:val="24"/>
          <w:lang w:eastAsia="zh-CN"/>
        </w:rPr>
        <w:t>oje</w:t>
      </w:r>
      <w:r w:rsidR="00B55992" w:rsidRPr="00F711D5">
        <w:rPr>
          <w:rFonts w:asciiTheme="minorHAnsi" w:hAnsiTheme="minorHAnsi" w:cstheme="minorHAnsi"/>
          <w:szCs w:val="24"/>
          <w:lang w:eastAsia="zh-CN"/>
        </w:rPr>
        <w:t>;</w:t>
      </w:r>
    </w:p>
    <w:p w:rsidR="00F711D5" w:rsidRDefault="008279E2" w:rsidP="00992169">
      <w:pPr>
        <w:pStyle w:val="Sraopastraipa"/>
        <w:numPr>
          <w:ilvl w:val="0"/>
          <w:numId w:val="9"/>
        </w:numPr>
        <w:tabs>
          <w:tab w:val="left" w:pos="1134"/>
          <w:tab w:val="left" w:pos="1276"/>
        </w:tab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93 tūkst. eurų – neformaliojo vaikų švietimui, nes dalis vaikų dalyvavusių neformaliojo vaikų švietimo programose, pasirinko visos dienos mokyklos teikiamas paslaugas, kurios finansuojamos Kauno miesto savivaldybės biudžeto lėšomis;</w:t>
      </w:r>
    </w:p>
    <w:p w:rsidR="00F711D5" w:rsidRDefault="00B00F20" w:rsidP="00D45891">
      <w:pPr>
        <w:pStyle w:val="Sraopastraipa"/>
        <w:numPr>
          <w:ilvl w:val="0"/>
          <w:numId w:val="9"/>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rPr>
        <w:t xml:space="preserve">62,5 tūkst. eurų – akredituotai socialinei reabilitacijai asmenims su negalia bendruomenėje, </w:t>
      </w:r>
      <w:r w:rsidRPr="00F711D5">
        <w:rPr>
          <w:rFonts w:asciiTheme="minorHAnsi" w:hAnsiTheme="minorHAnsi" w:cstheme="minorHAnsi"/>
          <w:szCs w:val="24"/>
          <w:lang w:eastAsia="zh-CN"/>
        </w:rPr>
        <w:t>nes paslaugas gavusių asmenų skaičius buvo mažesnis nei akredituotose įstaigose deklaruotas vietų skaičius</w:t>
      </w:r>
      <w:r w:rsidR="006F24C6" w:rsidRPr="00F711D5">
        <w:rPr>
          <w:rFonts w:asciiTheme="minorHAnsi" w:hAnsiTheme="minorHAnsi" w:cstheme="minorHAnsi"/>
          <w:szCs w:val="24"/>
          <w:lang w:eastAsia="zh-CN"/>
        </w:rPr>
        <w:t>;</w:t>
      </w:r>
    </w:p>
    <w:p w:rsidR="00F711D5" w:rsidRDefault="00723D1C" w:rsidP="00B410FD">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61,3 tūkst. eurų – laikino atokvėpio paslaugai teikti ir administruoti, iš jų 59,8 tūkst. eurų nepanaudota laikino atokvėpio paslaugai teikti, kadangi per 2025 metus šia paslauga pasinaudojo tik 40 asmenų. Likusi 1,5 tūkst. eurų suma – administravimui skirtos, tačiau nepanaudotos lėšos, nes administravimo išlaidoms taikoma procentinė dalis, skaičiuojama nuo faktiškai panaudotų lėšų paslaugai teikti;</w:t>
      </w:r>
    </w:p>
    <w:p w:rsidR="00F711D5" w:rsidRDefault="00723D1C" w:rsidP="00505557">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39,</w:t>
      </w:r>
      <w:r w:rsidR="00B214D1" w:rsidRPr="00F711D5">
        <w:rPr>
          <w:rFonts w:asciiTheme="minorHAnsi" w:hAnsiTheme="minorHAnsi" w:cstheme="minorHAnsi"/>
          <w:szCs w:val="24"/>
          <w:lang w:eastAsia="zh-CN"/>
        </w:rPr>
        <w:t>3</w:t>
      </w:r>
      <w:r w:rsidRPr="00F711D5">
        <w:rPr>
          <w:rFonts w:asciiTheme="minorHAnsi" w:hAnsiTheme="minorHAnsi" w:cstheme="minorHAnsi"/>
          <w:szCs w:val="24"/>
          <w:lang w:eastAsia="zh-CN"/>
        </w:rPr>
        <w:t xml:space="preserve"> tūkst. eurų – akredituotai vaikų dienos socialinei priežiūrai, nes du vaikų dienos centrai 2025 metų eigoje nutraukė veiklą;</w:t>
      </w:r>
    </w:p>
    <w:p w:rsidR="00F711D5" w:rsidRDefault="00DF7475" w:rsidP="00575FBE">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 xml:space="preserve">14,7 tūkst. eurų – iš apskričių perduotų švietimo įstaigų išlaikymui </w:t>
      </w:r>
      <w:r w:rsidR="00FA2CAE" w:rsidRPr="00F711D5">
        <w:rPr>
          <w:rFonts w:asciiTheme="minorHAnsi" w:hAnsiTheme="minorHAnsi" w:cstheme="minorHAnsi"/>
          <w:szCs w:val="24"/>
          <w:lang w:eastAsia="zh-CN"/>
        </w:rPr>
        <w:t>Kauno Jono Laužiko mokykloje ir Kauno Prano Daunio ugdymo centre</w:t>
      </w:r>
      <w:r w:rsidR="00F93357" w:rsidRPr="00F711D5">
        <w:rPr>
          <w:rFonts w:asciiTheme="minorHAnsi" w:hAnsiTheme="minorHAnsi" w:cstheme="minorHAnsi"/>
          <w:szCs w:val="24"/>
          <w:lang w:eastAsia="zh-CN"/>
        </w:rPr>
        <w:t>. Iš</w:t>
      </w:r>
      <w:r w:rsidR="00FA2CAE" w:rsidRPr="00F711D5">
        <w:rPr>
          <w:rFonts w:asciiTheme="minorHAnsi" w:hAnsiTheme="minorHAnsi" w:cstheme="minorHAnsi"/>
          <w:szCs w:val="24"/>
          <w:lang w:eastAsia="zh-CN"/>
        </w:rPr>
        <w:t xml:space="preserve"> </w:t>
      </w:r>
      <w:r w:rsidR="00BD50FF" w:rsidRPr="00F711D5">
        <w:rPr>
          <w:rFonts w:asciiTheme="minorHAnsi" w:hAnsiTheme="minorHAnsi" w:cstheme="minorHAnsi"/>
          <w:szCs w:val="24"/>
          <w:lang w:eastAsia="zh-CN"/>
        </w:rPr>
        <w:t>jų</w:t>
      </w:r>
      <w:r w:rsidR="00FA2CAE" w:rsidRPr="00F711D5">
        <w:rPr>
          <w:rFonts w:asciiTheme="minorHAnsi" w:hAnsiTheme="minorHAnsi" w:cstheme="minorHAnsi"/>
          <w:szCs w:val="24"/>
          <w:lang w:eastAsia="zh-CN"/>
        </w:rPr>
        <w:t xml:space="preserve"> </w:t>
      </w:r>
      <w:r w:rsidR="00BD50FF" w:rsidRPr="00F711D5">
        <w:rPr>
          <w:rFonts w:asciiTheme="minorHAnsi" w:hAnsiTheme="minorHAnsi" w:cstheme="minorHAnsi"/>
          <w:szCs w:val="24"/>
          <w:lang w:eastAsia="zh-CN"/>
        </w:rPr>
        <w:t>7,5</w:t>
      </w:r>
      <w:r w:rsidR="00FA2CAE" w:rsidRPr="00F711D5">
        <w:rPr>
          <w:rFonts w:asciiTheme="minorHAnsi" w:hAnsiTheme="minorHAnsi" w:cstheme="minorHAnsi"/>
          <w:szCs w:val="24"/>
          <w:lang w:eastAsia="zh-CN"/>
        </w:rPr>
        <w:t xml:space="preserve"> tūkst. eurų </w:t>
      </w:r>
      <w:r w:rsidR="00BD50FF" w:rsidRPr="00F711D5">
        <w:rPr>
          <w:rFonts w:asciiTheme="minorHAnsi" w:hAnsiTheme="minorHAnsi" w:cstheme="minorHAnsi"/>
          <w:szCs w:val="24"/>
          <w:lang w:eastAsia="zh-CN"/>
        </w:rPr>
        <w:t xml:space="preserve">mažiau nei planuota panaudota </w:t>
      </w:r>
      <w:r w:rsidR="00FA2CAE" w:rsidRPr="00F711D5">
        <w:rPr>
          <w:rFonts w:asciiTheme="minorHAnsi" w:hAnsiTheme="minorHAnsi" w:cstheme="minorHAnsi"/>
          <w:szCs w:val="24"/>
          <w:lang w:eastAsia="zh-CN"/>
        </w:rPr>
        <w:t xml:space="preserve">komunalinėms paslaugoms dėl </w:t>
      </w:r>
      <w:r w:rsidR="00BD50FF" w:rsidRPr="00F711D5">
        <w:rPr>
          <w:rFonts w:asciiTheme="minorHAnsi" w:hAnsiTheme="minorHAnsi" w:cstheme="minorHAnsi"/>
          <w:szCs w:val="24"/>
          <w:lang w:eastAsia="zh-CN"/>
        </w:rPr>
        <w:t xml:space="preserve">2025 metais </w:t>
      </w:r>
      <w:r w:rsidR="00FA2CAE" w:rsidRPr="00F711D5">
        <w:rPr>
          <w:rFonts w:asciiTheme="minorHAnsi" w:hAnsiTheme="minorHAnsi" w:cstheme="minorHAnsi"/>
          <w:szCs w:val="24"/>
          <w:lang w:eastAsia="zh-CN"/>
        </w:rPr>
        <w:t>palankių oro sąlygų</w:t>
      </w:r>
      <w:r w:rsidR="00BD50FF" w:rsidRPr="00F711D5">
        <w:rPr>
          <w:rFonts w:asciiTheme="minorHAnsi" w:hAnsiTheme="minorHAnsi" w:cstheme="minorHAnsi"/>
          <w:szCs w:val="24"/>
          <w:lang w:eastAsia="zh-CN"/>
        </w:rPr>
        <w:t>;</w:t>
      </w:r>
      <w:r w:rsidR="00FA2CAE" w:rsidRPr="00F711D5">
        <w:rPr>
          <w:rFonts w:asciiTheme="minorHAnsi" w:hAnsiTheme="minorHAnsi" w:cstheme="minorHAnsi"/>
          <w:szCs w:val="24"/>
          <w:lang w:eastAsia="zh-CN"/>
        </w:rPr>
        <w:t xml:space="preserve"> </w:t>
      </w:r>
      <w:r w:rsidR="00BD50FF" w:rsidRPr="00F711D5">
        <w:rPr>
          <w:rFonts w:asciiTheme="minorHAnsi" w:hAnsiTheme="minorHAnsi" w:cstheme="minorHAnsi"/>
          <w:szCs w:val="24"/>
          <w:lang w:eastAsia="zh-CN"/>
        </w:rPr>
        <w:t>4,3</w:t>
      </w:r>
      <w:r w:rsidR="00FA2CAE" w:rsidRPr="00F711D5">
        <w:rPr>
          <w:rFonts w:asciiTheme="minorHAnsi" w:hAnsiTheme="minorHAnsi" w:cstheme="minorHAnsi"/>
          <w:szCs w:val="24"/>
          <w:lang w:eastAsia="zh-CN"/>
        </w:rPr>
        <w:t xml:space="preserve"> tūkst. eurų – prekėms ir paslaugoms</w:t>
      </w:r>
      <w:r w:rsidR="007127DE" w:rsidRPr="00F711D5">
        <w:rPr>
          <w:rFonts w:asciiTheme="minorHAnsi" w:hAnsiTheme="minorHAnsi" w:cstheme="minorHAnsi"/>
          <w:szCs w:val="24"/>
          <w:lang w:eastAsia="zh-CN"/>
        </w:rPr>
        <w:t>,</w:t>
      </w:r>
      <w:r w:rsidR="00FA2CAE" w:rsidRPr="00F711D5">
        <w:rPr>
          <w:rFonts w:asciiTheme="minorHAnsi" w:hAnsiTheme="minorHAnsi" w:cstheme="minorHAnsi"/>
          <w:szCs w:val="24"/>
          <w:lang w:eastAsia="zh-CN"/>
        </w:rPr>
        <w:t xml:space="preserve"> dėl mažesnio jų poreikio </w:t>
      </w:r>
      <w:r w:rsidR="00F93357" w:rsidRPr="00F711D5">
        <w:rPr>
          <w:rFonts w:asciiTheme="minorHAnsi" w:hAnsiTheme="minorHAnsi" w:cstheme="minorHAnsi"/>
          <w:szCs w:val="24"/>
          <w:lang w:eastAsia="zh-CN"/>
        </w:rPr>
        <w:t>bei pigesnių</w:t>
      </w:r>
      <w:r w:rsidR="00FA2CAE" w:rsidRPr="00F711D5">
        <w:rPr>
          <w:rFonts w:asciiTheme="minorHAnsi" w:hAnsiTheme="minorHAnsi" w:cstheme="minorHAnsi"/>
          <w:szCs w:val="24"/>
          <w:lang w:eastAsia="zh-CN"/>
        </w:rPr>
        <w:t xml:space="preserve"> </w:t>
      </w:r>
      <w:r w:rsidR="00F93357" w:rsidRPr="00F711D5">
        <w:rPr>
          <w:rFonts w:asciiTheme="minorHAnsi" w:hAnsiTheme="minorHAnsi" w:cstheme="minorHAnsi"/>
          <w:szCs w:val="24"/>
          <w:lang w:eastAsia="zh-CN"/>
        </w:rPr>
        <w:t>įsigijimų</w:t>
      </w:r>
      <w:r w:rsidR="005F7C22" w:rsidRPr="00F711D5">
        <w:rPr>
          <w:rFonts w:asciiTheme="minorHAnsi" w:hAnsiTheme="minorHAnsi" w:cstheme="minorHAnsi"/>
          <w:szCs w:val="24"/>
          <w:lang w:eastAsia="zh-CN"/>
        </w:rPr>
        <w:t>;</w:t>
      </w:r>
      <w:r w:rsidR="00F93357" w:rsidRPr="00F711D5">
        <w:rPr>
          <w:rFonts w:asciiTheme="minorHAnsi" w:hAnsiTheme="minorHAnsi" w:cstheme="minorHAnsi"/>
          <w:szCs w:val="24"/>
          <w:lang w:eastAsia="zh-CN"/>
        </w:rPr>
        <w:t xml:space="preserve"> </w:t>
      </w:r>
      <w:r w:rsidR="00FA2CAE" w:rsidRPr="00F711D5">
        <w:rPr>
          <w:rFonts w:asciiTheme="minorHAnsi" w:hAnsiTheme="minorHAnsi" w:cstheme="minorHAnsi"/>
          <w:szCs w:val="24"/>
          <w:lang w:eastAsia="zh-CN"/>
        </w:rPr>
        <w:t>2,</w:t>
      </w:r>
      <w:r w:rsidR="00BD50FF" w:rsidRPr="00F711D5">
        <w:rPr>
          <w:rFonts w:asciiTheme="minorHAnsi" w:hAnsiTheme="minorHAnsi" w:cstheme="minorHAnsi"/>
          <w:szCs w:val="24"/>
          <w:lang w:eastAsia="zh-CN"/>
        </w:rPr>
        <w:t>9</w:t>
      </w:r>
      <w:r w:rsidR="00FA2CAE" w:rsidRPr="00F711D5">
        <w:rPr>
          <w:rFonts w:asciiTheme="minorHAnsi" w:hAnsiTheme="minorHAnsi" w:cstheme="minorHAnsi"/>
          <w:szCs w:val="24"/>
          <w:lang w:eastAsia="zh-CN"/>
        </w:rPr>
        <w:t xml:space="preserve"> tūkst. eurų – su darbo santykiais susijusi</w:t>
      </w:r>
      <w:r w:rsidR="00F93357" w:rsidRPr="00F711D5">
        <w:rPr>
          <w:rFonts w:asciiTheme="minorHAnsi" w:hAnsiTheme="minorHAnsi" w:cstheme="minorHAnsi"/>
          <w:szCs w:val="24"/>
          <w:lang w:eastAsia="zh-CN"/>
        </w:rPr>
        <w:t>o</w:t>
      </w:r>
      <w:r w:rsidR="00FA2CAE" w:rsidRPr="00F711D5">
        <w:rPr>
          <w:rFonts w:asciiTheme="minorHAnsi" w:hAnsiTheme="minorHAnsi" w:cstheme="minorHAnsi"/>
          <w:szCs w:val="24"/>
          <w:lang w:eastAsia="zh-CN"/>
        </w:rPr>
        <w:t xml:space="preserve">ms </w:t>
      </w:r>
      <w:r w:rsidR="00F93357" w:rsidRPr="00F711D5">
        <w:rPr>
          <w:rFonts w:asciiTheme="minorHAnsi" w:hAnsiTheme="minorHAnsi" w:cstheme="minorHAnsi"/>
          <w:szCs w:val="24"/>
          <w:lang w:eastAsia="zh-CN"/>
        </w:rPr>
        <w:t>įmokoms</w:t>
      </w:r>
      <w:r w:rsidR="00FA2CAE" w:rsidRPr="00F711D5">
        <w:rPr>
          <w:rFonts w:asciiTheme="minorHAnsi" w:hAnsiTheme="minorHAnsi" w:cstheme="minorHAnsi"/>
          <w:szCs w:val="24"/>
          <w:lang w:eastAsia="zh-CN"/>
        </w:rPr>
        <w:t>, dėl darbuotojų nedarbingumo</w:t>
      </w:r>
      <w:r w:rsidR="00F22C60" w:rsidRPr="00F711D5">
        <w:rPr>
          <w:rFonts w:asciiTheme="minorHAnsi" w:hAnsiTheme="minorHAnsi" w:cstheme="minorHAnsi"/>
          <w:szCs w:val="24"/>
          <w:lang w:eastAsia="zh-CN"/>
        </w:rPr>
        <w:t>;</w:t>
      </w:r>
    </w:p>
    <w:p w:rsidR="00F711D5" w:rsidRDefault="00942BB7" w:rsidP="00D73031">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12,3 tūkst. eurų – asmenin</w:t>
      </w:r>
      <w:r w:rsidR="00BC32C0" w:rsidRPr="00F711D5">
        <w:rPr>
          <w:rFonts w:asciiTheme="minorHAnsi" w:hAnsiTheme="minorHAnsi" w:cstheme="minorHAnsi"/>
          <w:szCs w:val="24"/>
          <w:lang w:eastAsia="zh-CN"/>
        </w:rPr>
        <w:t>ės</w:t>
      </w:r>
      <w:r w:rsidRPr="00F711D5">
        <w:rPr>
          <w:rFonts w:asciiTheme="minorHAnsi" w:hAnsiTheme="minorHAnsi" w:cstheme="minorHAnsi"/>
          <w:szCs w:val="24"/>
          <w:lang w:eastAsia="zh-CN"/>
        </w:rPr>
        <w:t xml:space="preserve"> pagalbos teikimui</w:t>
      </w:r>
      <w:r w:rsidR="00921B78" w:rsidRPr="00F711D5">
        <w:rPr>
          <w:rFonts w:asciiTheme="minorHAnsi" w:hAnsiTheme="minorHAnsi" w:cstheme="minorHAnsi"/>
          <w:szCs w:val="24"/>
          <w:lang w:eastAsia="zh-CN"/>
        </w:rPr>
        <w:t>, nes užtruko sutarčių pasirašymas su paslaugų teikėjais</w:t>
      </w:r>
      <w:r w:rsidR="00F22C60" w:rsidRPr="00F711D5">
        <w:rPr>
          <w:rFonts w:asciiTheme="minorHAnsi" w:hAnsiTheme="minorHAnsi" w:cstheme="minorHAnsi"/>
          <w:szCs w:val="24"/>
          <w:lang w:eastAsia="zh-CN"/>
        </w:rPr>
        <w:t>;</w:t>
      </w:r>
    </w:p>
    <w:p w:rsidR="00F711D5" w:rsidRDefault="00942BB7" w:rsidP="00DB02D3">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5,7 tūkst. eurų – asmenų su negalia reikalų koordinavimo funkcijai atlikti</w:t>
      </w:r>
      <w:r w:rsidR="00AF40CF" w:rsidRPr="00F711D5">
        <w:rPr>
          <w:rFonts w:asciiTheme="minorHAnsi" w:hAnsiTheme="minorHAnsi" w:cstheme="minorHAnsi"/>
          <w:szCs w:val="24"/>
          <w:lang w:eastAsia="zh-CN"/>
        </w:rPr>
        <w:t xml:space="preserve">, </w:t>
      </w:r>
      <w:r w:rsidR="00F2005C" w:rsidRPr="00F711D5">
        <w:rPr>
          <w:rFonts w:asciiTheme="minorHAnsi" w:hAnsiTheme="minorHAnsi" w:cstheme="minorHAnsi"/>
          <w:szCs w:val="24"/>
          <w:lang w:eastAsia="zh-CN"/>
        </w:rPr>
        <w:t xml:space="preserve">dėl </w:t>
      </w:r>
      <w:r w:rsidR="00A70B91" w:rsidRPr="00F711D5">
        <w:rPr>
          <w:rFonts w:asciiTheme="minorHAnsi" w:hAnsiTheme="minorHAnsi" w:cstheme="minorHAnsi"/>
          <w:szCs w:val="24"/>
          <w:lang w:eastAsia="zh-CN"/>
        </w:rPr>
        <w:t xml:space="preserve">šią funkciją atliekančio </w:t>
      </w:r>
      <w:r w:rsidR="00F2005C" w:rsidRPr="00F711D5">
        <w:rPr>
          <w:rFonts w:asciiTheme="minorHAnsi" w:hAnsiTheme="minorHAnsi" w:cstheme="minorHAnsi"/>
          <w:szCs w:val="24"/>
          <w:lang w:eastAsia="zh-CN"/>
        </w:rPr>
        <w:t>darbuotojo nemokamų atostogų ir nedarbingumo</w:t>
      </w:r>
      <w:r w:rsidR="00A70B91" w:rsidRPr="00F711D5">
        <w:rPr>
          <w:rFonts w:asciiTheme="minorHAnsi" w:hAnsiTheme="minorHAnsi" w:cstheme="minorHAnsi"/>
          <w:szCs w:val="24"/>
          <w:lang w:eastAsia="zh-CN"/>
        </w:rPr>
        <w:t>;</w:t>
      </w:r>
    </w:p>
    <w:p w:rsidR="00F711D5" w:rsidRDefault="00942BB7" w:rsidP="005A07B0">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5,6 tūkst. eurų – vaikų, atvykusių iš Ukrainos, institucinei globai</w:t>
      </w:r>
      <w:r w:rsidR="00493BEA" w:rsidRPr="00F711D5">
        <w:rPr>
          <w:rFonts w:asciiTheme="minorHAnsi" w:hAnsiTheme="minorHAnsi" w:cstheme="minorHAnsi"/>
          <w:szCs w:val="24"/>
          <w:lang w:eastAsia="zh-CN"/>
        </w:rPr>
        <w:t xml:space="preserve">, nes biudžetinėje įstaigoje Vaikų gerovės centras </w:t>
      </w:r>
      <w:r w:rsidR="00E46A51" w:rsidRPr="00F711D5">
        <w:rPr>
          <w:rFonts w:asciiTheme="minorHAnsi" w:hAnsiTheme="minorHAnsi" w:cstheme="minorHAnsi"/>
          <w:szCs w:val="24"/>
          <w:lang w:eastAsia="zh-CN"/>
        </w:rPr>
        <w:t>„</w:t>
      </w:r>
      <w:r w:rsidR="00493BEA" w:rsidRPr="00F711D5">
        <w:rPr>
          <w:rFonts w:asciiTheme="minorHAnsi" w:hAnsiTheme="minorHAnsi" w:cstheme="minorHAnsi"/>
          <w:szCs w:val="24"/>
          <w:lang w:eastAsia="zh-CN"/>
        </w:rPr>
        <w:t xml:space="preserve">Pastogė“ faktiškas lėšų </w:t>
      </w:r>
      <w:r w:rsidR="002D79D4" w:rsidRPr="00F711D5">
        <w:rPr>
          <w:rFonts w:asciiTheme="minorHAnsi" w:hAnsiTheme="minorHAnsi" w:cstheme="minorHAnsi"/>
          <w:szCs w:val="24"/>
          <w:lang w:eastAsia="zh-CN"/>
        </w:rPr>
        <w:t xml:space="preserve">poreikis </w:t>
      </w:r>
      <w:r w:rsidR="00493BEA" w:rsidRPr="00F711D5">
        <w:rPr>
          <w:rFonts w:asciiTheme="minorHAnsi" w:hAnsiTheme="minorHAnsi" w:cstheme="minorHAnsi"/>
          <w:szCs w:val="24"/>
          <w:lang w:eastAsia="zh-CN"/>
        </w:rPr>
        <w:t>prekėms ir paslaugoms buvo mažesnis</w:t>
      </w:r>
      <w:r w:rsidR="00F711D5" w:rsidRPr="00F711D5">
        <w:rPr>
          <w:rFonts w:asciiTheme="minorHAnsi" w:hAnsiTheme="minorHAnsi" w:cstheme="minorHAnsi"/>
          <w:szCs w:val="24"/>
          <w:lang w:eastAsia="zh-CN"/>
        </w:rPr>
        <w:t>;</w:t>
      </w:r>
    </w:p>
    <w:p w:rsidR="00F711D5" w:rsidRDefault="00942BB7" w:rsidP="00CF2680">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4,3 tūkst. eurų profesiniam orientavimui</w:t>
      </w:r>
      <w:r w:rsidR="00A70B91" w:rsidRPr="00F711D5">
        <w:rPr>
          <w:rFonts w:asciiTheme="minorHAnsi" w:hAnsiTheme="minorHAnsi" w:cstheme="minorHAnsi"/>
          <w:szCs w:val="24"/>
          <w:lang w:eastAsia="zh-CN"/>
        </w:rPr>
        <w:t>, dėl laikinai neužimtų pareigybių ir darbuotojų nedarbingumo švietimo biudžetinėse įstaigose</w:t>
      </w:r>
      <w:r w:rsidR="007C135B" w:rsidRPr="00F711D5">
        <w:rPr>
          <w:rFonts w:asciiTheme="minorHAnsi" w:hAnsiTheme="minorHAnsi" w:cstheme="minorHAnsi"/>
          <w:szCs w:val="24"/>
          <w:lang w:eastAsia="zh-CN"/>
        </w:rPr>
        <w:t>;</w:t>
      </w:r>
    </w:p>
    <w:p w:rsidR="00F711D5" w:rsidRDefault="00942BB7" w:rsidP="009105D3">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3,8 tūkst. eurų – atvirų grupių, klasių ugdymo organizavimui</w:t>
      </w:r>
      <w:r w:rsidR="005E240E" w:rsidRPr="00F711D5">
        <w:rPr>
          <w:rFonts w:asciiTheme="minorHAnsi" w:hAnsiTheme="minorHAnsi" w:cstheme="minorHAnsi"/>
          <w:szCs w:val="24"/>
          <w:lang w:eastAsia="zh-CN"/>
        </w:rPr>
        <w:t xml:space="preserve"> dėl laikinai neužimtų mokytojo ir mokinio padėjėjų pareigybių;</w:t>
      </w:r>
    </w:p>
    <w:p w:rsidR="00F711D5" w:rsidRDefault="00942BB7" w:rsidP="00040F63">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 xml:space="preserve">3,7 tūkst. eurų – pedagoginių darbuotojų išlaikomų iš </w:t>
      </w:r>
      <w:r w:rsidR="00B125FF" w:rsidRPr="00F711D5">
        <w:rPr>
          <w:rFonts w:asciiTheme="minorHAnsi" w:hAnsiTheme="minorHAnsi" w:cstheme="minorHAnsi"/>
          <w:szCs w:val="24"/>
          <w:lang w:eastAsia="zh-CN"/>
        </w:rPr>
        <w:t>S</w:t>
      </w:r>
      <w:r w:rsidRPr="00F711D5">
        <w:rPr>
          <w:rFonts w:asciiTheme="minorHAnsi" w:hAnsiTheme="minorHAnsi" w:cstheme="minorHAnsi"/>
          <w:szCs w:val="24"/>
          <w:lang w:eastAsia="zh-CN"/>
        </w:rPr>
        <w:t>avivaldybės biudžeto lėšų darbo užmokesčiui padidinti</w:t>
      </w:r>
      <w:r w:rsidR="005E240E" w:rsidRPr="00F711D5">
        <w:rPr>
          <w:rFonts w:asciiTheme="minorHAnsi" w:hAnsiTheme="minorHAnsi" w:cstheme="minorHAnsi"/>
          <w:szCs w:val="24"/>
          <w:lang w:eastAsia="zh-CN"/>
        </w:rPr>
        <w:t xml:space="preserve">, dėl neužimtų pareigybių Kauno </w:t>
      </w:r>
      <w:r w:rsidR="00073A92" w:rsidRPr="00F711D5">
        <w:rPr>
          <w:rFonts w:asciiTheme="minorHAnsi" w:hAnsiTheme="minorHAnsi" w:cstheme="minorHAnsi"/>
          <w:szCs w:val="24"/>
          <w:lang w:eastAsia="zh-CN"/>
        </w:rPr>
        <w:t>š</w:t>
      </w:r>
      <w:r w:rsidR="005E240E" w:rsidRPr="00F711D5">
        <w:rPr>
          <w:rFonts w:asciiTheme="minorHAnsi" w:hAnsiTheme="minorHAnsi" w:cstheme="minorHAnsi"/>
          <w:szCs w:val="24"/>
          <w:lang w:eastAsia="zh-CN"/>
        </w:rPr>
        <w:t>v. Roko mokykloje;</w:t>
      </w:r>
    </w:p>
    <w:p w:rsidR="00F711D5" w:rsidRDefault="00942BB7" w:rsidP="00654E0B">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2,6 tūkst. eurų – socialinių paslaugų srities darbuotojų darbo užmokesčiui didinti</w:t>
      </w:r>
      <w:r w:rsidR="0090670D" w:rsidRPr="00F711D5">
        <w:rPr>
          <w:rFonts w:asciiTheme="minorHAnsi" w:hAnsiTheme="minorHAnsi" w:cstheme="minorHAnsi"/>
          <w:szCs w:val="24"/>
          <w:lang w:eastAsia="zh-CN"/>
        </w:rPr>
        <w:t>, dėl darbuotojų nedarbingumo Kauno socialinių paslaugų centre;</w:t>
      </w:r>
    </w:p>
    <w:p w:rsidR="00F711D5" w:rsidRDefault="00BA15F0" w:rsidP="00C765FA">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1</w:t>
      </w:r>
      <w:r w:rsidR="00942BB7" w:rsidRPr="00F711D5">
        <w:rPr>
          <w:rFonts w:asciiTheme="minorHAnsi" w:hAnsiTheme="minorHAnsi" w:cstheme="minorHAnsi"/>
          <w:szCs w:val="24"/>
          <w:lang w:eastAsia="zh-CN"/>
        </w:rPr>
        <w:t>,6 tūkst. eurų socialinės srities išlaidoms (iš valstybės vardu pasiskolintų lėšų)</w:t>
      </w:r>
      <w:r w:rsidR="0090670D" w:rsidRPr="00F711D5">
        <w:rPr>
          <w:rFonts w:asciiTheme="minorHAnsi" w:hAnsiTheme="minorHAnsi" w:cstheme="minorHAnsi"/>
          <w:szCs w:val="24"/>
          <w:lang w:eastAsia="zh-CN"/>
        </w:rPr>
        <w:t xml:space="preserve">, nes </w:t>
      </w:r>
      <w:r w:rsidR="00DF5ECB" w:rsidRPr="00F711D5">
        <w:rPr>
          <w:rFonts w:asciiTheme="minorHAnsi" w:hAnsiTheme="minorHAnsi" w:cstheme="minorHAnsi"/>
          <w:szCs w:val="24"/>
          <w:lang w:eastAsia="zh-CN"/>
        </w:rPr>
        <w:t xml:space="preserve">vienas </w:t>
      </w:r>
      <w:r w:rsidR="0090670D" w:rsidRPr="00F711D5">
        <w:rPr>
          <w:rFonts w:asciiTheme="minorHAnsi" w:hAnsiTheme="minorHAnsi" w:cstheme="minorHAnsi"/>
          <w:szCs w:val="24"/>
          <w:lang w:eastAsia="zh-CN"/>
        </w:rPr>
        <w:t xml:space="preserve">vaikas, atvykęs iš Ukrainos dėl Rusijos Federacijos karinių veiksmų, atsisakė dienos socialinės globos paslaugų VšĮ </w:t>
      </w:r>
      <w:r w:rsidR="00E46A51" w:rsidRPr="00F711D5">
        <w:rPr>
          <w:rFonts w:asciiTheme="minorHAnsi" w:hAnsiTheme="minorHAnsi" w:cstheme="minorHAnsi"/>
          <w:szCs w:val="24"/>
          <w:lang w:eastAsia="zh-CN"/>
        </w:rPr>
        <w:t>„</w:t>
      </w:r>
      <w:r w:rsidR="0090670D" w:rsidRPr="00F711D5">
        <w:rPr>
          <w:rFonts w:asciiTheme="minorHAnsi" w:hAnsiTheme="minorHAnsi" w:cstheme="minorHAnsi"/>
          <w:szCs w:val="24"/>
          <w:lang w:eastAsia="zh-CN"/>
        </w:rPr>
        <w:t>Ištiesk pagalbos ranką“;</w:t>
      </w:r>
    </w:p>
    <w:p w:rsidR="001B2A26" w:rsidRPr="00F711D5" w:rsidRDefault="00942BB7" w:rsidP="00C765FA">
      <w:pPr>
        <w:pStyle w:val="Sraopastraipa"/>
        <w:numPr>
          <w:ilvl w:val="0"/>
          <w:numId w:val="8"/>
        </w:numPr>
        <w:tabs>
          <w:tab w:val="left" w:pos="1134"/>
          <w:tab w:val="left" w:pos="1276"/>
        </w:tabs>
        <w:suppressAutoHyphens/>
        <w:spacing w:line="360" w:lineRule="auto"/>
        <w:ind w:left="0" w:firstLine="851"/>
        <w:jc w:val="both"/>
        <w:rPr>
          <w:rFonts w:asciiTheme="minorHAnsi" w:hAnsiTheme="minorHAnsi" w:cstheme="minorHAnsi"/>
          <w:szCs w:val="24"/>
          <w:lang w:eastAsia="zh-CN"/>
        </w:rPr>
      </w:pPr>
      <w:r w:rsidRPr="00F711D5">
        <w:rPr>
          <w:rFonts w:asciiTheme="minorHAnsi" w:hAnsiTheme="minorHAnsi" w:cstheme="minorHAnsi"/>
          <w:szCs w:val="24"/>
          <w:lang w:eastAsia="zh-CN"/>
        </w:rPr>
        <w:t>1,</w:t>
      </w:r>
      <w:r w:rsidR="00BA15F0" w:rsidRPr="00F711D5">
        <w:rPr>
          <w:rFonts w:asciiTheme="minorHAnsi" w:hAnsiTheme="minorHAnsi" w:cstheme="minorHAnsi"/>
          <w:szCs w:val="24"/>
          <w:lang w:eastAsia="zh-CN"/>
        </w:rPr>
        <w:t>1</w:t>
      </w:r>
      <w:r w:rsidRPr="00F711D5">
        <w:rPr>
          <w:rFonts w:asciiTheme="minorHAnsi" w:hAnsiTheme="minorHAnsi" w:cstheme="minorHAnsi"/>
          <w:szCs w:val="24"/>
          <w:lang w:eastAsia="zh-CN"/>
        </w:rPr>
        <w:t xml:space="preserve"> tūkst. eurų – </w:t>
      </w:r>
      <w:r w:rsidR="00BA15F0" w:rsidRPr="00F711D5">
        <w:rPr>
          <w:rFonts w:asciiTheme="minorHAnsi" w:hAnsiTheme="minorHAnsi" w:cstheme="minorHAnsi"/>
          <w:szCs w:val="24"/>
          <w:lang w:eastAsia="zh-CN"/>
        </w:rPr>
        <w:t>bendruomeninės veiklos stiprinimui</w:t>
      </w:r>
      <w:r w:rsidR="00C90E83" w:rsidRPr="00F711D5">
        <w:rPr>
          <w:rFonts w:asciiTheme="minorHAnsi" w:hAnsiTheme="minorHAnsi" w:cstheme="minorHAnsi"/>
          <w:szCs w:val="24"/>
          <w:lang w:eastAsia="zh-CN"/>
        </w:rPr>
        <w:t>, kadangi organizuojant bendruomenių nariams (senjorams,</w:t>
      </w:r>
      <w:r w:rsidR="000C32CC" w:rsidRPr="00F711D5">
        <w:rPr>
          <w:rFonts w:asciiTheme="minorHAnsi" w:hAnsiTheme="minorHAnsi" w:cstheme="minorHAnsi"/>
          <w:szCs w:val="24"/>
          <w:lang w:eastAsia="zh-CN"/>
        </w:rPr>
        <w:t xml:space="preserve"> </w:t>
      </w:r>
      <w:r w:rsidR="00C90E83" w:rsidRPr="00F711D5">
        <w:rPr>
          <w:rFonts w:asciiTheme="minorHAnsi" w:hAnsiTheme="minorHAnsi" w:cstheme="minorHAnsi"/>
          <w:szCs w:val="24"/>
          <w:lang w:eastAsia="zh-CN"/>
        </w:rPr>
        <w:t>asmenims</w:t>
      </w:r>
      <w:r w:rsidR="000C32CC" w:rsidRPr="00F711D5">
        <w:rPr>
          <w:rFonts w:asciiTheme="minorHAnsi" w:hAnsiTheme="minorHAnsi" w:cstheme="minorHAnsi"/>
          <w:szCs w:val="24"/>
          <w:lang w:eastAsia="zh-CN"/>
        </w:rPr>
        <w:t xml:space="preserve"> su negalia</w:t>
      </w:r>
      <w:r w:rsidR="00C90E83" w:rsidRPr="00F711D5">
        <w:rPr>
          <w:rFonts w:asciiTheme="minorHAnsi" w:hAnsiTheme="minorHAnsi" w:cstheme="minorHAnsi"/>
          <w:szCs w:val="24"/>
          <w:lang w:eastAsia="zh-CN"/>
        </w:rPr>
        <w:t xml:space="preserve">) edukacines veiklas ir teikiant transporto paslaugas taikomos nuolaidos. </w:t>
      </w:r>
      <w:r w:rsidR="008323F2" w:rsidRPr="00F711D5">
        <w:rPr>
          <w:rFonts w:asciiTheme="minorHAnsi" w:hAnsiTheme="minorHAnsi" w:cstheme="minorHAnsi"/>
          <w:szCs w:val="24"/>
          <w:lang w:eastAsia="zh-CN"/>
        </w:rPr>
        <w:t xml:space="preserve">Asociacija „Kaunėnų bendruomenė“ sutaupė </w:t>
      </w:r>
      <w:r w:rsidR="005F7195" w:rsidRPr="00F711D5">
        <w:rPr>
          <w:rFonts w:asciiTheme="minorHAnsi" w:hAnsiTheme="minorHAnsi" w:cstheme="minorHAnsi"/>
          <w:szCs w:val="24"/>
          <w:lang w:eastAsia="zh-CN"/>
        </w:rPr>
        <w:t>0,8 tūkst. eurų</w:t>
      </w:r>
      <w:r w:rsidR="008323F2" w:rsidRPr="00F711D5">
        <w:rPr>
          <w:rFonts w:asciiTheme="minorHAnsi" w:hAnsiTheme="minorHAnsi" w:cstheme="minorHAnsi"/>
          <w:szCs w:val="24"/>
          <w:lang w:eastAsia="zh-CN"/>
        </w:rPr>
        <w:t xml:space="preserve">, kurie buvo numatyti </w:t>
      </w:r>
      <w:r w:rsidR="005F7195" w:rsidRPr="00F711D5">
        <w:rPr>
          <w:rFonts w:asciiTheme="minorHAnsi" w:hAnsiTheme="minorHAnsi" w:cstheme="minorHAnsi"/>
          <w:szCs w:val="24"/>
          <w:lang w:eastAsia="zh-CN"/>
        </w:rPr>
        <w:t xml:space="preserve">viešinimo ir </w:t>
      </w:r>
      <w:r w:rsidR="001A4281" w:rsidRPr="00F711D5">
        <w:rPr>
          <w:rFonts w:asciiTheme="minorHAnsi" w:hAnsiTheme="minorHAnsi" w:cstheme="minorHAnsi"/>
          <w:szCs w:val="24"/>
          <w:lang w:eastAsia="zh-CN"/>
        </w:rPr>
        <w:t xml:space="preserve">narių </w:t>
      </w:r>
      <w:r w:rsidR="005F7195" w:rsidRPr="00F711D5">
        <w:rPr>
          <w:rFonts w:asciiTheme="minorHAnsi" w:hAnsiTheme="minorHAnsi" w:cstheme="minorHAnsi"/>
          <w:szCs w:val="24"/>
          <w:lang w:eastAsia="zh-CN"/>
        </w:rPr>
        <w:t>mokymų paslaugoms.</w:t>
      </w:r>
    </w:p>
    <w:p w:rsidR="00565052" w:rsidRPr="00096D83" w:rsidRDefault="004844BB" w:rsidP="00E46A51">
      <w:pPr>
        <w:pStyle w:val="Pagrindinistekstas"/>
        <w:tabs>
          <w:tab w:val="left" w:pos="1276"/>
        </w:tabs>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Taip pat </w:t>
      </w:r>
      <w:r w:rsidR="00F67E15" w:rsidRPr="00096D83">
        <w:rPr>
          <w:rFonts w:asciiTheme="minorHAnsi" w:hAnsiTheme="minorHAnsi" w:cstheme="minorHAnsi"/>
          <w:szCs w:val="24"/>
          <w:lang w:eastAsia="zh-CN"/>
        </w:rPr>
        <w:t>202</w:t>
      </w:r>
      <w:r w:rsidR="00553FC3" w:rsidRPr="00096D83">
        <w:rPr>
          <w:rFonts w:asciiTheme="minorHAnsi" w:hAnsiTheme="minorHAnsi" w:cstheme="minorHAnsi"/>
          <w:szCs w:val="24"/>
          <w:lang w:eastAsia="zh-CN"/>
        </w:rPr>
        <w:t>5</w:t>
      </w:r>
      <w:r w:rsidR="00F67E15" w:rsidRPr="00096D83">
        <w:rPr>
          <w:rFonts w:asciiTheme="minorHAnsi" w:hAnsiTheme="minorHAnsi" w:cstheme="minorHAnsi"/>
          <w:szCs w:val="24"/>
          <w:lang w:eastAsia="zh-CN"/>
        </w:rPr>
        <w:t xml:space="preserve"> met</w:t>
      </w:r>
      <w:r w:rsidR="00553FC3" w:rsidRPr="00096D83">
        <w:rPr>
          <w:rFonts w:asciiTheme="minorHAnsi" w:hAnsiTheme="minorHAnsi" w:cstheme="minorHAnsi"/>
          <w:szCs w:val="24"/>
          <w:lang w:eastAsia="zh-CN"/>
        </w:rPr>
        <w:t>ų pabaigai</w:t>
      </w:r>
      <w:r w:rsidR="00F67E15" w:rsidRPr="00096D83">
        <w:rPr>
          <w:rFonts w:asciiTheme="minorHAnsi" w:hAnsiTheme="minorHAnsi" w:cstheme="minorHAnsi"/>
          <w:szCs w:val="24"/>
          <w:lang w:eastAsia="zh-CN"/>
        </w:rPr>
        <w:t xml:space="preserve"> liko </w:t>
      </w:r>
      <w:r w:rsidR="004022B1" w:rsidRPr="00096D83">
        <w:rPr>
          <w:rFonts w:asciiTheme="minorHAnsi" w:hAnsiTheme="minorHAnsi" w:cstheme="minorHAnsi"/>
          <w:szCs w:val="24"/>
          <w:lang w:eastAsia="zh-CN"/>
        </w:rPr>
        <w:t xml:space="preserve">skirtų, bet </w:t>
      </w:r>
      <w:r w:rsidR="00F67E15" w:rsidRPr="00096D83">
        <w:rPr>
          <w:rFonts w:asciiTheme="minorHAnsi" w:hAnsiTheme="minorHAnsi" w:cstheme="minorHAnsi"/>
          <w:szCs w:val="24"/>
          <w:lang w:eastAsia="zh-CN"/>
        </w:rPr>
        <w:t>nepanaudot</w:t>
      </w:r>
      <w:r w:rsidR="004022B1" w:rsidRPr="00096D83">
        <w:rPr>
          <w:rFonts w:asciiTheme="minorHAnsi" w:hAnsiTheme="minorHAnsi" w:cstheme="minorHAnsi"/>
          <w:szCs w:val="24"/>
          <w:lang w:eastAsia="zh-CN"/>
        </w:rPr>
        <w:t>ų</w:t>
      </w:r>
      <w:r w:rsidR="00F67E15" w:rsidRPr="00096D83">
        <w:rPr>
          <w:rFonts w:asciiTheme="minorHAnsi" w:hAnsiTheme="minorHAnsi" w:cstheme="minorHAnsi"/>
          <w:szCs w:val="24"/>
          <w:lang w:eastAsia="zh-CN"/>
        </w:rPr>
        <w:t xml:space="preserve"> </w:t>
      </w:r>
      <w:r w:rsidR="00553FC3" w:rsidRPr="00096D83">
        <w:rPr>
          <w:rFonts w:asciiTheme="minorHAnsi" w:hAnsiTheme="minorHAnsi" w:cstheme="minorHAnsi"/>
          <w:szCs w:val="24"/>
          <w:lang w:eastAsia="zh-CN"/>
        </w:rPr>
        <w:t>1 866,6</w:t>
      </w:r>
      <w:r w:rsidR="00F67E15" w:rsidRPr="00096D83">
        <w:rPr>
          <w:rFonts w:asciiTheme="minorHAnsi" w:hAnsiTheme="minorHAnsi" w:cstheme="minorHAnsi"/>
          <w:szCs w:val="24"/>
          <w:lang w:eastAsia="zh-CN"/>
        </w:rPr>
        <w:t xml:space="preserve"> tūkst. eurų dotacijų, iš jų</w:t>
      </w:r>
      <w:r w:rsidR="00553FC3" w:rsidRPr="00096D83">
        <w:rPr>
          <w:rFonts w:asciiTheme="minorHAnsi" w:hAnsiTheme="minorHAnsi" w:cstheme="minorHAnsi"/>
          <w:szCs w:val="24"/>
          <w:lang w:eastAsia="zh-CN"/>
        </w:rPr>
        <w:t xml:space="preserve">: 1 797,6 tūkst. eurų </w:t>
      </w:r>
      <w:r w:rsidR="00B041D7" w:rsidRPr="00096D83">
        <w:rPr>
          <w:rFonts w:asciiTheme="minorHAnsi" w:hAnsiTheme="minorHAnsi" w:cstheme="minorHAnsi"/>
          <w:szCs w:val="24"/>
          <w:lang w:eastAsia="zh-CN"/>
        </w:rPr>
        <w:t>–</w:t>
      </w:r>
      <w:r w:rsidR="00F67E15" w:rsidRPr="00096D83">
        <w:rPr>
          <w:rFonts w:asciiTheme="minorHAnsi" w:hAnsiTheme="minorHAnsi" w:cstheme="minorHAnsi"/>
          <w:szCs w:val="24"/>
          <w:lang w:eastAsia="zh-CN"/>
        </w:rPr>
        <w:t xml:space="preserve"> </w:t>
      </w:r>
      <w:r w:rsidR="00553FC3" w:rsidRPr="00096D83">
        <w:rPr>
          <w:rFonts w:asciiTheme="minorHAnsi" w:hAnsiTheme="minorHAnsi" w:cstheme="minorHAnsi"/>
          <w:szCs w:val="24"/>
        </w:rPr>
        <w:t>Sporto komplekso (futbolo ir regbio maniežo) įrengimui Europos pr. 105A, Kaune, finansuoti</w:t>
      </w:r>
      <w:r w:rsidR="009A1F01" w:rsidRPr="00096D83">
        <w:rPr>
          <w:rFonts w:asciiTheme="minorHAnsi" w:hAnsiTheme="minorHAnsi" w:cstheme="minorHAnsi"/>
          <w:szCs w:val="24"/>
        </w:rPr>
        <w:t>,</w:t>
      </w:r>
      <w:r w:rsidR="00553FC3" w:rsidRPr="00096D83">
        <w:rPr>
          <w:rFonts w:asciiTheme="minorHAnsi" w:hAnsiTheme="minorHAnsi" w:cstheme="minorHAnsi"/>
          <w:szCs w:val="24"/>
          <w:lang w:eastAsia="zh-CN"/>
        </w:rPr>
        <w:t xml:space="preserve"> </w:t>
      </w:r>
      <w:r w:rsidR="004B1B3B" w:rsidRPr="00096D83">
        <w:rPr>
          <w:rFonts w:asciiTheme="minorHAnsi" w:hAnsiTheme="minorHAnsi" w:cstheme="minorHAnsi"/>
          <w:szCs w:val="24"/>
        </w:rPr>
        <w:t>nes statybos leidim</w:t>
      </w:r>
      <w:r w:rsidR="00E770C1" w:rsidRPr="00096D83">
        <w:rPr>
          <w:rFonts w:asciiTheme="minorHAnsi" w:hAnsiTheme="minorHAnsi" w:cstheme="minorHAnsi"/>
          <w:szCs w:val="24"/>
        </w:rPr>
        <w:t>as</w:t>
      </w:r>
      <w:r w:rsidR="004B1B3B" w:rsidRPr="00096D83">
        <w:rPr>
          <w:rFonts w:asciiTheme="minorHAnsi" w:hAnsiTheme="minorHAnsi" w:cstheme="minorHAnsi"/>
          <w:szCs w:val="24"/>
        </w:rPr>
        <w:t xml:space="preserve"> buvo </w:t>
      </w:r>
      <w:r w:rsidR="0092518A" w:rsidRPr="00096D83">
        <w:rPr>
          <w:rFonts w:asciiTheme="minorHAnsi" w:hAnsiTheme="minorHAnsi" w:cstheme="minorHAnsi"/>
          <w:szCs w:val="24"/>
        </w:rPr>
        <w:t xml:space="preserve">gautas liepos mėnesį, todėl tik tuomet pradėtos </w:t>
      </w:r>
      <w:r w:rsidR="004B1B3B" w:rsidRPr="00096D83">
        <w:rPr>
          <w:rFonts w:asciiTheme="minorHAnsi" w:hAnsiTheme="minorHAnsi" w:cstheme="minorHAnsi"/>
          <w:szCs w:val="24"/>
        </w:rPr>
        <w:t xml:space="preserve">viešųjų pirkimų procedūros rangovui parinkti. </w:t>
      </w:r>
      <w:r w:rsidR="004B1B3B" w:rsidRPr="00096D83">
        <w:rPr>
          <w:rFonts w:asciiTheme="minorHAnsi" w:hAnsiTheme="minorHAnsi" w:cstheme="minorHAnsi"/>
          <w:szCs w:val="24"/>
          <w:lang w:eastAsia="zh-CN"/>
        </w:rPr>
        <w:t xml:space="preserve">Kelių priežiūros ir plėtros programos lėšų liko nepanaudota </w:t>
      </w:r>
      <w:r w:rsidR="00553FC3" w:rsidRPr="00096D83">
        <w:rPr>
          <w:rFonts w:asciiTheme="minorHAnsi" w:hAnsiTheme="minorHAnsi" w:cstheme="minorHAnsi"/>
          <w:szCs w:val="24"/>
          <w:lang w:eastAsia="zh-CN"/>
        </w:rPr>
        <w:t>48,7</w:t>
      </w:r>
      <w:r w:rsidR="00F67E15" w:rsidRPr="00096D83">
        <w:rPr>
          <w:rFonts w:asciiTheme="minorHAnsi" w:hAnsiTheme="minorHAnsi" w:cstheme="minorHAnsi"/>
          <w:szCs w:val="24"/>
          <w:lang w:eastAsia="zh-CN"/>
        </w:rPr>
        <w:t xml:space="preserve"> tūkst. eurų</w:t>
      </w:r>
      <w:r w:rsidR="004B1B3B" w:rsidRPr="00096D83">
        <w:rPr>
          <w:rFonts w:asciiTheme="minorHAnsi" w:hAnsiTheme="minorHAnsi" w:cstheme="minorHAnsi"/>
          <w:szCs w:val="24"/>
          <w:lang w:eastAsia="zh-CN"/>
        </w:rPr>
        <w:t>,</w:t>
      </w:r>
      <w:r w:rsidR="00F67E15" w:rsidRPr="00096D83">
        <w:rPr>
          <w:rFonts w:asciiTheme="minorHAnsi" w:hAnsiTheme="minorHAnsi" w:cstheme="minorHAnsi"/>
          <w:szCs w:val="24"/>
          <w:lang w:eastAsia="zh-CN"/>
        </w:rPr>
        <w:t xml:space="preserve"> nes šiai sumai nebuvo pateikta paraiška lėšoms gauti</w:t>
      </w:r>
      <w:r w:rsidR="004B1B3B" w:rsidRPr="00096D83">
        <w:rPr>
          <w:rFonts w:asciiTheme="minorHAnsi" w:hAnsiTheme="minorHAnsi" w:cstheme="minorHAnsi"/>
          <w:szCs w:val="24"/>
          <w:lang w:eastAsia="zh-CN"/>
        </w:rPr>
        <w:t>.</w:t>
      </w:r>
      <w:r w:rsidR="00553FC3" w:rsidRPr="00096D83">
        <w:rPr>
          <w:rFonts w:asciiTheme="minorHAnsi" w:hAnsiTheme="minorHAnsi" w:cstheme="minorHAnsi"/>
          <w:szCs w:val="24"/>
          <w:lang w:eastAsia="zh-CN"/>
        </w:rPr>
        <w:t xml:space="preserve"> </w:t>
      </w:r>
      <w:r w:rsidR="00203651" w:rsidRPr="00096D83">
        <w:rPr>
          <w:rFonts w:asciiTheme="minorHAnsi" w:hAnsiTheme="minorHAnsi" w:cstheme="minorHAnsi"/>
          <w:szCs w:val="24"/>
        </w:rPr>
        <w:t xml:space="preserve">Mokyklos geltonajam autobusui įsigyti liko nepanaudota 20,2 tūkst. eurų, nes </w:t>
      </w:r>
      <w:r w:rsidR="004B1B3B" w:rsidRPr="00096D83">
        <w:rPr>
          <w:rFonts w:asciiTheme="minorHAnsi" w:hAnsiTheme="minorHAnsi" w:cstheme="minorHAnsi"/>
          <w:szCs w:val="24"/>
        </w:rPr>
        <w:t>autobusas</w:t>
      </w:r>
      <w:r w:rsidR="00203651" w:rsidRPr="00096D83">
        <w:rPr>
          <w:rFonts w:asciiTheme="minorHAnsi" w:hAnsiTheme="minorHAnsi" w:cstheme="minorHAnsi"/>
          <w:szCs w:val="24"/>
        </w:rPr>
        <w:t xml:space="preserve"> buvo nupirk</w:t>
      </w:r>
      <w:r w:rsidR="00555595" w:rsidRPr="00096D83">
        <w:rPr>
          <w:rFonts w:asciiTheme="minorHAnsi" w:hAnsiTheme="minorHAnsi" w:cstheme="minorHAnsi"/>
          <w:szCs w:val="24"/>
        </w:rPr>
        <w:t>ta</w:t>
      </w:r>
      <w:r w:rsidR="00203651" w:rsidRPr="00096D83">
        <w:rPr>
          <w:rFonts w:asciiTheme="minorHAnsi" w:hAnsiTheme="minorHAnsi" w:cstheme="minorHAnsi"/>
          <w:szCs w:val="24"/>
        </w:rPr>
        <w:t xml:space="preserve">s </w:t>
      </w:r>
      <w:r w:rsidR="004B1B3B" w:rsidRPr="00096D83">
        <w:rPr>
          <w:rFonts w:asciiTheme="minorHAnsi" w:hAnsiTheme="minorHAnsi" w:cstheme="minorHAnsi"/>
          <w:szCs w:val="24"/>
        </w:rPr>
        <w:t xml:space="preserve">už </w:t>
      </w:r>
      <w:r w:rsidR="00E35C8B" w:rsidRPr="00096D83">
        <w:rPr>
          <w:rFonts w:asciiTheme="minorHAnsi" w:hAnsiTheme="minorHAnsi" w:cstheme="minorHAnsi"/>
          <w:szCs w:val="24"/>
        </w:rPr>
        <w:t>mažesnę</w:t>
      </w:r>
      <w:r w:rsidR="004B1B3B" w:rsidRPr="00096D83">
        <w:rPr>
          <w:rFonts w:asciiTheme="minorHAnsi" w:hAnsiTheme="minorHAnsi" w:cstheme="minorHAnsi"/>
          <w:szCs w:val="24"/>
        </w:rPr>
        <w:t>,</w:t>
      </w:r>
      <w:r w:rsidR="00203651" w:rsidRPr="00096D83">
        <w:rPr>
          <w:rFonts w:asciiTheme="minorHAnsi" w:hAnsiTheme="minorHAnsi" w:cstheme="minorHAnsi"/>
          <w:szCs w:val="24"/>
        </w:rPr>
        <w:t xml:space="preserve"> nei skirtos lėšos</w:t>
      </w:r>
      <w:r w:rsidR="004B1B3B" w:rsidRPr="00096D83">
        <w:rPr>
          <w:rFonts w:asciiTheme="minorHAnsi" w:hAnsiTheme="minorHAnsi" w:cstheme="minorHAnsi"/>
          <w:szCs w:val="24"/>
        </w:rPr>
        <w:t>, kainą</w:t>
      </w:r>
      <w:r w:rsidR="00203651" w:rsidRPr="00096D83">
        <w:rPr>
          <w:rFonts w:asciiTheme="minorHAnsi" w:hAnsiTheme="minorHAnsi" w:cstheme="minorHAnsi"/>
          <w:szCs w:val="24"/>
        </w:rPr>
        <w:t xml:space="preserve">. Vokietijos ginkluotųjų pajėgų brigados šeimos narių ugdymo </w:t>
      </w:r>
      <w:r w:rsidR="00F0725E" w:rsidRPr="00096D83">
        <w:rPr>
          <w:rFonts w:asciiTheme="minorHAnsi" w:hAnsiTheme="minorHAnsi" w:cstheme="minorHAnsi"/>
          <w:szCs w:val="24"/>
        </w:rPr>
        <w:t>pagal formaliojo ir neformaliojo švietimo programas sąlygoms sudaryti (įskaitant infrastruktūrą), ugdymo, švietimo, kitoms su švietimu susijusioms reikmėms finansuoti</w:t>
      </w:r>
      <w:r w:rsidR="00203651" w:rsidRPr="00096D83">
        <w:rPr>
          <w:rFonts w:asciiTheme="minorHAnsi" w:hAnsiTheme="minorHAnsi" w:cstheme="minorHAnsi"/>
          <w:szCs w:val="24"/>
        </w:rPr>
        <w:t xml:space="preserve"> nepanaudota 0,1 tūkst. eurų</w:t>
      </w:r>
      <w:r w:rsidR="00F0725E" w:rsidRPr="00096D83">
        <w:rPr>
          <w:rFonts w:asciiTheme="minorHAnsi" w:hAnsiTheme="minorHAnsi" w:cstheme="minorHAnsi"/>
          <w:szCs w:val="24"/>
        </w:rPr>
        <w:t xml:space="preserve">, </w:t>
      </w:r>
      <w:r w:rsidR="00823E11" w:rsidRPr="00096D83">
        <w:rPr>
          <w:rFonts w:asciiTheme="minorHAnsi" w:hAnsiTheme="minorHAnsi" w:cstheme="minorHAnsi"/>
          <w:szCs w:val="24"/>
        </w:rPr>
        <w:t>nes</w:t>
      </w:r>
      <w:r w:rsidR="004B1B3B" w:rsidRPr="00096D83">
        <w:rPr>
          <w:rFonts w:asciiTheme="minorHAnsi" w:hAnsiTheme="minorHAnsi" w:cstheme="minorHAnsi"/>
          <w:szCs w:val="24"/>
        </w:rPr>
        <w:t xml:space="preserve"> lėš</w:t>
      </w:r>
      <w:r w:rsidR="00823E11" w:rsidRPr="00096D83">
        <w:rPr>
          <w:rFonts w:asciiTheme="minorHAnsi" w:hAnsiTheme="minorHAnsi" w:cstheme="minorHAnsi"/>
          <w:szCs w:val="24"/>
        </w:rPr>
        <w:t xml:space="preserve">os sutaupytos </w:t>
      </w:r>
      <w:r w:rsidR="00F0725E" w:rsidRPr="00096D83">
        <w:rPr>
          <w:rFonts w:asciiTheme="minorHAnsi" w:hAnsiTheme="minorHAnsi" w:cstheme="minorHAnsi"/>
          <w:szCs w:val="24"/>
        </w:rPr>
        <w:t>vykdant viešuosius pirkimus rangos darbams Partizanų g. 152 ir projektavimo darbams Verkių g. 30</w:t>
      </w:r>
      <w:r w:rsidR="004B306E" w:rsidRPr="00096D83">
        <w:rPr>
          <w:rFonts w:asciiTheme="minorHAnsi" w:hAnsiTheme="minorHAnsi" w:cstheme="minorHAnsi"/>
          <w:szCs w:val="24"/>
        </w:rPr>
        <w:t>,</w:t>
      </w:r>
      <w:r w:rsidR="004B1B3B" w:rsidRPr="00096D83">
        <w:rPr>
          <w:rFonts w:asciiTheme="minorHAnsi" w:hAnsiTheme="minorHAnsi" w:cstheme="minorHAnsi"/>
          <w:szCs w:val="24"/>
        </w:rPr>
        <w:t xml:space="preserve"> Kaune</w:t>
      </w:r>
      <w:r w:rsidR="00F0725E" w:rsidRPr="00096D83">
        <w:rPr>
          <w:rFonts w:asciiTheme="minorHAnsi" w:hAnsiTheme="minorHAnsi" w:cstheme="minorHAnsi"/>
          <w:szCs w:val="24"/>
        </w:rPr>
        <w:t>.</w:t>
      </w:r>
      <w:r w:rsidR="00F67E15" w:rsidRPr="00096D83">
        <w:rPr>
          <w:rFonts w:asciiTheme="minorHAnsi" w:hAnsiTheme="minorHAnsi" w:cstheme="minorHAnsi"/>
          <w:szCs w:val="24"/>
          <w:lang w:eastAsia="zh-CN"/>
        </w:rPr>
        <w:t xml:space="preserve"> </w:t>
      </w:r>
    </w:p>
    <w:p w:rsidR="00F67E15" w:rsidRPr="00096D83" w:rsidRDefault="00F67E15" w:rsidP="00E46A51">
      <w:pPr>
        <w:pStyle w:val="Pagrindinistekstas"/>
        <w:tabs>
          <w:tab w:val="left" w:pos="1276"/>
        </w:tabs>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Europos Sąjungos ir </w:t>
      </w:r>
      <w:r w:rsidR="004B306E" w:rsidRPr="00096D83">
        <w:rPr>
          <w:rFonts w:asciiTheme="minorHAnsi" w:hAnsiTheme="minorHAnsi" w:cstheme="minorHAnsi"/>
          <w:szCs w:val="24"/>
          <w:lang w:eastAsia="zh-CN"/>
        </w:rPr>
        <w:t>bendrojo finansavimo</w:t>
      </w:r>
      <w:r w:rsidRPr="00096D83">
        <w:rPr>
          <w:rFonts w:asciiTheme="minorHAnsi" w:hAnsiTheme="minorHAnsi" w:cstheme="minorHAnsi"/>
          <w:szCs w:val="24"/>
          <w:lang w:eastAsia="zh-CN"/>
        </w:rPr>
        <w:t xml:space="preserve"> lėšų</w:t>
      </w:r>
      <w:r w:rsidRPr="00096D83">
        <w:rPr>
          <w:rFonts w:asciiTheme="minorHAnsi" w:hAnsiTheme="minorHAnsi" w:cstheme="minorHAnsi"/>
          <w:color w:val="FF0000"/>
          <w:szCs w:val="24"/>
          <w:lang w:eastAsia="zh-CN"/>
        </w:rPr>
        <w:t xml:space="preserve"> </w:t>
      </w:r>
      <w:r w:rsidRPr="00096D83">
        <w:rPr>
          <w:rFonts w:asciiTheme="minorHAnsi" w:hAnsiTheme="minorHAnsi" w:cstheme="minorHAnsi"/>
          <w:szCs w:val="24"/>
          <w:lang w:eastAsia="zh-CN"/>
        </w:rPr>
        <w:t xml:space="preserve">gauta </w:t>
      </w:r>
      <w:r w:rsidR="00905FE2" w:rsidRPr="00096D83">
        <w:rPr>
          <w:rFonts w:asciiTheme="minorHAnsi" w:hAnsiTheme="minorHAnsi" w:cstheme="minorHAnsi"/>
          <w:szCs w:val="24"/>
          <w:lang w:eastAsia="zh-CN"/>
        </w:rPr>
        <w:t>26 557,1</w:t>
      </w:r>
      <w:r w:rsidRPr="00096D83">
        <w:rPr>
          <w:rFonts w:asciiTheme="minorHAnsi" w:hAnsiTheme="minorHAnsi" w:cstheme="minorHAnsi"/>
          <w:szCs w:val="24"/>
          <w:lang w:eastAsia="zh-CN"/>
        </w:rPr>
        <w:t xml:space="preserve"> tūkst. eurų, </w:t>
      </w:r>
      <w:r w:rsidR="00905FE2" w:rsidRPr="00096D83">
        <w:rPr>
          <w:rFonts w:asciiTheme="minorHAnsi" w:hAnsiTheme="minorHAnsi" w:cstheme="minorHAnsi"/>
          <w:szCs w:val="24"/>
          <w:lang w:eastAsia="zh-CN"/>
        </w:rPr>
        <w:t xml:space="preserve">arba 106,5 tūkst. eurų </w:t>
      </w:r>
      <w:r w:rsidR="00F23F71" w:rsidRPr="00096D83">
        <w:rPr>
          <w:rFonts w:asciiTheme="minorHAnsi" w:hAnsiTheme="minorHAnsi" w:cstheme="minorHAnsi"/>
          <w:szCs w:val="24"/>
          <w:lang w:eastAsia="zh-CN"/>
        </w:rPr>
        <w:t>mažiau</w:t>
      </w:r>
      <w:r w:rsidR="006D30AA" w:rsidRPr="00096D83">
        <w:rPr>
          <w:rFonts w:asciiTheme="minorHAnsi" w:hAnsiTheme="minorHAnsi" w:cstheme="minorHAnsi"/>
          <w:szCs w:val="24"/>
          <w:lang w:eastAsia="zh-CN"/>
        </w:rPr>
        <w:t>, ne</w:t>
      </w:r>
      <w:r w:rsidR="006937A9" w:rsidRPr="00096D83">
        <w:rPr>
          <w:rFonts w:asciiTheme="minorHAnsi" w:hAnsiTheme="minorHAnsi" w:cstheme="minorHAnsi"/>
          <w:szCs w:val="24"/>
          <w:lang w:eastAsia="zh-CN"/>
        </w:rPr>
        <w:t>i</w:t>
      </w:r>
      <w:r w:rsidR="006D30AA" w:rsidRPr="00096D83">
        <w:rPr>
          <w:rFonts w:asciiTheme="minorHAnsi" w:hAnsiTheme="minorHAnsi" w:cstheme="minorHAnsi"/>
          <w:szCs w:val="24"/>
          <w:lang w:eastAsia="zh-CN"/>
        </w:rPr>
        <w:t xml:space="preserve"> buvo planuota. Nukrypimą nuo plano nulėmė </w:t>
      </w:r>
      <w:r w:rsidR="003C5F47" w:rsidRPr="00096D83">
        <w:rPr>
          <w:rFonts w:asciiTheme="minorHAnsi" w:hAnsiTheme="minorHAnsi" w:cstheme="minorHAnsi"/>
          <w:szCs w:val="24"/>
          <w:lang w:eastAsia="zh-CN"/>
        </w:rPr>
        <w:t xml:space="preserve">VšĮ </w:t>
      </w:r>
      <w:r w:rsidR="006D30AA" w:rsidRPr="00096D83">
        <w:rPr>
          <w:rFonts w:asciiTheme="minorHAnsi" w:hAnsiTheme="minorHAnsi" w:cstheme="minorHAnsi"/>
          <w:szCs w:val="24"/>
          <w:lang w:eastAsia="zh-CN"/>
        </w:rPr>
        <w:t xml:space="preserve">Centrinės projektų valdymo agentūros pritaikyta </w:t>
      </w:r>
      <w:r w:rsidR="00042498" w:rsidRPr="00096D83">
        <w:rPr>
          <w:rFonts w:asciiTheme="minorHAnsi" w:hAnsiTheme="minorHAnsi" w:cstheme="minorHAnsi"/>
          <w:szCs w:val="24"/>
          <w:lang w:eastAsia="zh-CN"/>
        </w:rPr>
        <w:t>139,</w:t>
      </w:r>
      <w:r w:rsidR="00471EA4" w:rsidRPr="00096D83">
        <w:rPr>
          <w:rFonts w:asciiTheme="minorHAnsi" w:hAnsiTheme="minorHAnsi" w:cstheme="minorHAnsi"/>
          <w:szCs w:val="24"/>
          <w:lang w:eastAsia="zh-CN"/>
        </w:rPr>
        <w:t>7</w:t>
      </w:r>
      <w:r w:rsidR="00042498" w:rsidRPr="00096D83">
        <w:rPr>
          <w:rFonts w:asciiTheme="minorHAnsi" w:hAnsiTheme="minorHAnsi" w:cstheme="minorHAnsi"/>
          <w:szCs w:val="24"/>
          <w:lang w:eastAsia="zh-CN"/>
        </w:rPr>
        <w:t xml:space="preserve"> </w:t>
      </w:r>
      <w:r w:rsidR="00471EA4" w:rsidRPr="00096D83">
        <w:rPr>
          <w:rFonts w:asciiTheme="minorHAnsi" w:hAnsiTheme="minorHAnsi" w:cstheme="minorHAnsi"/>
          <w:szCs w:val="24"/>
          <w:lang w:eastAsia="zh-CN"/>
        </w:rPr>
        <w:t xml:space="preserve">tūkst. eurų </w:t>
      </w:r>
      <w:r w:rsidR="006D30AA" w:rsidRPr="00096D83">
        <w:rPr>
          <w:rFonts w:asciiTheme="minorHAnsi" w:hAnsiTheme="minorHAnsi" w:cstheme="minorHAnsi"/>
          <w:szCs w:val="24"/>
          <w:lang w:eastAsia="zh-CN"/>
        </w:rPr>
        <w:t xml:space="preserve">dydžio </w:t>
      </w:r>
      <w:r w:rsidR="00F23F71" w:rsidRPr="00096D83">
        <w:rPr>
          <w:rFonts w:asciiTheme="minorHAnsi" w:hAnsiTheme="minorHAnsi" w:cstheme="minorHAnsi"/>
          <w:szCs w:val="24"/>
          <w:lang w:eastAsia="zh-CN"/>
        </w:rPr>
        <w:t>finansinė korekcij</w:t>
      </w:r>
      <w:r w:rsidR="006D30AA" w:rsidRPr="00096D83">
        <w:rPr>
          <w:rFonts w:asciiTheme="minorHAnsi" w:hAnsiTheme="minorHAnsi" w:cstheme="minorHAnsi"/>
          <w:szCs w:val="24"/>
          <w:lang w:eastAsia="zh-CN"/>
        </w:rPr>
        <w:t>a</w:t>
      </w:r>
      <w:r w:rsidR="00F23F71" w:rsidRPr="00096D83">
        <w:rPr>
          <w:rFonts w:asciiTheme="minorHAnsi" w:hAnsiTheme="minorHAnsi" w:cstheme="minorHAnsi"/>
          <w:szCs w:val="24"/>
          <w:lang w:eastAsia="zh-CN"/>
        </w:rPr>
        <w:t xml:space="preserve"> projektui </w:t>
      </w:r>
      <w:r w:rsidR="00E46A51" w:rsidRPr="00096D83">
        <w:rPr>
          <w:rFonts w:asciiTheme="minorHAnsi" w:hAnsiTheme="minorHAnsi" w:cstheme="minorHAnsi"/>
          <w:szCs w:val="24"/>
          <w:lang w:eastAsia="zh-CN"/>
        </w:rPr>
        <w:t>„</w:t>
      </w:r>
      <w:r w:rsidR="00F23F71" w:rsidRPr="00096D83">
        <w:rPr>
          <w:rFonts w:asciiTheme="minorHAnsi" w:hAnsiTheme="minorHAnsi" w:cstheme="minorHAnsi"/>
          <w:szCs w:val="24"/>
          <w:lang w:eastAsia="zh-CN"/>
        </w:rPr>
        <w:t>Kauno rotušės pastato pritaikymas visuomenės poreikiams“</w:t>
      </w:r>
      <w:r w:rsidR="006D30AA" w:rsidRPr="00096D83">
        <w:rPr>
          <w:rFonts w:asciiTheme="minorHAnsi" w:hAnsiTheme="minorHAnsi" w:cstheme="minorHAnsi"/>
          <w:szCs w:val="24"/>
          <w:lang w:eastAsia="zh-CN"/>
        </w:rPr>
        <w:t>, dėl kurios sumažintos projekt</w:t>
      </w:r>
      <w:r w:rsidR="0009575A" w:rsidRPr="00096D83">
        <w:rPr>
          <w:rFonts w:asciiTheme="minorHAnsi" w:hAnsiTheme="minorHAnsi" w:cstheme="minorHAnsi"/>
          <w:szCs w:val="24"/>
          <w:lang w:eastAsia="zh-CN"/>
        </w:rPr>
        <w:t>ui</w:t>
      </w:r>
      <w:r w:rsidR="006D30AA" w:rsidRPr="00096D83">
        <w:rPr>
          <w:rFonts w:asciiTheme="minorHAnsi" w:hAnsiTheme="minorHAnsi" w:cstheme="minorHAnsi"/>
          <w:szCs w:val="24"/>
          <w:lang w:eastAsia="zh-CN"/>
        </w:rPr>
        <w:t xml:space="preserve"> tinkamos finansuoti lėšos</w:t>
      </w:r>
      <w:r w:rsidR="0054721E" w:rsidRPr="00096D83">
        <w:rPr>
          <w:rFonts w:asciiTheme="minorHAnsi" w:hAnsiTheme="minorHAnsi" w:cstheme="minorHAnsi"/>
          <w:szCs w:val="24"/>
          <w:lang w:eastAsia="zh-CN"/>
        </w:rPr>
        <w:t>,</w:t>
      </w:r>
      <w:r w:rsidR="00E42830" w:rsidRPr="00096D83">
        <w:rPr>
          <w:rFonts w:asciiTheme="minorHAnsi" w:hAnsiTheme="minorHAnsi" w:cstheme="minorHAnsi"/>
          <w:szCs w:val="24"/>
          <w:lang w:eastAsia="zh-CN"/>
        </w:rPr>
        <w:t xml:space="preserve"> </w:t>
      </w:r>
      <w:r w:rsidR="0054721E" w:rsidRPr="00096D83">
        <w:rPr>
          <w:rFonts w:asciiTheme="minorHAnsi" w:hAnsiTheme="minorHAnsi" w:cstheme="minorHAnsi"/>
          <w:szCs w:val="24"/>
          <w:lang w:eastAsia="zh-CN"/>
        </w:rPr>
        <w:t xml:space="preserve">ir </w:t>
      </w:r>
      <w:r w:rsidR="00042498" w:rsidRPr="00096D83">
        <w:rPr>
          <w:rFonts w:asciiTheme="minorHAnsi" w:hAnsiTheme="minorHAnsi" w:cstheme="minorHAnsi"/>
          <w:szCs w:val="24"/>
          <w:lang w:eastAsia="zh-CN"/>
        </w:rPr>
        <w:t xml:space="preserve">33,2 tūkst. eurų pervesti į biudžetą </w:t>
      </w:r>
      <w:r w:rsidR="00E42830" w:rsidRPr="00096D83">
        <w:rPr>
          <w:rFonts w:asciiTheme="minorHAnsi" w:hAnsiTheme="minorHAnsi" w:cstheme="minorHAnsi"/>
          <w:szCs w:val="24"/>
          <w:lang w:eastAsia="zh-CN"/>
        </w:rPr>
        <w:t xml:space="preserve">po </w:t>
      </w:r>
      <w:r w:rsidR="00042498" w:rsidRPr="00096D83">
        <w:rPr>
          <w:rFonts w:asciiTheme="minorHAnsi" w:hAnsiTheme="minorHAnsi" w:cstheme="minorHAnsi"/>
          <w:szCs w:val="24"/>
          <w:lang w:eastAsia="zh-CN"/>
        </w:rPr>
        <w:t xml:space="preserve">Europos Sąjungos ir kitos tarptautinės finansinės paramos lėšomis </w:t>
      </w:r>
      <w:r w:rsidR="00E42830" w:rsidRPr="00096D83">
        <w:rPr>
          <w:rFonts w:asciiTheme="minorHAnsi" w:hAnsiTheme="minorHAnsi" w:cstheme="minorHAnsi"/>
          <w:szCs w:val="24"/>
          <w:lang w:eastAsia="zh-CN"/>
        </w:rPr>
        <w:t xml:space="preserve">finansuotų </w:t>
      </w:r>
      <w:r w:rsidR="006D30AA" w:rsidRPr="00096D83">
        <w:rPr>
          <w:rFonts w:asciiTheme="minorHAnsi" w:hAnsiTheme="minorHAnsi" w:cstheme="minorHAnsi"/>
          <w:szCs w:val="24"/>
          <w:lang w:eastAsia="zh-CN"/>
        </w:rPr>
        <w:t>projekt</w:t>
      </w:r>
      <w:r w:rsidR="00E42830" w:rsidRPr="00096D83">
        <w:rPr>
          <w:rFonts w:asciiTheme="minorHAnsi" w:hAnsiTheme="minorHAnsi" w:cstheme="minorHAnsi"/>
          <w:szCs w:val="24"/>
          <w:lang w:eastAsia="zh-CN"/>
        </w:rPr>
        <w:t xml:space="preserve">ų įgyvendinimo užbaigimo ir galutinių atsiskaitymų. </w:t>
      </w:r>
    </w:p>
    <w:p w:rsidR="009E7D57" w:rsidRPr="00096D83" w:rsidRDefault="009E7D57" w:rsidP="000E4EE5">
      <w:pPr>
        <w:rPr>
          <w:rFonts w:asciiTheme="minorHAnsi" w:hAnsiTheme="minorHAnsi" w:cstheme="minorHAnsi"/>
          <w:b/>
          <w:szCs w:val="24"/>
          <w:lang w:eastAsia="lt-LT"/>
        </w:rPr>
      </w:pPr>
    </w:p>
    <w:p w:rsidR="009E7D57" w:rsidRPr="00096D83" w:rsidRDefault="008F0DBC">
      <w:pPr>
        <w:tabs>
          <w:tab w:val="left" w:pos="426"/>
        </w:tabs>
        <w:jc w:val="center"/>
        <w:rPr>
          <w:rFonts w:asciiTheme="minorHAnsi" w:hAnsiTheme="minorHAnsi" w:cstheme="minorHAnsi"/>
          <w:szCs w:val="24"/>
          <w:lang w:eastAsia="lt-LT"/>
        </w:rPr>
      </w:pPr>
      <w:r w:rsidRPr="00096D83">
        <w:rPr>
          <w:rFonts w:asciiTheme="minorHAnsi" w:hAnsiTheme="minorHAnsi" w:cstheme="minorHAnsi"/>
          <w:b/>
          <w:szCs w:val="24"/>
          <w:lang w:eastAsia="lt-LT"/>
        </w:rPr>
        <w:t>I</w:t>
      </w:r>
      <w:r w:rsidR="00BE370F" w:rsidRPr="00096D83">
        <w:rPr>
          <w:rFonts w:asciiTheme="minorHAnsi" w:hAnsiTheme="minorHAnsi" w:cstheme="minorHAnsi"/>
          <w:b/>
          <w:szCs w:val="24"/>
          <w:lang w:eastAsia="lt-LT"/>
        </w:rPr>
        <w:t>V</w:t>
      </w:r>
      <w:r w:rsidRPr="00096D83">
        <w:rPr>
          <w:rFonts w:asciiTheme="minorHAnsi" w:hAnsiTheme="minorHAnsi" w:cstheme="minorHAnsi"/>
          <w:szCs w:val="24"/>
          <w:lang w:eastAsia="lt-LT"/>
        </w:rPr>
        <w:t xml:space="preserve"> </w:t>
      </w:r>
      <w:r w:rsidRPr="00096D83">
        <w:rPr>
          <w:rFonts w:asciiTheme="minorHAnsi" w:hAnsiTheme="minorHAnsi" w:cstheme="minorHAnsi"/>
          <w:b/>
          <w:szCs w:val="24"/>
          <w:lang w:eastAsia="lt-LT"/>
        </w:rPr>
        <w:t>SKYRIUS</w:t>
      </w:r>
    </w:p>
    <w:p w:rsidR="009E7D57" w:rsidRPr="00096D83" w:rsidRDefault="008F0DBC">
      <w:pPr>
        <w:jc w:val="center"/>
        <w:rPr>
          <w:rFonts w:asciiTheme="minorHAnsi" w:hAnsiTheme="minorHAnsi" w:cstheme="minorHAnsi"/>
          <w:b/>
          <w:szCs w:val="24"/>
          <w:lang w:eastAsia="lt-LT"/>
        </w:rPr>
      </w:pPr>
      <w:r w:rsidRPr="00096D83">
        <w:rPr>
          <w:rFonts w:asciiTheme="minorHAnsi" w:hAnsiTheme="minorHAnsi" w:cstheme="minorHAnsi"/>
          <w:b/>
          <w:szCs w:val="24"/>
          <w:lang w:eastAsia="lt-LT"/>
        </w:rPr>
        <w:t>SAVIVALDYBĖS BIUDŽETO IŠLAIDŲ PLANO VYKDYMAS</w:t>
      </w:r>
    </w:p>
    <w:p w:rsidR="00F67E15" w:rsidRPr="00096D83" w:rsidRDefault="00F67E15">
      <w:pPr>
        <w:jc w:val="center"/>
        <w:rPr>
          <w:rFonts w:asciiTheme="minorHAnsi" w:hAnsiTheme="minorHAnsi" w:cstheme="minorHAnsi"/>
          <w:b/>
          <w:szCs w:val="24"/>
          <w:lang w:eastAsia="lt-LT"/>
        </w:rPr>
      </w:pPr>
    </w:p>
    <w:p w:rsidR="00F67E15" w:rsidRPr="00096D83" w:rsidRDefault="00F67E15" w:rsidP="00E46A51">
      <w:pPr>
        <w:suppressAutoHyphens/>
        <w:spacing w:line="360" w:lineRule="auto"/>
        <w:ind w:firstLine="851"/>
        <w:jc w:val="both"/>
        <w:rPr>
          <w:rFonts w:asciiTheme="minorHAnsi" w:hAnsiTheme="minorHAnsi" w:cstheme="minorHAnsi"/>
          <w:szCs w:val="24"/>
          <w:lang w:eastAsia="zh-CN"/>
        </w:rPr>
      </w:pPr>
      <w:r w:rsidRPr="00096D83">
        <w:rPr>
          <w:rFonts w:asciiTheme="minorHAnsi" w:hAnsiTheme="minorHAnsi" w:cstheme="minorHAnsi"/>
          <w:szCs w:val="24"/>
          <w:lang w:eastAsia="zh-CN"/>
        </w:rPr>
        <w:t>202</w:t>
      </w:r>
      <w:r w:rsidR="0069708D"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metų Savivaldybės biudžeto patikslintas asignavimų planas (su biudžeto lėšų likučiu 202</w:t>
      </w:r>
      <w:r w:rsidR="0069708D" w:rsidRPr="00096D83">
        <w:rPr>
          <w:rFonts w:asciiTheme="minorHAnsi" w:hAnsiTheme="minorHAnsi" w:cstheme="minorHAnsi"/>
          <w:szCs w:val="24"/>
          <w:lang w:eastAsia="zh-CN"/>
        </w:rPr>
        <w:t>4</w:t>
      </w:r>
      <w:r w:rsidRPr="00096D83">
        <w:rPr>
          <w:rFonts w:asciiTheme="minorHAnsi" w:hAnsiTheme="minorHAnsi" w:cstheme="minorHAnsi"/>
          <w:szCs w:val="24"/>
          <w:lang w:eastAsia="zh-CN"/>
        </w:rPr>
        <w:t xml:space="preserve"> m. gruodžio 31 d.) </w:t>
      </w:r>
      <w:r w:rsidR="0069708D" w:rsidRPr="00096D83">
        <w:rPr>
          <w:rFonts w:asciiTheme="minorHAnsi" w:hAnsiTheme="minorHAnsi" w:cstheme="minorHAnsi"/>
          <w:szCs w:val="24"/>
          <w:lang w:eastAsia="zh-CN"/>
        </w:rPr>
        <w:t>815 164,3</w:t>
      </w:r>
      <w:r w:rsidRPr="00096D83">
        <w:rPr>
          <w:rFonts w:asciiTheme="minorHAnsi" w:hAnsiTheme="minorHAnsi" w:cstheme="minorHAnsi"/>
          <w:szCs w:val="24"/>
          <w:lang w:eastAsia="zh-CN"/>
        </w:rPr>
        <w:t xml:space="preserve"> tūkst. eurų įvykdytas </w:t>
      </w:r>
      <w:r w:rsidR="0069708D" w:rsidRPr="00096D83">
        <w:rPr>
          <w:rFonts w:asciiTheme="minorHAnsi" w:hAnsiTheme="minorHAnsi" w:cstheme="minorHAnsi"/>
          <w:szCs w:val="24"/>
          <w:lang w:eastAsia="zh-CN"/>
        </w:rPr>
        <w:t>777 701,4</w:t>
      </w:r>
      <w:r w:rsidRPr="00096D83">
        <w:rPr>
          <w:rFonts w:asciiTheme="minorHAnsi" w:hAnsiTheme="minorHAnsi" w:cstheme="minorHAnsi"/>
          <w:szCs w:val="24"/>
          <w:lang w:eastAsia="zh-CN"/>
        </w:rPr>
        <w:t xml:space="preserve"> tūkst. eurų arba 9</w:t>
      </w:r>
      <w:r w:rsidR="0069708D" w:rsidRPr="00096D83">
        <w:rPr>
          <w:rFonts w:asciiTheme="minorHAnsi" w:hAnsiTheme="minorHAnsi" w:cstheme="minorHAnsi"/>
          <w:szCs w:val="24"/>
          <w:lang w:eastAsia="zh-CN"/>
        </w:rPr>
        <w:t>5,4</w:t>
      </w:r>
      <w:r w:rsidRPr="00096D83">
        <w:rPr>
          <w:rFonts w:asciiTheme="minorHAnsi" w:hAnsiTheme="minorHAnsi" w:cstheme="minorHAnsi"/>
          <w:szCs w:val="24"/>
          <w:lang w:eastAsia="zh-CN"/>
        </w:rPr>
        <w:t xml:space="preserve"> proc., </w:t>
      </w:r>
      <w:r w:rsidR="009D621F" w:rsidRPr="00096D83">
        <w:rPr>
          <w:rFonts w:asciiTheme="minorHAnsi" w:hAnsiTheme="minorHAnsi" w:cstheme="minorHAnsi"/>
          <w:szCs w:val="24"/>
          <w:lang w:eastAsia="zh-CN"/>
        </w:rPr>
        <w:br/>
      </w:r>
      <w:r w:rsidRPr="00096D83">
        <w:rPr>
          <w:rFonts w:asciiTheme="minorHAnsi" w:hAnsiTheme="minorHAnsi" w:cstheme="minorHAnsi"/>
          <w:szCs w:val="24"/>
          <w:lang w:eastAsia="zh-CN"/>
        </w:rPr>
        <w:t xml:space="preserve">t. y. liko nepanaudota </w:t>
      </w:r>
      <w:r w:rsidR="0069708D" w:rsidRPr="00096D83">
        <w:rPr>
          <w:rFonts w:asciiTheme="minorHAnsi" w:hAnsiTheme="minorHAnsi" w:cstheme="minorHAnsi"/>
          <w:szCs w:val="24"/>
          <w:lang w:eastAsia="zh-CN"/>
        </w:rPr>
        <w:t>37 462,9</w:t>
      </w:r>
      <w:r w:rsidRPr="00096D83">
        <w:rPr>
          <w:rFonts w:asciiTheme="minorHAnsi" w:hAnsiTheme="minorHAnsi" w:cstheme="minorHAnsi"/>
          <w:szCs w:val="24"/>
          <w:lang w:eastAsia="zh-CN"/>
        </w:rPr>
        <w:t xml:space="preserve"> tūkst. eurų. Finansinių įsipareigojimų vykdymo išlaidų (grąžintų paskolų) planas </w:t>
      </w:r>
      <w:r w:rsidR="0069708D" w:rsidRPr="00096D83">
        <w:rPr>
          <w:rFonts w:asciiTheme="minorHAnsi" w:hAnsiTheme="minorHAnsi" w:cstheme="minorHAnsi"/>
          <w:szCs w:val="24"/>
          <w:lang w:eastAsia="zh-CN"/>
        </w:rPr>
        <w:t>7 213</w:t>
      </w:r>
      <w:r w:rsidRPr="00096D83">
        <w:rPr>
          <w:rFonts w:asciiTheme="minorHAnsi" w:hAnsiTheme="minorHAnsi" w:cstheme="minorHAnsi"/>
          <w:szCs w:val="24"/>
          <w:lang w:eastAsia="zh-CN"/>
        </w:rPr>
        <w:t>,2 tūkst. eurų įvykdytas 100 proc.</w:t>
      </w:r>
    </w:p>
    <w:p w:rsidR="00F67E15" w:rsidRPr="00096D83" w:rsidRDefault="00F67E15" w:rsidP="00F67E15">
      <w:pPr>
        <w:suppressAutoHyphens/>
        <w:spacing w:line="360" w:lineRule="auto"/>
        <w:ind w:firstLine="851"/>
        <w:jc w:val="both"/>
        <w:rPr>
          <w:rFonts w:asciiTheme="minorHAnsi" w:hAnsiTheme="minorHAnsi" w:cstheme="minorHAnsi"/>
          <w:b/>
          <w:i/>
          <w:szCs w:val="24"/>
          <w:lang w:eastAsia="zh-CN"/>
        </w:rPr>
      </w:pPr>
      <w:r w:rsidRPr="00096D83">
        <w:rPr>
          <w:rFonts w:asciiTheme="minorHAnsi" w:hAnsiTheme="minorHAnsi" w:cstheme="minorHAnsi"/>
          <w:b/>
          <w:i/>
          <w:szCs w:val="24"/>
          <w:lang w:eastAsia="zh-CN"/>
        </w:rPr>
        <w:t>202</w:t>
      </w:r>
      <w:r w:rsidR="00320C2D" w:rsidRPr="00096D83">
        <w:rPr>
          <w:rFonts w:asciiTheme="minorHAnsi" w:hAnsiTheme="minorHAnsi" w:cstheme="minorHAnsi"/>
          <w:b/>
          <w:i/>
          <w:szCs w:val="24"/>
          <w:lang w:eastAsia="zh-CN"/>
        </w:rPr>
        <w:t>5</w:t>
      </w:r>
      <w:r w:rsidRPr="00096D83">
        <w:rPr>
          <w:rFonts w:asciiTheme="minorHAnsi" w:hAnsiTheme="minorHAnsi" w:cstheme="minorHAnsi"/>
          <w:b/>
          <w:i/>
          <w:szCs w:val="24"/>
          <w:lang w:eastAsia="zh-CN"/>
        </w:rPr>
        <w:t xml:space="preserve"> m. Savivaldybės biudžeto išlaidos pagal valstybės funkcijas (tūkst. eurų)</w:t>
      </w:r>
    </w:p>
    <w:tbl>
      <w:tblPr>
        <w:tblW w:w="9526" w:type="dxa"/>
        <w:tblInd w:w="108" w:type="dxa"/>
        <w:tblLayout w:type="fixed"/>
        <w:tblLook w:val="0000" w:firstRow="0" w:lastRow="0" w:firstColumn="0" w:lastColumn="0" w:noHBand="0" w:noVBand="0"/>
      </w:tblPr>
      <w:tblGrid>
        <w:gridCol w:w="3856"/>
        <w:gridCol w:w="1701"/>
        <w:gridCol w:w="1418"/>
        <w:gridCol w:w="1276"/>
        <w:gridCol w:w="1275"/>
      </w:tblGrid>
      <w:tr w:rsidR="00F67E15" w:rsidRPr="00096D83" w:rsidTr="008E0005">
        <w:trPr>
          <w:trHeight w:val="334"/>
        </w:trPr>
        <w:tc>
          <w:tcPr>
            <w:tcW w:w="3856" w:type="dxa"/>
            <w:tcBorders>
              <w:top w:val="single" w:sz="4" w:space="0" w:color="000000"/>
              <w:left w:val="single" w:sz="4" w:space="0" w:color="000000"/>
              <w:bottom w:val="single" w:sz="4" w:space="0" w:color="auto"/>
            </w:tcBorders>
            <w:vAlign w:val="center"/>
          </w:tcPr>
          <w:p w:rsidR="00F67E15" w:rsidRPr="00096D83" w:rsidRDefault="00F67E15" w:rsidP="008E0005">
            <w:pPr>
              <w:keepNext/>
              <w:snapToGrid w:val="0"/>
              <w:spacing w:line="276" w:lineRule="auto"/>
              <w:ind w:left="1008"/>
              <w:outlineLvl w:val="4"/>
              <w:rPr>
                <w:rFonts w:asciiTheme="minorHAnsi" w:hAnsiTheme="minorHAnsi" w:cstheme="minorHAnsi"/>
                <w:b/>
                <w:bCs/>
                <w:szCs w:val="24"/>
                <w:lang w:eastAsia="ar-SA"/>
              </w:rPr>
            </w:pPr>
            <w:r w:rsidRPr="00096D83">
              <w:rPr>
                <w:rFonts w:asciiTheme="minorHAnsi" w:hAnsiTheme="minorHAnsi" w:cstheme="minorHAnsi"/>
                <w:b/>
                <w:bCs/>
                <w:szCs w:val="24"/>
                <w:lang w:eastAsia="ar-SA"/>
              </w:rPr>
              <w:t xml:space="preserve">Valstybės funkcija </w:t>
            </w:r>
          </w:p>
        </w:tc>
        <w:tc>
          <w:tcPr>
            <w:tcW w:w="1701" w:type="dxa"/>
            <w:tcBorders>
              <w:top w:val="single" w:sz="4" w:space="0" w:color="000000"/>
              <w:left w:val="single" w:sz="4" w:space="0" w:color="000000"/>
              <w:bottom w:val="single" w:sz="4" w:space="0" w:color="auto"/>
            </w:tcBorders>
            <w:vAlign w:val="center"/>
          </w:tcPr>
          <w:p w:rsidR="00F67E15" w:rsidRPr="00096D83" w:rsidRDefault="00F67E15" w:rsidP="008E0005">
            <w:pPr>
              <w:snapToGrid w:val="0"/>
              <w:spacing w:line="276" w:lineRule="auto"/>
              <w:jc w:val="center"/>
              <w:rPr>
                <w:rFonts w:asciiTheme="minorHAnsi" w:hAnsiTheme="minorHAnsi" w:cstheme="minorHAnsi"/>
                <w:b/>
                <w:bCs/>
                <w:szCs w:val="24"/>
                <w:lang w:eastAsia="ar-SA"/>
              </w:rPr>
            </w:pPr>
            <w:r w:rsidRPr="00096D83">
              <w:rPr>
                <w:rFonts w:asciiTheme="minorHAnsi" w:hAnsiTheme="minorHAnsi" w:cstheme="minorHAnsi"/>
                <w:b/>
                <w:bCs/>
                <w:szCs w:val="24"/>
                <w:lang w:eastAsia="ar-SA"/>
              </w:rPr>
              <w:t>Patikslintas ataskaitinio laikotarpio išlaidų planas</w:t>
            </w:r>
          </w:p>
        </w:tc>
        <w:tc>
          <w:tcPr>
            <w:tcW w:w="1418" w:type="dxa"/>
            <w:tcBorders>
              <w:top w:val="single" w:sz="4" w:space="0" w:color="000000"/>
              <w:left w:val="single" w:sz="4" w:space="0" w:color="000000"/>
              <w:bottom w:val="single" w:sz="4" w:space="0" w:color="auto"/>
            </w:tcBorders>
            <w:vAlign w:val="center"/>
          </w:tcPr>
          <w:p w:rsidR="00F67E15" w:rsidRPr="00096D83" w:rsidRDefault="00F67E15" w:rsidP="008E0005">
            <w:pPr>
              <w:snapToGrid w:val="0"/>
              <w:spacing w:line="276" w:lineRule="auto"/>
              <w:jc w:val="center"/>
              <w:rPr>
                <w:rFonts w:asciiTheme="minorHAnsi" w:hAnsiTheme="minorHAnsi" w:cstheme="minorHAnsi"/>
                <w:b/>
                <w:bCs/>
                <w:szCs w:val="24"/>
                <w:lang w:eastAsia="ar-SA"/>
              </w:rPr>
            </w:pPr>
            <w:r w:rsidRPr="00096D83">
              <w:rPr>
                <w:rFonts w:asciiTheme="minorHAnsi" w:hAnsiTheme="minorHAnsi" w:cstheme="minorHAnsi"/>
                <w:b/>
                <w:bCs/>
                <w:szCs w:val="24"/>
                <w:lang w:eastAsia="ar-SA"/>
              </w:rPr>
              <w:t>Vykdymas</w:t>
            </w:r>
          </w:p>
        </w:tc>
        <w:tc>
          <w:tcPr>
            <w:tcW w:w="1276" w:type="dxa"/>
            <w:tcBorders>
              <w:top w:val="single" w:sz="4" w:space="0" w:color="000000"/>
              <w:left w:val="single" w:sz="4" w:space="0" w:color="000000"/>
              <w:bottom w:val="single" w:sz="4" w:space="0" w:color="auto"/>
            </w:tcBorders>
            <w:vAlign w:val="center"/>
          </w:tcPr>
          <w:p w:rsidR="00F67E15" w:rsidRPr="00096D83" w:rsidRDefault="00F67E15" w:rsidP="008E0005">
            <w:pPr>
              <w:snapToGrid w:val="0"/>
              <w:spacing w:line="276" w:lineRule="auto"/>
              <w:jc w:val="center"/>
              <w:rPr>
                <w:rFonts w:asciiTheme="minorHAnsi" w:hAnsiTheme="minorHAnsi" w:cstheme="minorHAnsi"/>
                <w:b/>
                <w:bCs/>
                <w:szCs w:val="24"/>
                <w:lang w:eastAsia="ar-SA"/>
              </w:rPr>
            </w:pPr>
            <w:r w:rsidRPr="00096D83">
              <w:rPr>
                <w:rFonts w:asciiTheme="minorHAnsi" w:hAnsiTheme="minorHAnsi" w:cstheme="minorHAnsi"/>
                <w:b/>
                <w:bCs/>
                <w:szCs w:val="24"/>
                <w:lang w:eastAsia="ar-SA"/>
              </w:rPr>
              <w:t>Skirtumas</w:t>
            </w:r>
          </w:p>
        </w:tc>
        <w:tc>
          <w:tcPr>
            <w:tcW w:w="1275" w:type="dxa"/>
            <w:tcBorders>
              <w:top w:val="single" w:sz="4" w:space="0" w:color="000000"/>
              <w:left w:val="single" w:sz="4" w:space="0" w:color="000000"/>
              <w:bottom w:val="single" w:sz="4" w:space="0" w:color="auto"/>
              <w:right w:val="single" w:sz="4" w:space="0" w:color="000000"/>
            </w:tcBorders>
            <w:vAlign w:val="center"/>
          </w:tcPr>
          <w:p w:rsidR="00F67E15" w:rsidRPr="00096D83" w:rsidRDefault="00F67E15" w:rsidP="008E0005">
            <w:pPr>
              <w:snapToGrid w:val="0"/>
              <w:spacing w:line="276" w:lineRule="auto"/>
              <w:jc w:val="center"/>
              <w:rPr>
                <w:rFonts w:asciiTheme="minorHAnsi" w:hAnsiTheme="minorHAnsi" w:cstheme="minorHAnsi"/>
                <w:b/>
                <w:bCs/>
                <w:szCs w:val="24"/>
                <w:lang w:eastAsia="ar-SA"/>
              </w:rPr>
            </w:pPr>
            <w:r w:rsidRPr="00096D83">
              <w:rPr>
                <w:rFonts w:asciiTheme="minorHAnsi" w:hAnsiTheme="minorHAnsi" w:cstheme="minorHAnsi"/>
                <w:b/>
                <w:bCs/>
                <w:szCs w:val="24"/>
                <w:lang w:eastAsia="ar-SA"/>
              </w:rPr>
              <w:t>Įvykdymo proc.</w:t>
            </w:r>
          </w:p>
        </w:tc>
      </w:tr>
      <w:tr w:rsidR="00F67E15" w:rsidRPr="00096D83" w:rsidTr="008E0005">
        <w:tc>
          <w:tcPr>
            <w:tcW w:w="3856" w:type="dxa"/>
            <w:tcBorders>
              <w:top w:val="single" w:sz="4" w:space="0" w:color="auto"/>
              <w:left w:val="single" w:sz="4" w:space="0" w:color="auto"/>
              <w:bottom w:val="single" w:sz="4" w:space="0" w:color="auto"/>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01. Bendros valstybės paslaugos</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F67E15" w:rsidP="008E0005">
            <w:pPr>
              <w:spacing w:before="10" w:after="10"/>
              <w:jc w:val="right"/>
              <w:rPr>
                <w:rFonts w:asciiTheme="minorHAnsi" w:hAnsiTheme="minorHAnsi" w:cstheme="minorHAnsi"/>
                <w:szCs w:val="24"/>
              </w:rPr>
            </w:pPr>
            <w:r w:rsidRPr="00096D83">
              <w:rPr>
                <w:rFonts w:asciiTheme="minorHAnsi" w:hAnsiTheme="minorHAnsi" w:cstheme="minorHAnsi"/>
                <w:szCs w:val="24"/>
              </w:rPr>
              <w:t>4</w:t>
            </w:r>
            <w:r w:rsidR="002E3FAB" w:rsidRPr="00096D83">
              <w:rPr>
                <w:rFonts w:asciiTheme="minorHAnsi" w:hAnsiTheme="minorHAnsi" w:cstheme="minorHAnsi"/>
                <w:szCs w:val="24"/>
              </w:rPr>
              <w:t>8 640,4</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4</w:t>
            </w:r>
            <w:r w:rsidR="002E3FAB" w:rsidRPr="00096D83">
              <w:rPr>
                <w:rFonts w:asciiTheme="minorHAnsi" w:hAnsiTheme="minorHAnsi" w:cstheme="minorHAnsi"/>
                <w:szCs w:val="24"/>
                <w:lang w:val="en-US" w:eastAsia="ar-SA"/>
              </w:rPr>
              <w:t>5 252,9</w:t>
            </w:r>
          </w:p>
        </w:tc>
        <w:tc>
          <w:tcPr>
            <w:tcW w:w="1276" w:type="dxa"/>
            <w:tcBorders>
              <w:top w:val="single" w:sz="4" w:space="0" w:color="auto"/>
              <w:left w:val="single" w:sz="4" w:space="0" w:color="auto"/>
              <w:bottom w:val="single" w:sz="4" w:space="0" w:color="auto"/>
              <w:right w:val="single" w:sz="4" w:space="0" w:color="auto"/>
            </w:tcBorders>
            <w:vAlign w:val="bottom"/>
          </w:tcPr>
          <w:p w:rsidR="00F67E15" w:rsidRPr="00096D83" w:rsidRDefault="002E3FAB"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3 387,5</w:t>
            </w:r>
          </w:p>
        </w:tc>
        <w:tc>
          <w:tcPr>
            <w:tcW w:w="1275" w:type="dxa"/>
            <w:tcBorders>
              <w:top w:val="single" w:sz="4" w:space="0" w:color="auto"/>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93,</w:t>
            </w:r>
            <w:r w:rsidR="002E3FAB" w:rsidRPr="00096D83">
              <w:rPr>
                <w:rFonts w:asciiTheme="minorHAnsi" w:hAnsiTheme="minorHAnsi" w:cstheme="minorHAnsi"/>
                <w:color w:val="000000"/>
                <w:szCs w:val="24"/>
              </w:rPr>
              <w:t>0</w:t>
            </w:r>
          </w:p>
        </w:tc>
      </w:tr>
      <w:tr w:rsidR="00F67E15" w:rsidRPr="00096D83" w:rsidTr="008E0005">
        <w:tc>
          <w:tcPr>
            <w:tcW w:w="3856" w:type="dxa"/>
            <w:tcBorders>
              <w:top w:val="single" w:sz="4" w:space="0" w:color="auto"/>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02. Gynyba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w:t>
            </w:r>
            <w:r w:rsidR="00125979" w:rsidRPr="00096D83">
              <w:rPr>
                <w:rFonts w:asciiTheme="minorHAnsi" w:hAnsiTheme="minorHAnsi" w:cstheme="minorHAnsi"/>
                <w:szCs w:val="24"/>
                <w:lang w:val="en-US" w:eastAsia="ar-SA"/>
              </w:rPr>
              <w:t>93,3</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w:t>
            </w:r>
            <w:r w:rsidR="00125979" w:rsidRPr="00096D83">
              <w:rPr>
                <w:rFonts w:asciiTheme="minorHAnsi" w:hAnsiTheme="minorHAnsi" w:cstheme="minorHAnsi"/>
                <w:szCs w:val="24"/>
                <w:lang w:val="en-US" w:eastAsia="ar-SA"/>
              </w:rPr>
              <w:t>92,4</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125979"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0,9</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FC41D1" w:rsidRPr="00096D83">
              <w:rPr>
                <w:rFonts w:asciiTheme="minorHAnsi" w:hAnsiTheme="minorHAnsi" w:cstheme="minorHAnsi"/>
                <w:color w:val="000000"/>
                <w:szCs w:val="24"/>
              </w:rPr>
              <w:t>9</w:t>
            </w:r>
            <w:r w:rsidRPr="00096D83">
              <w:rPr>
                <w:rFonts w:asciiTheme="minorHAnsi" w:hAnsiTheme="minorHAnsi" w:cstheme="minorHAnsi"/>
                <w:color w:val="000000"/>
                <w:szCs w:val="24"/>
              </w:rPr>
              <w:t>,</w:t>
            </w:r>
            <w:r w:rsidR="00FC41D1" w:rsidRPr="00096D83">
              <w:rPr>
                <w:rFonts w:asciiTheme="minorHAnsi" w:hAnsiTheme="minorHAnsi" w:cstheme="minorHAnsi"/>
                <w:color w:val="000000"/>
                <w:szCs w:val="24"/>
              </w:rPr>
              <w:t>5</w:t>
            </w:r>
          </w:p>
        </w:tc>
      </w:tr>
      <w:tr w:rsidR="00F67E15" w:rsidRPr="00096D83" w:rsidTr="00E46A51">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03. Viešoji tvarka ir visuomenės apsauga</w:t>
            </w:r>
          </w:p>
        </w:tc>
        <w:tc>
          <w:tcPr>
            <w:tcW w:w="1701" w:type="dxa"/>
            <w:tcBorders>
              <w:top w:val="single" w:sz="4" w:space="0" w:color="000000"/>
              <w:left w:val="single" w:sz="4" w:space="0" w:color="000000"/>
              <w:bottom w:val="single" w:sz="4" w:space="0" w:color="000000"/>
              <w:right w:val="single" w:sz="4" w:space="0" w:color="000000"/>
            </w:tcBorders>
            <w:vAlign w:val="center"/>
          </w:tcPr>
          <w:p w:rsidR="00F67E15" w:rsidRPr="00096D83" w:rsidRDefault="00F708EA" w:rsidP="00E46A51">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 xml:space="preserve">                111,5</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708EA" w:rsidP="00E46A51">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 xml:space="preserve">          106,2</w:t>
            </w:r>
          </w:p>
        </w:tc>
        <w:tc>
          <w:tcPr>
            <w:tcW w:w="1276" w:type="dxa"/>
            <w:tcBorders>
              <w:top w:val="nil"/>
              <w:left w:val="single" w:sz="4" w:space="0" w:color="auto"/>
              <w:bottom w:val="single" w:sz="4" w:space="0" w:color="auto"/>
              <w:right w:val="single" w:sz="4" w:space="0" w:color="auto"/>
            </w:tcBorders>
            <w:vAlign w:val="center"/>
          </w:tcPr>
          <w:p w:rsidR="00F67E15" w:rsidRPr="00096D83" w:rsidRDefault="00F708EA" w:rsidP="00E46A51">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 xml:space="preserve">           </w:t>
            </w:r>
            <w:r w:rsidR="00FC41D1" w:rsidRPr="00096D83">
              <w:rPr>
                <w:rFonts w:asciiTheme="minorHAnsi" w:hAnsiTheme="minorHAnsi" w:cstheme="minorHAnsi"/>
                <w:color w:val="000000"/>
                <w:szCs w:val="24"/>
              </w:rPr>
              <w:t>5,3</w:t>
            </w:r>
          </w:p>
        </w:tc>
        <w:tc>
          <w:tcPr>
            <w:tcW w:w="1275" w:type="dxa"/>
            <w:tcBorders>
              <w:top w:val="nil"/>
              <w:left w:val="nil"/>
              <w:bottom w:val="single" w:sz="4" w:space="0" w:color="auto"/>
              <w:right w:val="single" w:sz="4" w:space="0" w:color="auto"/>
            </w:tcBorders>
            <w:vAlign w:val="center"/>
          </w:tcPr>
          <w:p w:rsidR="00F67E15" w:rsidRPr="00096D83" w:rsidRDefault="00F708EA" w:rsidP="00E46A51">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 xml:space="preserve">          95,2</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04. Ekonomika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F708EA"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154 114,4</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708EA" w:rsidP="008E0005">
            <w:pPr>
              <w:tabs>
                <w:tab w:val="left" w:pos="457"/>
              </w:tabs>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146 308,7</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FC41D1" w:rsidP="00FC41D1">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7 805,7</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F708EA" w:rsidRPr="00096D83">
              <w:rPr>
                <w:rFonts w:asciiTheme="minorHAnsi" w:hAnsiTheme="minorHAnsi" w:cstheme="minorHAnsi"/>
                <w:color w:val="000000"/>
                <w:szCs w:val="24"/>
              </w:rPr>
              <w:t>4,9</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05. Aplinkos apsauga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C01878"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11 194,1</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C01878"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10 589,7</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C01878"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604,4</w:t>
            </w:r>
          </w:p>
        </w:tc>
        <w:tc>
          <w:tcPr>
            <w:tcW w:w="1275" w:type="dxa"/>
            <w:tcBorders>
              <w:top w:val="nil"/>
              <w:left w:val="nil"/>
              <w:bottom w:val="single" w:sz="4" w:space="0" w:color="auto"/>
              <w:right w:val="single" w:sz="4" w:space="0" w:color="auto"/>
            </w:tcBorders>
            <w:vAlign w:val="bottom"/>
          </w:tcPr>
          <w:p w:rsidR="00F67E15" w:rsidRPr="00096D83" w:rsidRDefault="00C01878"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94,6</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06. Būstas ir komunalinis ūkis</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3</w:t>
            </w:r>
            <w:r w:rsidR="00125979" w:rsidRPr="00096D83">
              <w:rPr>
                <w:rFonts w:asciiTheme="minorHAnsi" w:hAnsiTheme="minorHAnsi" w:cstheme="minorHAnsi"/>
                <w:szCs w:val="24"/>
                <w:lang w:val="en-US" w:eastAsia="ar-SA"/>
              </w:rPr>
              <w:t>3 505,1</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3</w:t>
            </w:r>
            <w:r w:rsidR="00125979" w:rsidRPr="00096D83">
              <w:rPr>
                <w:rFonts w:asciiTheme="minorHAnsi" w:hAnsiTheme="minorHAnsi" w:cstheme="minorHAnsi"/>
                <w:szCs w:val="24"/>
                <w:lang w:val="en-US" w:eastAsia="ar-SA"/>
              </w:rPr>
              <w:t>1 144,3</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125979"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2 360,8</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125979" w:rsidRPr="00096D83">
              <w:rPr>
                <w:rFonts w:asciiTheme="minorHAnsi" w:hAnsiTheme="minorHAnsi" w:cstheme="minorHAnsi"/>
                <w:color w:val="000000"/>
                <w:szCs w:val="24"/>
              </w:rPr>
              <w:t>3,0</w:t>
            </w:r>
          </w:p>
        </w:tc>
      </w:tr>
      <w:tr w:rsidR="00F67E15" w:rsidRPr="00096D83" w:rsidTr="008E0005">
        <w:tc>
          <w:tcPr>
            <w:tcW w:w="3856" w:type="dxa"/>
            <w:tcBorders>
              <w:top w:val="single" w:sz="4" w:space="0" w:color="000000"/>
              <w:left w:val="single" w:sz="4" w:space="0" w:color="000000"/>
              <w:bottom w:val="single" w:sz="4" w:space="0" w:color="000000"/>
              <w:right w:val="single" w:sz="4" w:space="0" w:color="auto"/>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07. Sveikatos apsauga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14 665,</w:t>
            </w:r>
            <w:r w:rsidR="00FC41D1" w:rsidRPr="00096D83">
              <w:rPr>
                <w:rFonts w:asciiTheme="minorHAnsi" w:hAnsiTheme="minorHAnsi" w:cstheme="minorHAnsi"/>
                <w:szCs w:val="24"/>
                <w:lang w:val="en-US" w:eastAsia="ar-SA"/>
              </w:rPr>
              <w:t>3</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14</w:t>
            </w:r>
            <w:r w:rsidR="00FC41D1" w:rsidRPr="00096D83">
              <w:rPr>
                <w:rFonts w:asciiTheme="minorHAnsi" w:hAnsiTheme="minorHAnsi" w:cstheme="minorHAnsi"/>
                <w:szCs w:val="24"/>
                <w:lang w:val="en-US" w:eastAsia="ar-SA"/>
              </w:rPr>
              <w:t xml:space="preserve"> </w:t>
            </w:r>
            <w:r w:rsidRPr="00096D83">
              <w:rPr>
                <w:rFonts w:asciiTheme="minorHAnsi" w:hAnsiTheme="minorHAnsi" w:cstheme="minorHAnsi"/>
                <w:szCs w:val="24"/>
                <w:lang w:val="en-US" w:eastAsia="ar-SA"/>
              </w:rPr>
              <w:t>204,1</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7A1A83"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461,</w:t>
            </w:r>
            <w:r w:rsidR="00FC41D1" w:rsidRPr="00096D83">
              <w:rPr>
                <w:rFonts w:asciiTheme="minorHAnsi" w:hAnsiTheme="minorHAnsi" w:cstheme="minorHAnsi"/>
                <w:color w:val="000000"/>
                <w:szCs w:val="24"/>
              </w:rPr>
              <w:t>2</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7A1A83" w:rsidRPr="00096D83">
              <w:rPr>
                <w:rFonts w:asciiTheme="minorHAnsi" w:hAnsiTheme="minorHAnsi" w:cstheme="minorHAnsi"/>
                <w:color w:val="000000"/>
                <w:szCs w:val="24"/>
              </w:rPr>
              <w:t>6,9</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08. Poilsis, kultūra ir religija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75 502,0</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64 162,0</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7A1A83"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11 340,0</w:t>
            </w:r>
          </w:p>
        </w:tc>
        <w:tc>
          <w:tcPr>
            <w:tcW w:w="1275" w:type="dxa"/>
            <w:tcBorders>
              <w:top w:val="nil"/>
              <w:left w:val="nil"/>
              <w:bottom w:val="single" w:sz="4" w:space="0" w:color="auto"/>
              <w:right w:val="single" w:sz="4" w:space="0" w:color="auto"/>
            </w:tcBorders>
            <w:vAlign w:val="bottom"/>
          </w:tcPr>
          <w:p w:rsidR="00F67E15" w:rsidRPr="00096D83" w:rsidRDefault="007A1A83"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85,0</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09. Švietimas</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3</w:t>
            </w:r>
            <w:r w:rsidR="00161803" w:rsidRPr="00096D83">
              <w:rPr>
                <w:rFonts w:asciiTheme="minorHAnsi" w:hAnsiTheme="minorHAnsi" w:cstheme="minorHAnsi"/>
                <w:szCs w:val="24"/>
                <w:lang w:val="en-US" w:eastAsia="ar-SA"/>
              </w:rPr>
              <w:t>73 756,2</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F67E15"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3</w:t>
            </w:r>
            <w:r w:rsidR="00161803" w:rsidRPr="00096D83">
              <w:rPr>
                <w:rFonts w:asciiTheme="minorHAnsi" w:hAnsiTheme="minorHAnsi" w:cstheme="minorHAnsi"/>
                <w:szCs w:val="24"/>
                <w:lang w:val="en-US" w:eastAsia="ar-SA"/>
              </w:rPr>
              <w:t>64 497,1</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161803" w:rsidRPr="00096D83">
              <w:rPr>
                <w:rFonts w:asciiTheme="minorHAnsi" w:hAnsiTheme="minorHAnsi" w:cstheme="minorHAnsi"/>
                <w:color w:val="000000"/>
                <w:szCs w:val="24"/>
              </w:rPr>
              <w:t> 259,1</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97,</w:t>
            </w:r>
            <w:r w:rsidR="00161803" w:rsidRPr="00096D83">
              <w:rPr>
                <w:rFonts w:asciiTheme="minorHAnsi" w:hAnsiTheme="minorHAnsi" w:cstheme="minorHAnsi"/>
                <w:color w:val="000000"/>
                <w:szCs w:val="24"/>
              </w:rPr>
              <w:t>5</w:t>
            </w:r>
          </w:p>
        </w:tc>
      </w:tr>
      <w:tr w:rsidR="00F67E15" w:rsidRPr="00096D83" w:rsidTr="008E0005">
        <w:tc>
          <w:tcPr>
            <w:tcW w:w="3856" w:type="dxa"/>
            <w:tcBorders>
              <w:top w:val="single" w:sz="4" w:space="0" w:color="000000"/>
              <w:left w:val="single" w:sz="4" w:space="0" w:color="000000"/>
              <w:bottom w:val="single" w:sz="4" w:space="0" w:color="000000"/>
            </w:tcBorders>
            <w:shd w:val="clear" w:color="auto" w:fill="FFFFFF"/>
          </w:tcPr>
          <w:p w:rsidR="00F67E15" w:rsidRPr="00096D83" w:rsidRDefault="00F67E15" w:rsidP="008E0005">
            <w:pPr>
              <w:snapToGrid w:val="0"/>
              <w:spacing w:before="10" w:after="10"/>
              <w:rPr>
                <w:rFonts w:asciiTheme="minorHAnsi" w:hAnsiTheme="minorHAnsi" w:cstheme="minorHAnsi"/>
                <w:szCs w:val="24"/>
                <w:lang w:eastAsia="ar-SA"/>
              </w:rPr>
            </w:pPr>
            <w:r w:rsidRPr="00096D83">
              <w:rPr>
                <w:rFonts w:asciiTheme="minorHAnsi" w:hAnsiTheme="minorHAnsi" w:cstheme="minorHAnsi"/>
                <w:szCs w:val="24"/>
                <w:lang w:eastAsia="ar-SA"/>
              </w:rPr>
              <w:t>10. Socialinė apsauga</w:t>
            </w:r>
          </w:p>
        </w:tc>
        <w:tc>
          <w:tcPr>
            <w:tcW w:w="1701" w:type="dxa"/>
            <w:tcBorders>
              <w:top w:val="single" w:sz="4" w:space="0" w:color="000000"/>
              <w:left w:val="single" w:sz="4" w:space="0" w:color="000000"/>
              <w:bottom w:val="single" w:sz="4" w:space="0" w:color="000000"/>
              <w:right w:val="single" w:sz="4" w:space="0" w:color="000000"/>
            </w:tcBorders>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103</w:t>
            </w:r>
            <w:r w:rsidR="00FC41D1" w:rsidRPr="00096D83">
              <w:rPr>
                <w:rFonts w:asciiTheme="minorHAnsi" w:hAnsiTheme="minorHAnsi" w:cstheme="minorHAnsi"/>
                <w:szCs w:val="24"/>
                <w:lang w:val="en-US" w:eastAsia="ar-SA"/>
              </w:rPr>
              <w:t> </w:t>
            </w:r>
            <w:r w:rsidRPr="00096D83">
              <w:rPr>
                <w:rFonts w:asciiTheme="minorHAnsi" w:hAnsiTheme="minorHAnsi" w:cstheme="minorHAnsi"/>
                <w:szCs w:val="24"/>
                <w:lang w:val="en-US" w:eastAsia="ar-SA"/>
              </w:rPr>
              <w:t>48</w:t>
            </w:r>
            <w:r w:rsidR="00FC41D1" w:rsidRPr="00096D83">
              <w:rPr>
                <w:rFonts w:asciiTheme="minorHAnsi" w:hAnsiTheme="minorHAnsi" w:cstheme="minorHAnsi"/>
                <w:szCs w:val="24"/>
                <w:lang w:val="en-US" w:eastAsia="ar-SA"/>
              </w:rPr>
              <w:t>2,0</w:t>
            </w:r>
          </w:p>
        </w:tc>
        <w:tc>
          <w:tcPr>
            <w:tcW w:w="1418" w:type="dxa"/>
            <w:tcBorders>
              <w:top w:val="single" w:sz="4" w:space="0" w:color="000000"/>
              <w:left w:val="nil"/>
              <w:bottom w:val="single" w:sz="4" w:space="0" w:color="000000"/>
              <w:right w:val="single" w:sz="4" w:space="0" w:color="000000"/>
            </w:tcBorders>
            <w:vAlign w:val="center"/>
          </w:tcPr>
          <w:p w:rsidR="00F67E15" w:rsidRPr="00096D83" w:rsidRDefault="007A1A83" w:rsidP="008E0005">
            <w:pPr>
              <w:spacing w:before="10" w:after="10"/>
              <w:jc w:val="right"/>
              <w:rPr>
                <w:rFonts w:asciiTheme="minorHAnsi" w:hAnsiTheme="minorHAnsi" w:cstheme="minorHAnsi"/>
                <w:szCs w:val="24"/>
                <w:lang w:val="en-US" w:eastAsia="ar-SA"/>
              </w:rPr>
            </w:pPr>
            <w:r w:rsidRPr="00096D83">
              <w:rPr>
                <w:rFonts w:asciiTheme="minorHAnsi" w:hAnsiTheme="minorHAnsi" w:cstheme="minorHAnsi"/>
                <w:szCs w:val="24"/>
                <w:lang w:val="en-US" w:eastAsia="ar-SA"/>
              </w:rPr>
              <w:t>101 244,0</w:t>
            </w:r>
          </w:p>
        </w:tc>
        <w:tc>
          <w:tcPr>
            <w:tcW w:w="1276" w:type="dxa"/>
            <w:tcBorders>
              <w:top w:val="nil"/>
              <w:left w:val="single" w:sz="4" w:space="0" w:color="auto"/>
              <w:bottom w:val="single" w:sz="4" w:space="0" w:color="auto"/>
              <w:right w:val="single" w:sz="4" w:space="0" w:color="auto"/>
            </w:tcBorders>
            <w:vAlign w:val="bottom"/>
          </w:tcPr>
          <w:p w:rsidR="00F67E15" w:rsidRPr="00096D83" w:rsidRDefault="007A1A83"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2 238,0</w:t>
            </w:r>
          </w:p>
        </w:tc>
        <w:tc>
          <w:tcPr>
            <w:tcW w:w="1275" w:type="dxa"/>
            <w:tcBorders>
              <w:top w:val="nil"/>
              <w:left w:val="nil"/>
              <w:bottom w:val="single" w:sz="4" w:space="0" w:color="auto"/>
              <w:right w:val="single" w:sz="4" w:space="0" w:color="auto"/>
            </w:tcBorders>
            <w:vAlign w:val="bottom"/>
          </w:tcPr>
          <w:p w:rsidR="00F67E15" w:rsidRPr="00096D83" w:rsidRDefault="00F67E15" w:rsidP="008E0005">
            <w:pPr>
              <w:spacing w:before="10" w:after="10"/>
              <w:jc w:val="right"/>
              <w:rPr>
                <w:rFonts w:asciiTheme="minorHAnsi" w:hAnsiTheme="minorHAnsi" w:cstheme="minorHAnsi"/>
                <w:color w:val="000000"/>
                <w:szCs w:val="24"/>
              </w:rPr>
            </w:pPr>
            <w:r w:rsidRPr="00096D83">
              <w:rPr>
                <w:rFonts w:asciiTheme="minorHAnsi" w:hAnsiTheme="minorHAnsi" w:cstheme="minorHAnsi"/>
                <w:color w:val="000000"/>
                <w:szCs w:val="24"/>
              </w:rPr>
              <w:t>9</w:t>
            </w:r>
            <w:r w:rsidR="007A1A83" w:rsidRPr="00096D83">
              <w:rPr>
                <w:rFonts w:asciiTheme="minorHAnsi" w:hAnsiTheme="minorHAnsi" w:cstheme="minorHAnsi"/>
                <w:color w:val="000000"/>
                <w:szCs w:val="24"/>
              </w:rPr>
              <w:t>7,8</w:t>
            </w:r>
          </w:p>
        </w:tc>
      </w:tr>
      <w:tr w:rsidR="00F67E15" w:rsidRPr="00096D83" w:rsidTr="008E0005">
        <w:trPr>
          <w:trHeight w:val="284"/>
        </w:trPr>
        <w:tc>
          <w:tcPr>
            <w:tcW w:w="3856" w:type="dxa"/>
            <w:tcBorders>
              <w:left w:val="single" w:sz="4" w:space="0" w:color="000000"/>
              <w:bottom w:val="single" w:sz="4" w:space="0" w:color="000000"/>
            </w:tcBorders>
            <w:shd w:val="clear" w:color="auto" w:fill="F2F2F2"/>
          </w:tcPr>
          <w:p w:rsidR="00F67E15" w:rsidRPr="00096D83" w:rsidRDefault="00F67E15" w:rsidP="008E0005">
            <w:pPr>
              <w:snapToGrid w:val="0"/>
              <w:spacing w:before="10" w:after="10"/>
              <w:jc w:val="center"/>
              <w:rPr>
                <w:rFonts w:asciiTheme="minorHAnsi" w:hAnsiTheme="minorHAnsi" w:cstheme="minorHAnsi"/>
                <w:b/>
                <w:bCs/>
                <w:szCs w:val="24"/>
                <w:lang w:eastAsia="ar-SA"/>
              </w:rPr>
            </w:pPr>
            <w:r w:rsidRPr="00096D83">
              <w:rPr>
                <w:rFonts w:asciiTheme="minorHAnsi" w:hAnsiTheme="minorHAnsi" w:cstheme="minorHAnsi"/>
                <w:b/>
                <w:bCs/>
                <w:szCs w:val="24"/>
                <w:lang w:eastAsia="ar-SA"/>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rsidR="00F67E15" w:rsidRPr="00096D83" w:rsidRDefault="007A1A83" w:rsidP="008E0005">
            <w:pPr>
              <w:spacing w:before="10" w:after="10"/>
              <w:jc w:val="right"/>
              <w:rPr>
                <w:rFonts w:asciiTheme="minorHAnsi" w:hAnsiTheme="minorHAnsi" w:cstheme="minorHAnsi"/>
                <w:b/>
                <w:bCs/>
                <w:szCs w:val="24"/>
                <w:lang w:val="en-US" w:eastAsia="ar-SA"/>
              </w:rPr>
            </w:pPr>
            <w:r w:rsidRPr="00096D83">
              <w:rPr>
                <w:rFonts w:asciiTheme="minorHAnsi" w:hAnsiTheme="minorHAnsi" w:cstheme="minorHAnsi"/>
                <w:b/>
                <w:bCs/>
                <w:szCs w:val="24"/>
                <w:lang w:val="en-US" w:eastAsia="ar-SA"/>
              </w:rPr>
              <w:t>815 164,3</w:t>
            </w:r>
          </w:p>
        </w:tc>
        <w:tc>
          <w:tcPr>
            <w:tcW w:w="1418" w:type="dxa"/>
            <w:tcBorders>
              <w:top w:val="single" w:sz="4" w:space="0" w:color="000000"/>
              <w:left w:val="nil"/>
              <w:bottom w:val="single" w:sz="4" w:space="0" w:color="000000"/>
              <w:right w:val="single" w:sz="4" w:space="0" w:color="000000"/>
            </w:tcBorders>
            <w:shd w:val="clear" w:color="auto" w:fill="F2F2F2"/>
            <w:vAlign w:val="center"/>
          </w:tcPr>
          <w:p w:rsidR="00F67E15" w:rsidRPr="00096D83" w:rsidRDefault="007A1A83" w:rsidP="008E0005">
            <w:pPr>
              <w:spacing w:before="10" w:after="10"/>
              <w:jc w:val="right"/>
              <w:rPr>
                <w:rFonts w:asciiTheme="minorHAnsi" w:hAnsiTheme="minorHAnsi" w:cstheme="minorHAnsi"/>
                <w:b/>
                <w:bCs/>
                <w:szCs w:val="24"/>
                <w:lang w:val="en-US" w:eastAsia="ar-SA"/>
              </w:rPr>
            </w:pPr>
            <w:r w:rsidRPr="00096D83">
              <w:rPr>
                <w:rFonts w:asciiTheme="minorHAnsi" w:hAnsiTheme="minorHAnsi" w:cstheme="minorHAnsi"/>
                <w:b/>
                <w:bCs/>
                <w:szCs w:val="24"/>
                <w:lang w:val="en-US" w:eastAsia="ar-SA"/>
              </w:rPr>
              <w:t>777 701,4</w:t>
            </w:r>
          </w:p>
        </w:tc>
        <w:tc>
          <w:tcPr>
            <w:tcW w:w="1276" w:type="dxa"/>
            <w:tcBorders>
              <w:top w:val="nil"/>
              <w:left w:val="single" w:sz="4" w:space="0" w:color="auto"/>
              <w:bottom w:val="single" w:sz="4" w:space="0" w:color="auto"/>
              <w:right w:val="single" w:sz="4" w:space="0" w:color="auto"/>
            </w:tcBorders>
            <w:shd w:val="clear" w:color="auto" w:fill="F2F2F2"/>
            <w:vAlign w:val="bottom"/>
          </w:tcPr>
          <w:p w:rsidR="00F67E15" w:rsidRPr="00096D83" w:rsidRDefault="00320C2D" w:rsidP="008E0005">
            <w:pPr>
              <w:spacing w:before="10" w:after="10"/>
              <w:jc w:val="right"/>
              <w:rPr>
                <w:rFonts w:asciiTheme="minorHAnsi" w:hAnsiTheme="minorHAnsi" w:cstheme="minorHAnsi"/>
                <w:b/>
                <w:bCs/>
                <w:color w:val="000000"/>
                <w:szCs w:val="24"/>
              </w:rPr>
            </w:pPr>
            <w:r w:rsidRPr="00096D83">
              <w:rPr>
                <w:rFonts w:asciiTheme="minorHAnsi" w:hAnsiTheme="minorHAnsi" w:cstheme="minorHAnsi"/>
                <w:b/>
                <w:bCs/>
                <w:color w:val="000000"/>
                <w:szCs w:val="24"/>
              </w:rPr>
              <w:t>37 462,9</w:t>
            </w:r>
          </w:p>
        </w:tc>
        <w:tc>
          <w:tcPr>
            <w:tcW w:w="1275" w:type="dxa"/>
            <w:tcBorders>
              <w:top w:val="nil"/>
              <w:left w:val="nil"/>
              <w:bottom w:val="single" w:sz="4" w:space="0" w:color="auto"/>
              <w:right w:val="single" w:sz="4" w:space="0" w:color="auto"/>
            </w:tcBorders>
            <w:shd w:val="clear" w:color="auto" w:fill="F2F2F2"/>
            <w:vAlign w:val="bottom"/>
          </w:tcPr>
          <w:p w:rsidR="00F67E15" w:rsidRPr="00096D83" w:rsidRDefault="00F67E15" w:rsidP="008E0005">
            <w:pPr>
              <w:spacing w:before="10" w:after="10"/>
              <w:jc w:val="right"/>
              <w:rPr>
                <w:rFonts w:asciiTheme="minorHAnsi" w:hAnsiTheme="minorHAnsi" w:cstheme="minorHAnsi"/>
                <w:b/>
                <w:bCs/>
                <w:color w:val="000000"/>
                <w:szCs w:val="24"/>
              </w:rPr>
            </w:pPr>
            <w:r w:rsidRPr="00096D83">
              <w:rPr>
                <w:rFonts w:asciiTheme="minorHAnsi" w:hAnsiTheme="minorHAnsi" w:cstheme="minorHAnsi"/>
                <w:b/>
                <w:bCs/>
                <w:color w:val="000000"/>
                <w:szCs w:val="24"/>
              </w:rPr>
              <w:t>9</w:t>
            </w:r>
            <w:r w:rsidR="00320C2D" w:rsidRPr="00096D83">
              <w:rPr>
                <w:rFonts w:asciiTheme="minorHAnsi" w:hAnsiTheme="minorHAnsi" w:cstheme="minorHAnsi"/>
                <w:b/>
                <w:bCs/>
                <w:color w:val="000000"/>
                <w:szCs w:val="24"/>
              </w:rPr>
              <w:t>5,4</w:t>
            </w:r>
          </w:p>
        </w:tc>
      </w:tr>
    </w:tbl>
    <w:p w:rsidR="00F67E15" w:rsidRPr="00096D83" w:rsidRDefault="00F67E15" w:rsidP="00F67E15">
      <w:pPr>
        <w:suppressAutoHyphens/>
        <w:spacing w:line="360" w:lineRule="auto"/>
        <w:ind w:firstLine="851"/>
        <w:contextualSpacing/>
        <w:jc w:val="both"/>
        <w:rPr>
          <w:rFonts w:asciiTheme="minorHAnsi" w:hAnsiTheme="minorHAnsi" w:cstheme="minorHAnsi"/>
          <w:b/>
          <w:szCs w:val="24"/>
          <w:lang w:eastAsia="zh-CN"/>
        </w:rPr>
      </w:pP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01 Bendros valstybės paslaugos</w:t>
      </w:r>
      <w:r w:rsidRPr="00096D83">
        <w:rPr>
          <w:rFonts w:asciiTheme="minorHAnsi" w:hAnsiTheme="minorHAnsi" w:cstheme="minorHAnsi"/>
          <w:i/>
          <w:szCs w:val="24"/>
          <w:lang w:eastAsia="zh-CN"/>
        </w:rPr>
        <w:t xml:space="preserve">. </w:t>
      </w:r>
      <w:r w:rsidRPr="00096D83">
        <w:rPr>
          <w:rFonts w:asciiTheme="minorHAnsi" w:hAnsiTheme="minorHAnsi" w:cstheme="minorHAnsi"/>
          <w:szCs w:val="24"/>
          <w:lang w:eastAsia="zh-CN"/>
        </w:rPr>
        <w:t xml:space="preserve">Patikslintas asignavimų planas </w:t>
      </w:r>
      <w:r w:rsidR="00885D46" w:rsidRPr="00096D83">
        <w:rPr>
          <w:rFonts w:asciiTheme="minorHAnsi" w:hAnsiTheme="minorHAnsi" w:cstheme="minorHAnsi"/>
          <w:szCs w:val="24"/>
          <w:lang w:eastAsia="zh-CN"/>
        </w:rPr>
        <w:t>48 640,4</w:t>
      </w:r>
      <w:r w:rsidRPr="00096D83">
        <w:rPr>
          <w:rFonts w:asciiTheme="minorHAnsi" w:hAnsiTheme="minorHAnsi" w:cstheme="minorHAnsi"/>
          <w:szCs w:val="24"/>
          <w:lang w:eastAsia="zh-CN"/>
        </w:rPr>
        <w:t xml:space="preserve"> tūkst. eurų įvykdytas 4</w:t>
      </w:r>
      <w:r w:rsidR="00885D46" w:rsidRPr="00096D83">
        <w:rPr>
          <w:rFonts w:asciiTheme="minorHAnsi" w:hAnsiTheme="minorHAnsi" w:cstheme="minorHAnsi"/>
          <w:szCs w:val="24"/>
          <w:lang w:eastAsia="zh-CN"/>
        </w:rPr>
        <w:t>5</w:t>
      </w:r>
      <w:r w:rsidR="0090521D" w:rsidRPr="00096D83">
        <w:rPr>
          <w:rFonts w:asciiTheme="minorHAnsi" w:hAnsiTheme="minorHAnsi" w:cstheme="minorHAnsi"/>
          <w:szCs w:val="24"/>
          <w:lang w:eastAsia="zh-CN"/>
        </w:rPr>
        <w:t> </w:t>
      </w:r>
      <w:r w:rsidR="00885D46" w:rsidRPr="00096D83">
        <w:rPr>
          <w:rFonts w:asciiTheme="minorHAnsi" w:hAnsiTheme="minorHAnsi" w:cstheme="minorHAnsi"/>
          <w:szCs w:val="24"/>
          <w:lang w:eastAsia="zh-CN"/>
        </w:rPr>
        <w:t>25</w:t>
      </w:r>
      <w:r w:rsidR="0090521D" w:rsidRPr="00096D83">
        <w:rPr>
          <w:rFonts w:asciiTheme="minorHAnsi" w:hAnsiTheme="minorHAnsi" w:cstheme="minorHAnsi"/>
          <w:szCs w:val="24"/>
          <w:lang w:eastAsia="zh-CN"/>
        </w:rPr>
        <w:t>2,9</w:t>
      </w:r>
      <w:r w:rsidRPr="00096D83">
        <w:rPr>
          <w:rFonts w:asciiTheme="minorHAnsi" w:hAnsiTheme="minorHAnsi" w:cstheme="minorHAnsi"/>
          <w:szCs w:val="24"/>
          <w:lang w:eastAsia="zh-CN"/>
        </w:rPr>
        <w:t xml:space="preserve"> tūkst. eurų arba 93 proc., t. y. liko nepanaudota </w:t>
      </w:r>
      <w:r w:rsidR="00885D46" w:rsidRPr="00096D83">
        <w:rPr>
          <w:rFonts w:asciiTheme="minorHAnsi" w:hAnsiTheme="minorHAnsi" w:cstheme="minorHAnsi"/>
          <w:szCs w:val="24"/>
          <w:lang w:eastAsia="zh-CN"/>
        </w:rPr>
        <w:t>3 387,</w:t>
      </w:r>
      <w:r w:rsidR="0090521D"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tūkst. eurų. </w:t>
      </w:r>
    </w:p>
    <w:p w:rsidR="00F67E15" w:rsidRPr="00096D83" w:rsidRDefault="00F21C5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Valstybės dot</w:t>
      </w:r>
      <w:r w:rsidR="00F67E15" w:rsidRPr="00096D83">
        <w:rPr>
          <w:rFonts w:asciiTheme="minorHAnsi" w:hAnsiTheme="minorHAnsi" w:cstheme="minorHAnsi"/>
          <w:i/>
          <w:szCs w:val="24"/>
          <w:lang w:eastAsia="zh-CN"/>
        </w:rPr>
        <w:t>acijų asignavimų planas</w:t>
      </w:r>
      <w:r w:rsidR="00F67E15" w:rsidRPr="00096D83">
        <w:rPr>
          <w:rFonts w:asciiTheme="minorHAnsi" w:hAnsiTheme="minorHAnsi" w:cstheme="minorHAnsi"/>
          <w:szCs w:val="24"/>
          <w:lang w:eastAsia="zh-CN"/>
        </w:rPr>
        <w:t xml:space="preserve"> įvykdytas 9</w:t>
      </w:r>
      <w:r w:rsidR="00A4597A" w:rsidRPr="00096D83">
        <w:rPr>
          <w:rFonts w:asciiTheme="minorHAnsi" w:hAnsiTheme="minorHAnsi" w:cstheme="minorHAnsi"/>
          <w:szCs w:val="24"/>
          <w:lang w:eastAsia="zh-CN"/>
        </w:rPr>
        <w:t>9,9</w:t>
      </w:r>
      <w:r w:rsidR="00F67E15" w:rsidRPr="00096D83">
        <w:rPr>
          <w:rFonts w:asciiTheme="minorHAnsi" w:hAnsiTheme="minorHAnsi" w:cstheme="minorHAnsi"/>
          <w:szCs w:val="24"/>
          <w:lang w:eastAsia="zh-CN"/>
        </w:rPr>
        <w:t xml:space="preserve"> proc.</w:t>
      </w:r>
      <w:r w:rsidR="00C26622" w:rsidRPr="00096D83">
        <w:rPr>
          <w:rFonts w:asciiTheme="minorHAnsi" w:hAnsiTheme="minorHAnsi" w:cstheme="minorHAnsi"/>
          <w:szCs w:val="24"/>
          <w:lang w:eastAsia="zh-CN"/>
        </w:rPr>
        <w:t xml:space="preserve"> L</w:t>
      </w:r>
      <w:r w:rsidR="00F67E15" w:rsidRPr="00096D83">
        <w:rPr>
          <w:rFonts w:asciiTheme="minorHAnsi" w:hAnsiTheme="minorHAnsi" w:cstheme="minorHAnsi"/>
          <w:szCs w:val="24"/>
          <w:lang w:eastAsia="zh-CN"/>
        </w:rPr>
        <w:t xml:space="preserve">iko nepanaudota </w:t>
      </w:r>
      <w:r w:rsidR="00A4597A" w:rsidRPr="00096D83">
        <w:rPr>
          <w:rFonts w:asciiTheme="minorHAnsi" w:hAnsiTheme="minorHAnsi" w:cstheme="minorHAnsi"/>
          <w:szCs w:val="24"/>
          <w:lang w:eastAsia="zh-CN"/>
        </w:rPr>
        <w:t>0,6</w:t>
      </w:r>
      <w:r w:rsidR="00F67E15" w:rsidRPr="00096D83">
        <w:rPr>
          <w:rFonts w:asciiTheme="minorHAnsi" w:hAnsiTheme="minorHAnsi" w:cstheme="minorHAnsi"/>
          <w:szCs w:val="24"/>
          <w:lang w:eastAsia="zh-CN"/>
        </w:rPr>
        <w:t xml:space="preserve"> tūkst. eurų valstybinėms (valstybės perduotoms savivaldybėms) funkcijoms vykdyti, </w:t>
      </w:r>
      <w:r w:rsidR="0092550D" w:rsidRPr="00096D83">
        <w:rPr>
          <w:rFonts w:asciiTheme="minorHAnsi" w:hAnsiTheme="minorHAnsi" w:cstheme="minorHAnsi"/>
          <w:szCs w:val="24"/>
          <w:lang w:eastAsia="zh-CN"/>
        </w:rPr>
        <w:t xml:space="preserve">dėl mažesnio asignavimų šioms paslaugoms poreikio, </w:t>
      </w:r>
      <w:r w:rsidR="00F67E15" w:rsidRPr="00096D83">
        <w:rPr>
          <w:rFonts w:asciiTheme="minorHAnsi" w:hAnsiTheme="minorHAnsi" w:cstheme="minorHAnsi"/>
          <w:szCs w:val="24"/>
          <w:lang w:eastAsia="zh-CN"/>
        </w:rPr>
        <w:t xml:space="preserve">iš kurių </w:t>
      </w:r>
      <w:r w:rsidR="00A4597A" w:rsidRPr="00096D83">
        <w:rPr>
          <w:rFonts w:asciiTheme="minorHAnsi" w:hAnsiTheme="minorHAnsi" w:cstheme="minorHAnsi"/>
          <w:szCs w:val="24"/>
          <w:lang w:eastAsia="zh-CN"/>
        </w:rPr>
        <w:t>0,5</w:t>
      </w:r>
      <w:r w:rsidR="00F67E15" w:rsidRPr="00096D83">
        <w:rPr>
          <w:rFonts w:asciiTheme="minorHAnsi" w:hAnsiTheme="minorHAnsi" w:cstheme="minorHAnsi"/>
          <w:szCs w:val="24"/>
          <w:lang w:eastAsia="zh-CN"/>
        </w:rPr>
        <w:t xml:space="preserve"> tūkst. eurų – </w:t>
      </w:r>
      <w:r w:rsidR="00A4597A" w:rsidRPr="00096D83">
        <w:rPr>
          <w:rFonts w:asciiTheme="minorHAnsi" w:hAnsiTheme="minorHAnsi" w:cstheme="minorHAnsi"/>
          <w:szCs w:val="24"/>
          <w:lang w:eastAsia="zh-CN"/>
        </w:rPr>
        <w:t xml:space="preserve">valstybės garantuojamos </w:t>
      </w:r>
      <w:r w:rsidR="00F67E15" w:rsidRPr="00096D83">
        <w:rPr>
          <w:rFonts w:asciiTheme="minorHAnsi" w:hAnsiTheme="minorHAnsi" w:cstheme="minorHAnsi"/>
          <w:szCs w:val="24"/>
          <w:lang w:eastAsia="zh-CN"/>
        </w:rPr>
        <w:t>pirminės teisinės pagalbos teikimui</w:t>
      </w:r>
      <w:r w:rsidR="00A4597A" w:rsidRPr="00096D83">
        <w:rPr>
          <w:rFonts w:asciiTheme="minorHAnsi" w:hAnsiTheme="minorHAnsi" w:cstheme="minorHAnsi"/>
          <w:szCs w:val="24"/>
          <w:lang w:eastAsia="zh-CN"/>
        </w:rPr>
        <w:t xml:space="preserve"> ir </w:t>
      </w:r>
      <w:r w:rsidR="00F67E15" w:rsidRPr="00096D83">
        <w:rPr>
          <w:rFonts w:asciiTheme="minorHAnsi" w:hAnsiTheme="minorHAnsi" w:cstheme="minorHAnsi"/>
          <w:szCs w:val="24"/>
          <w:lang w:eastAsia="zh-CN"/>
        </w:rPr>
        <w:t xml:space="preserve">0,1 tūkst. eurų – </w:t>
      </w:r>
      <w:r w:rsidR="00F67E15" w:rsidRPr="00096D83">
        <w:rPr>
          <w:rFonts w:asciiTheme="minorHAnsi" w:hAnsiTheme="minorHAnsi" w:cstheme="minorHAnsi"/>
          <w:szCs w:val="24"/>
        </w:rPr>
        <w:t>Savivaldybei priskirtos valstybinės žemės ir kito valstybės turto valdymui, naudojimui ir disponavimui juo patikėjimo teise</w:t>
      </w:r>
      <w:r w:rsidR="0092550D" w:rsidRPr="00096D83">
        <w:rPr>
          <w:rFonts w:asciiTheme="minorHAnsi" w:hAnsiTheme="minorHAnsi" w:cstheme="minorHAnsi"/>
          <w:szCs w:val="24"/>
        </w:rPr>
        <w:t>.</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EC47BD" w:rsidRPr="00096D83">
        <w:rPr>
          <w:rFonts w:asciiTheme="minorHAnsi" w:hAnsiTheme="minorHAnsi" w:cstheme="minorHAnsi"/>
          <w:szCs w:val="24"/>
          <w:lang w:eastAsia="zh-CN"/>
        </w:rPr>
        <w:t>4</w:t>
      </w:r>
      <w:r w:rsidR="00A9576D" w:rsidRPr="00096D83">
        <w:rPr>
          <w:rFonts w:asciiTheme="minorHAnsi" w:hAnsiTheme="minorHAnsi" w:cstheme="minorHAnsi"/>
          <w:szCs w:val="24"/>
          <w:lang w:eastAsia="zh-CN"/>
        </w:rPr>
        <w:t>7 929,4</w:t>
      </w:r>
      <w:r w:rsidRPr="00096D83">
        <w:rPr>
          <w:rFonts w:asciiTheme="minorHAnsi" w:hAnsiTheme="minorHAnsi" w:cstheme="minorHAnsi"/>
          <w:szCs w:val="24"/>
          <w:lang w:eastAsia="zh-CN"/>
        </w:rPr>
        <w:t xml:space="preserve"> tūkst. eurų liko nepanaudota </w:t>
      </w:r>
      <w:r w:rsidR="00EC47BD" w:rsidRPr="00096D83">
        <w:rPr>
          <w:rFonts w:asciiTheme="minorHAnsi" w:hAnsiTheme="minorHAnsi" w:cstheme="minorHAnsi"/>
          <w:szCs w:val="24"/>
          <w:lang w:eastAsia="zh-CN"/>
        </w:rPr>
        <w:t>3 386,8</w:t>
      </w:r>
      <w:r w:rsidRPr="00096D83">
        <w:rPr>
          <w:rFonts w:asciiTheme="minorHAnsi" w:hAnsiTheme="minorHAnsi" w:cstheme="minorHAnsi"/>
          <w:szCs w:val="24"/>
          <w:lang w:eastAsia="zh-CN"/>
        </w:rPr>
        <w:t xml:space="preserve"> tūkst. eurų, iš jų didžiausią nepanaudotų lėšų dalį – 1</w:t>
      </w:r>
      <w:r w:rsidR="001912E0" w:rsidRPr="00096D83">
        <w:rPr>
          <w:rFonts w:asciiTheme="minorHAnsi" w:hAnsiTheme="minorHAnsi" w:cstheme="minorHAnsi"/>
          <w:szCs w:val="24"/>
          <w:lang w:eastAsia="zh-CN"/>
        </w:rPr>
        <w:t> </w:t>
      </w:r>
      <w:r w:rsidR="00B970BA" w:rsidRPr="00096D83">
        <w:rPr>
          <w:rFonts w:asciiTheme="minorHAnsi" w:hAnsiTheme="minorHAnsi" w:cstheme="minorHAnsi"/>
          <w:szCs w:val="24"/>
          <w:lang w:eastAsia="zh-CN"/>
        </w:rPr>
        <w:t>0</w:t>
      </w:r>
      <w:r w:rsidR="001912E0" w:rsidRPr="00096D83">
        <w:rPr>
          <w:rFonts w:asciiTheme="minorHAnsi" w:hAnsiTheme="minorHAnsi" w:cstheme="minorHAnsi"/>
          <w:szCs w:val="24"/>
          <w:lang w:eastAsia="zh-CN"/>
        </w:rPr>
        <w:t>68,6</w:t>
      </w:r>
      <w:r w:rsidRPr="00096D83">
        <w:rPr>
          <w:rFonts w:asciiTheme="minorHAnsi" w:hAnsiTheme="minorHAnsi" w:cstheme="minorHAnsi"/>
          <w:szCs w:val="24"/>
          <w:lang w:eastAsia="zh-CN"/>
        </w:rPr>
        <w:t xml:space="preserve"> tūkst. eurų sudaro lėšos skirtos Savivaldybės institucijų žmogiškųjų išteklių valdymui, dėl darbuotojų kaitos ir nedarbingumo</w:t>
      </w:r>
      <w:r w:rsidR="007A1A83" w:rsidRPr="00096D83">
        <w:rPr>
          <w:rFonts w:asciiTheme="minorHAnsi" w:hAnsiTheme="minorHAnsi" w:cstheme="minorHAnsi"/>
          <w:szCs w:val="24"/>
          <w:lang w:eastAsia="zh-CN"/>
        </w:rPr>
        <w:t>. N</w:t>
      </w:r>
      <w:r w:rsidRPr="00096D83">
        <w:rPr>
          <w:rFonts w:asciiTheme="minorHAnsi" w:hAnsiTheme="minorHAnsi" w:cstheme="minorHAnsi"/>
          <w:szCs w:val="24"/>
          <w:lang w:eastAsia="zh-CN"/>
        </w:rPr>
        <w:t>esant poreiki</w:t>
      </w:r>
      <w:r w:rsidR="007A1A83" w:rsidRPr="00096D83">
        <w:rPr>
          <w:rFonts w:asciiTheme="minorHAnsi" w:hAnsiTheme="minorHAnsi" w:cstheme="minorHAnsi"/>
          <w:szCs w:val="24"/>
          <w:lang w:eastAsia="zh-CN"/>
        </w:rPr>
        <w:t>o,</w:t>
      </w:r>
      <w:r w:rsidRPr="00096D83">
        <w:rPr>
          <w:rFonts w:asciiTheme="minorHAnsi" w:hAnsiTheme="minorHAnsi" w:cstheme="minorHAnsi"/>
          <w:szCs w:val="24"/>
          <w:lang w:eastAsia="zh-CN"/>
        </w:rPr>
        <w:t xml:space="preserve"> </w:t>
      </w:r>
      <w:r w:rsidR="00B970BA" w:rsidRPr="00096D83">
        <w:rPr>
          <w:rFonts w:asciiTheme="minorHAnsi" w:hAnsiTheme="minorHAnsi" w:cstheme="minorHAnsi"/>
          <w:szCs w:val="24"/>
          <w:lang w:eastAsia="zh-CN"/>
        </w:rPr>
        <w:t>1</w:t>
      </w:r>
      <w:r w:rsidR="00EE71FA" w:rsidRPr="00096D83">
        <w:rPr>
          <w:rFonts w:asciiTheme="minorHAnsi" w:hAnsiTheme="minorHAnsi" w:cstheme="minorHAnsi"/>
          <w:szCs w:val="24"/>
          <w:lang w:eastAsia="zh-CN"/>
        </w:rPr>
        <w:t xml:space="preserve"> </w:t>
      </w:r>
      <w:r w:rsidR="00B970BA" w:rsidRPr="00096D83">
        <w:rPr>
          <w:rFonts w:asciiTheme="minorHAnsi" w:hAnsiTheme="minorHAnsi" w:cstheme="minorHAnsi"/>
          <w:szCs w:val="24"/>
          <w:lang w:eastAsia="zh-CN"/>
        </w:rPr>
        <w:t>097</w:t>
      </w:r>
      <w:r w:rsidRPr="00096D83">
        <w:rPr>
          <w:rFonts w:asciiTheme="minorHAnsi" w:hAnsiTheme="minorHAnsi" w:cstheme="minorHAnsi"/>
          <w:szCs w:val="24"/>
          <w:lang w:eastAsia="zh-CN"/>
        </w:rPr>
        <w:t xml:space="preserve"> tūkst. eurų </w:t>
      </w:r>
      <w:r w:rsidR="007A1A83" w:rsidRPr="00096D83">
        <w:rPr>
          <w:rFonts w:asciiTheme="minorHAnsi" w:hAnsiTheme="minorHAnsi" w:cstheme="minorHAnsi"/>
          <w:szCs w:val="24"/>
          <w:lang w:eastAsia="zh-CN"/>
        </w:rPr>
        <w:t xml:space="preserve">liko </w:t>
      </w:r>
      <w:r w:rsidRPr="00096D83">
        <w:rPr>
          <w:rFonts w:asciiTheme="minorHAnsi" w:hAnsiTheme="minorHAnsi" w:cstheme="minorHAnsi"/>
          <w:szCs w:val="24"/>
          <w:lang w:eastAsia="zh-CN"/>
        </w:rPr>
        <w:t xml:space="preserve">nepanaudota </w:t>
      </w:r>
      <w:r w:rsidR="007A1A83" w:rsidRPr="00096D83">
        <w:rPr>
          <w:rFonts w:asciiTheme="minorHAnsi" w:hAnsiTheme="minorHAnsi" w:cstheme="minorHAnsi"/>
          <w:szCs w:val="24"/>
          <w:lang w:eastAsia="zh-CN"/>
        </w:rPr>
        <w:t xml:space="preserve">Mero rezervui </w:t>
      </w:r>
      <w:r w:rsidRPr="00096D83">
        <w:rPr>
          <w:rFonts w:asciiTheme="minorHAnsi" w:hAnsiTheme="minorHAnsi" w:cstheme="minorHAnsi"/>
          <w:szCs w:val="24"/>
          <w:lang w:eastAsia="zh-CN"/>
        </w:rPr>
        <w:t xml:space="preserve">skirtų </w:t>
      </w:r>
      <w:bookmarkStart w:id="0" w:name="_Hlk221525354"/>
      <w:r w:rsidR="007A1A83" w:rsidRPr="00096D83">
        <w:rPr>
          <w:rFonts w:asciiTheme="minorHAnsi" w:hAnsiTheme="minorHAnsi" w:cstheme="minorHAnsi"/>
          <w:szCs w:val="24"/>
          <w:lang w:eastAsia="zh-CN"/>
        </w:rPr>
        <w:t>asignavimų.</w:t>
      </w:r>
      <w:bookmarkEnd w:id="0"/>
      <w:r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02 Gynyba.</w:t>
      </w:r>
      <w:r w:rsidRPr="00096D83">
        <w:rPr>
          <w:rFonts w:asciiTheme="minorHAnsi" w:hAnsiTheme="minorHAnsi" w:cstheme="minorHAnsi"/>
          <w:szCs w:val="24"/>
          <w:lang w:eastAsia="zh-CN"/>
        </w:rPr>
        <w:t xml:space="preserve"> Patikslintas asignavimų planas 1</w:t>
      </w:r>
      <w:r w:rsidR="00B113B7" w:rsidRPr="00096D83">
        <w:rPr>
          <w:rFonts w:asciiTheme="minorHAnsi" w:hAnsiTheme="minorHAnsi" w:cstheme="minorHAnsi"/>
          <w:szCs w:val="24"/>
          <w:lang w:eastAsia="zh-CN"/>
        </w:rPr>
        <w:t>93,3</w:t>
      </w:r>
      <w:r w:rsidRPr="00096D83">
        <w:rPr>
          <w:rFonts w:asciiTheme="minorHAnsi" w:hAnsiTheme="minorHAnsi" w:cstheme="minorHAnsi"/>
          <w:szCs w:val="24"/>
          <w:lang w:eastAsia="zh-CN"/>
        </w:rPr>
        <w:t xml:space="preserve"> tūkst. eurų įvykdytas 1</w:t>
      </w:r>
      <w:r w:rsidR="00B113B7" w:rsidRPr="00096D83">
        <w:rPr>
          <w:rFonts w:asciiTheme="minorHAnsi" w:hAnsiTheme="minorHAnsi" w:cstheme="minorHAnsi"/>
          <w:szCs w:val="24"/>
          <w:lang w:eastAsia="zh-CN"/>
        </w:rPr>
        <w:t>92,4</w:t>
      </w:r>
      <w:r w:rsidRPr="00096D83">
        <w:rPr>
          <w:rFonts w:asciiTheme="minorHAnsi" w:hAnsiTheme="minorHAnsi" w:cstheme="minorHAnsi"/>
          <w:szCs w:val="24"/>
          <w:lang w:eastAsia="zh-CN"/>
        </w:rPr>
        <w:t xml:space="preserve"> tūkst. eurų arba 9</w:t>
      </w:r>
      <w:r w:rsidR="00B113B7" w:rsidRPr="00096D83">
        <w:rPr>
          <w:rFonts w:asciiTheme="minorHAnsi" w:hAnsiTheme="minorHAnsi" w:cstheme="minorHAnsi"/>
          <w:szCs w:val="24"/>
          <w:lang w:eastAsia="zh-CN"/>
        </w:rPr>
        <w:t>9,5</w:t>
      </w:r>
      <w:r w:rsidRPr="00096D83">
        <w:rPr>
          <w:rFonts w:asciiTheme="minorHAnsi" w:hAnsiTheme="minorHAnsi" w:cstheme="minorHAnsi"/>
          <w:szCs w:val="24"/>
          <w:lang w:eastAsia="zh-CN"/>
        </w:rPr>
        <w:t xml:space="preserve"> proc., t. y. liko nepanaudota </w:t>
      </w:r>
      <w:r w:rsidR="00B113B7" w:rsidRPr="00096D83">
        <w:rPr>
          <w:rFonts w:asciiTheme="minorHAnsi" w:hAnsiTheme="minorHAnsi" w:cstheme="minorHAnsi"/>
          <w:szCs w:val="24"/>
          <w:lang w:eastAsia="zh-CN"/>
        </w:rPr>
        <w:t>0,9</w:t>
      </w:r>
      <w:r w:rsidRPr="00096D83">
        <w:rPr>
          <w:rFonts w:asciiTheme="minorHAnsi" w:hAnsiTheme="minorHAnsi" w:cstheme="minorHAnsi"/>
          <w:szCs w:val="24"/>
          <w:lang w:eastAsia="zh-CN"/>
        </w:rPr>
        <w:t xml:space="preserve"> tūkst. eurų. </w:t>
      </w:r>
    </w:p>
    <w:p w:rsidR="00F67E15" w:rsidRPr="00096D83" w:rsidRDefault="00412DD6" w:rsidP="00E46A51">
      <w:pPr>
        <w:suppressAutoHyphens/>
        <w:spacing w:line="360" w:lineRule="auto"/>
        <w:ind w:firstLine="851"/>
        <w:contextualSpacing/>
        <w:jc w:val="both"/>
        <w:rPr>
          <w:rFonts w:asciiTheme="minorHAnsi" w:hAnsiTheme="minorHAnsi" w:cstheme="minorHAnsi"/>
          <w:b/>
          <w:szCs w:val="24"/>
          <w:lang w:eastAsia="zh-CN"/>
        </w:rPr>
      </w:pPr>
      <w:r w:rsidRPr="00096D83">
        <w:rPr>
          <w:rFonts w:asciiTheme="minorHAnsi" w:hAnsiTheme="minorHAnsi" w:cstheme="minorHAnsi"/>
          <w:i/>
          <w:szCs w:val="24"/>
          <w:lang w:eastAsia="zh-CN"/>
        </w:rPr>
        <w:t>Valstybės d</w:t>
      </w:r>
      <w:r w:rsidR="00F67E15" w:rsidRPr="00096D83">
        <w:rPr>
          <w:rFonts w:asciiTheme="minorHAnsi" w:hAnsiTheme="minorHAnsi" w:cstheme="minorHAnsi"/>
          <w:i/>
          <w:szCs w:val="24"/>
          <w:lang w:eastAsia="zh-CN"/>
        </w:rPr>
        <w:t>otacijų asignavimų planas</w:t>
      </w:r>
      <w:r w:rsidR="00F67E15" w:rsidRPr="00096D83">
        <w:rPr>
          <w:rFonts w:asciiTheme="minorHAnsi" w:hAnsiTheme="minorHAnsi" w:cstheme="minorHAnsi"/>
          <w:szCs w:val="24"/>
          <w:lang w:eastAsia="zh-CN"/>
        </w:rPr>
        <w:t xml:space="preserve"> įvykdytas 1</w:t>
      </w:r>
      <w:r w:rsidR="00AB0B3C" w:rsidRPr="00096D83">
        <w:rPr>
          <w:rFonts w:asciiTheme="minorHAnsi" w:hAnsiTheme="minorHAnsi" w:cstheme="minorHAnsi"/>
          <w:szCs w:val="24"/>
          <w:lang w:eastAsia="zh-CN"/>
        </w:rPr>
        <w:t>85</w:t>
      </w:r>
      <w:r w:rsidR="00F67E15" w:rsidRPr="00096D83">
        <w:rPr>
          <w:rFonts w:asciiTheme="minorHAnsi" w:hAnsiTheme="minorHAnsi" w:cstheme="minorHAnsi"/>
          <w:szCs w:val="24"/>
          <w:lang w:eastAsia="zh-CN"/>
        </w:rPr>
        <w:t xml:space="preserve"> tūkst. eurų </w:t>
      </w:r>
      <w:r w:rsidR="009A195B" w:rsidRPr="00096D83">
        <w:rPr>
          <w:rFonts w:asciiTheme="minorHAnsi" w:hAnsiTheme="minorHAnsi" w:cstheme="minorHAnsi"/>
          <w:szCs w:val="24"/>
          <w:lang w:eastAsia="zh-CN"/>
        </w:rPr>
        <w:t>arba</w:t>
      </w:r>
      <w:r w:rsidR="00F67E15" w:rsidRPr="00096D83">
        <w:rPr>
          <w:rFonts w:asciiTheme="minorHAnsi" w:hAnsiTheme="minorHAnsi" w:cstheme="minorHAnsi"/>
          <w:szCs w:val="24"/>
          <w:lang w:eastAsia="zh-CN"/>
        </w:rPr>
        <w:t xml:space="preserve"> 9</w:t>
      </w:r>
      <w:r w:rsidR="00AB0B3C" w:rsidRPr="00096D83">
        <w:rPr>
          <w:rFonts w:asciiTheme="minorHAnsi" w:hAnsiTheme="minorHAnsi" w:cstheme="minorHAnsi"/>
          <w:szCs w:val="24"/>
          <w:lang w:eastAsia="zh-CN"/>
        </w:rPr>
        <w:t>9,5</w:t>
      </w:r>
      <w:r w:rsidR="00F67E15" w:rsidRPr="00096D83">
        <w:rPr>
          <w:rFonts w:asciiTheme="minorHAnsi" w:hAnsiTheme="minorHAnsi" w:cstheme="minorHAnsi"/>
          <w:szCs w:val="24"/>
          <w:lang w:eastAsia="zh-CN"/>
        </w:rPr>
        <w:t xml:space="preserve"> proc. </w:t>
      </w:r>
      <w:r w:rsidR="006034AA" w:rsidRPr="00096D83">
        <w:rPr>
          <w:rFonts w:asciiTheme="minorHAnsi" w:hAnsiTheme="minorHAnsi" w:cstheme="minorHAnsi"/>
          <w:szCs w:val="24"/>
          <w:lang w:eastAsia="zh-CN"/>
        </w:rPr>
        <w:t xml:space="preserve">Dėl civilinės saugos funkciją vykdančio darbuotojo nedarbingumo </w:t>
      </w:r>
      <w:r w:rsidR="00F67E15" w:rsidRPr="00096D83">
        <w:rPr>
          <w:rFonts w:asciiTheme="minorHAnsi" w:hAnsiTheme="minorHAnsi" w:cstheme="minorHAnsi"/>
          <w:szCs w:val="24"/>
          <w:lang w:eastAsia="zh-CN"/>
        </w:rPr>
        <w:t>nepanaudot</w:t>
      </w:r>
      <w:r w:rsidR="007E6954" w:rsidRPr="00096D83">
        <w:rPr>
          <w:rFonts w:asciiTheme="minorHAnsi" w:hAnsiTheme="minorHAnsi" w:cstheme="minorHAnsi"/>
          <w:szCs w:val="24"/>
          <w:lang w:eastAsia="zh-CN"/>
        </w:rPr>
        <w:t>a 0,</w:t>
      </w:r>
      <w:r w:rsidR="009D543C" w:rsidRPr="00096D83">
        <w:rPr>
          <w:rFonts w:asciiTheme="minorHAnsi" w:hAnsiTheme="minorHAnsi" w:cstheme="minorHAnsi"/>
          <w:szCs w:val="24"/>
          <w:lang w:eastAsia="zh-CN"/>
        </w:rPr>
        <w:t>7</w:t>
      </w:r>
      <w:r w:rsidR="007E6954" w:rsidRPr="00096D83">
        <w:rPr>
          <w:rFonts w:asciiTheme="minorHAnsi" w:hAnsiTheme="minorHAnsi" w:cstheme="minorHAnsi"/>
          <w:szCs w:val="24"/>
          <w:lang w:eastAsia="zh-CN"/>
        </w:rPr>
        <w:t xml:space="preserve"> tūkst. eurų </w:t>
      </w:r>
      <w:r w:rsidR="006034AA" w:rsidRPr="00096D83">
        <w:rPr>
          <w:rFonts w:asciiTheme="minorHAnsi" w:hAnsiTheme="minorHAnsi" w:cstheme="minorHAnsi"/>
          <w:szCs w:val="24"/>
          <w:lang w:eastAsia="zh-CN"/>
        </w:rPr>
        <w:t>ir</w:t>
      </w:r>
      <w:r w:rsidR="007E6954" w:rsidRPr="00096D83">
        <w:rPr>
          <w:rFonts w:asciiTheme="minorHAnsi" w:hAnsiTheme="minorHAnsi" w:cstheme="minorHAnsi"/>
          <w:szCs w:val="24"/>
          <w:lang w:eastAsia="zh-CN"/>
        </w:rPr>
        <w:t xml:space="preserve"> 0,</w:t>
      </w:r>
      <w:r w:rsidR="009D543C" w:rsidRPr="00096D83">
        <w:rPr>
          <w:rFonts w:asciiTheme="minorHAnsi" w:hAnsiTheme="minorHAnsi" w:cstheme="minorHAnsi"/>
          <w:szCs w:val="24"/>
          <w:lang w:eastAsia="zh-CN"/>
        </w:rPr>
        <w:t>2</w:t>
      </w:r>
      <w:r w:rsidR="00F67E15" w:rsidRPr="00096D83">
        <w:rPr>
          <w:rFonts w:asciiTheme="minorHAnsi" w:hAnsiTheme="minorHAnsi" w:cstheme="minorHAnsi"/>
          <w:szCs w:val="24"/>
          <w:lang w:eastAsia="zh-CN"/>
        </w:rPr>
        <w:t xml:space="preserve"> tūkst. eurų – </w:t>
      </w:r>
      <w:r w:rsidR="009D543C" w:rsidRPr="00096D83">
        <w:rPr>
          <w:rFonts w:asciiTheme="minorHAnsi" w:hAnsiTheme="minorHAnsi" w:cstheme="minorHAnsi"/>
          <w:szCs w:val="24"/>
          <w:lang w:eastAsia="zh-CN"/>
        </w:rPr>
        <w:t>mobilizacijos administravimo funkcijai</w:t>
      </w:r>
      <w:r w:rsidR="00285DE2" w:rsidRPr="00096D83">
        <w:rPr>
          <w:rFonts w:asciiTheme="minorHAnsi" w:hAnsiTheme="minorHAnsi" w:cstheme="minorHAnsi"/>
          <w:szCs w:val="24"/>
          <w:lang w:eastAsia="zh-CN"/>
        </w:rPr>
        <w:t xml:space="preserve">, </w:t>
      </w:r>
      <w:r w:rsidR="000F27C2" w:rsidRPr="00096D83">
        <w:rPr>
          <w:rFonts w:asciiTheme="minorHAnsi" w:hAnsiTheme="minorHAnsi" w:cstheme="minorHAnsi"/>
          <w:szCs w:val="24"/>
          <w:lang w:eastAsia="zh-CN"/>
        </w:rPr>
        <w:t>nes</w:t>
      </w:r>
      <w:r w:rsidR="00285DE2" w:rsidRPr="00096D83">
        <w:rPr>
          <w:rFonts w:asciiTheme="minorHAnsi" w:hAnsiTheme="minorHAnsi" w:cstheme="minorHAnsi"/>
          <w:szCs w:val="24"/>
          <w:lang w:eastAsia="zh-CN"/>
        </w:rPr>
        <w:t xml:space="preserve"> šiai funkcijai vykdyti </w:t>
      </w:r>
      <w:r w:rsidR="000F27C2" w:rsidRPr="00096D83">
        <w:rPr>
          <w:rFonts w:asciiTheme="minorHAnsi" w:hAnsiTheme="minorHAnsi" w:cstheme="minorHAnsi"/>
          <w:szCs w:val="24"/>
          <w:lang w:eastAsia="zh-CN"/>
        </w:rPr>
        <w:t xml:space="preserve">reikalingos </w:t>
      </w:r>
      <w:r w:rsidR="00285DE2" w:rsidRPr="00096D83">
        <w:rPr>
          <w:rFonts w:asciiTheme="minorHAnsi" w:hAnsiTheme="minorHAnsi" w:cstheme="minorHAnsi"/>
          <w:szCs w:val="24"/>
          <w:lang w:eastAsia="zh-CN"/>
        </w:rPr>
        <w:t>prek</w:t>
      </w:r>
      <w:r w:rsidR="000F27C2" w:rsidRPr="00096D83">
        <w:rPr>
          <w:rFonts w:asciiTheme="minorHAnsi" w:hAnsiTheme="minorHAnsi" w:cstheme="minorHAnsi"/>
          <w:szCs w:val="24"/>
          <w:lang w:eastAsia="zh-CN"/>
        </w:rPr>
        <w:t>ės įsig</w:t>
      </w:r>
      <w:r w:rsidR="00AF08D9" w:rsidRPr="00096D83">
        <w:rPr>
          <w:rFonts w:asciiTheme="minorHAnsi" w:hAnsiTheme="minorHAnsi" w:cstheme="minorHAnsi"/>
          <w:szCs w:val="24"/>
          <w:lang w:eastAsia="zh-CN"/>
        </w:rPr>
        <w:t>y</w:t>
      </w:r>
      <w:r w:rsidR="000F27C2" w:rsidRPr="00096D83">
        <w:rPr>
          <w:rFonts w:asciiTheme="minorHAnsi" w:hAnsiTheme="minorHAnsi" w:cstheme="minorHAnsi"/>
          <w:szCs w:val="24"/>
          <w:lang w:eastAsia="zh-CN"/>
        </w:rPr>
        <w:t>tos už mažesnę nei planuota kainą.</w:t>
      </w:r>
      <w:r w:rsidR="00F67E15"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szCs w:val="24"/>
          <w:lang w:eastAsia="zh-CN"/>
        </w:rPr>
        <w:t xml:space="preserve"> </w:t>
      </w:r>
      <w:r w:rsidRPr="00096D83">
        <w:rPr>
          <w:rFonts w:asciiTheme="minorHAnsi" w:hAnsiTheme="minorHAnsi" w:cstheme="minorHAnsi"/>
          <w:b/>
          <w:szCs w:val="24"/>
          <w:lang w:eastAsia="ar-SA"/>
        </w:rPr>
        <w:t xml:space="preserve">03 Viešoji tvarka ir visuomenės apsauga. </w:t>
      </w:r>
      <w:r w:rsidRPr="00096D83">
        <w:rPr>
          <w:rFonts w:asciiTheme="minorHAnsi" w:hAnsiTheme="minorHAnsi" w:cstheme="minorHAnsi"/>
          <w:szCs w:val="24"/>
          <w:lang w:eastAsia="zh-CN"/>
        </w:rPr>
        <w:t xml:space="preserve">Patikslintas asignavimų planas </w:t>
      </w:r>
      <w:r w:rsidR="00241532" w:rsidRPr="00096D83">
        <w:rPr>
          <w:rFonts w:asciiTheme="minorHAnsi" w:hAnsiTheme="minorHAnsi" w:cstheme="minorHAnsi"/>
          <w:szCs w:val="24"/>
          <w:lang w:eastAsia="zh-CN"/>
        </w:rPr>
        <w:t>111,5</w:t>
      </w:r>
      <w:r w:rsidRPr="00096D83">
        <w:rPr>
          <w:rFonts w:asciiTheme="minorHAnsi" w:hAnsiTheme="minorHAnsi" w:cstheme="minorHAnsi"/>
          <w:szCs w:val="24"/>
          <w:lang w:eastAsia="zh-CN"/>
        </w:rPr>
        <w:t xml:space="preserve"> tūkst. eurų įvykdytas </w:t>
      </w:r>
      <w:r w:rsidR="00241532" w:rsidRPr="00096D83">
        <w:rPr>
          <w:rFonts w:asciiTheme="minorHAnsi" w:hAnsiTheme="minorHAnsi" w:cstheme="minorHAnsi"/>
          <w:szCs w:val="24"/>
          <w:lang w:eastAsia="zh-CN"/>
        </w:rPr>
        <w:t>106,2</w:t>
      </w:r>
      <w:r w:rsidRPr="00096D83">
        <w:rPr>
          <w:rFonts w:asciiTheme="minorHAnsi" w:hAnsiTheme="minorHAnsi" w:cstheme="minorHAnsi"/>
          <w:szCs w:val="24"/>
          <w:lang w:eastAsia="zh-CN"/>
        </w:rPr>
        <w:t xml:space="preserve"> tūkst. eurų arba 9</w:t>
      </w:r>
      <w:r w:rsidR="00241532" w:rsidRPr="00096D83">
        <w:rPr>
          <w:rFonts w:asciiTheme="minorHAnsi" w:hAnsiTheme="minorHAnsi" w:cstheme="minorHAnsi"/>
          <w:szCs w:val="24"/>
          <w:lang w:eastAsia="zh-CN"/>
        </w:rPr>
        <w:t>5,2</w:t>
      </w:r>
      <w:r w:rsidRPr="00096D83">
        <w:rPr>
          <w:rFonts w:asciiTheme="minorHAnsi" w:hAnsiTheme="minorHAnsi" w:cstheme="minorHAnsi"/>
          <w:szCs w:val="24"/>
          <w:lang w:eastAsia="zh-CN"/>
        </w:rPr>
        <w:t xml:space="preserve"> proc. Liko nepanaudota </w:t>
      </w:r>
      <w:r w:rsidR="00123AAE" w:rsidRPr="00096D83">
        <w:rPr>
          <w:rFonts w:asciiTheme="minorHAnsi" w:hAnsiTheme="minorHAnsi" w:cstheme="minorHAnsi"/>
          <w:szCs w:val="24"/>
          <w:lang w:eastAsia="zh-CN"/>
        </w:rPr>
        <w:t>5,3</w:t>
      </w:r>
      <w:r w:rsidRPr="00096D83">
        <w:rPr>
          <w:rFonts w:asciiTheme="minorHAnsi" w:hAnsiTheme="minorHAnsi" w:cstheme="minorHAnsi"/>
          <w:szCs w:val="24"/>
          <w:lang w:eastAsia="zh-CN"/>
        </w:rPr>
        <w:t xml:space="preserve"> tūkst. eurų </w:t>
      </w:r>
      <w:r w:rsidRPr="00096D83">
        <w:rPr>
          <w:rFonts w:asciiTheme="minorHAnsi" w:hAnsiTheme="minorHAnsi" w:cstheme="minorHAnsi"/>
          <w:i/>
          <w:iCs/>
          <w:szCs w:val="24"/>
          <w:lang w:eastAsia="zh-CN"/>
        </w:rPr>
        <w:t>Savivaldybės savarankiškajai funkcijai</w:t>
      </w:r>
      <w:r w:rsidRPr="00096D83">
        <w:rPr>
          <w:rFonts w:asciiTheme="minorHAnsi" w:hAnsiTheme="minorHAnsi" w:cstheme="minorHAnsi"/>
          <w:szCs w:val="24"/>
          <w:lang w:eastAsia="zh-CN"/>
        </w:rPr>
        <w:t xml:space="preserve"> – stacionariai prevencinės greičio matavimo ir raudonos šviesos pažeidimų sistemai prižiūrėti ir eksploatuoti</w:t>
      </w:r>
      <w:r w:rsidR="000269E4" w:rsidRPr="00096D83">
        <w:rPr>
          <w:rFonts w:asciiTheme="minorHAnsi" w:hAnsiTheme="minorHAnsi" w:cstheme="minorHAnsi"/>
          <w:szCs w:val="24"/>
          <w:lang w:eastAsia="zh-CN"/>
        </w:rPr>
        <w:t xml:space="preserve">, dėl </w:t>
      </w:r>
      <w:r w:rsidR="00F65B19" w:rsidRPr="00096D83">
        <w:rPr>
          <w:rFonts w:asciiTheme="minorHAnsi" w:hAnsiTheme="minorHAnsi" w:cstheme="minorHAnsi"/>
          <w:szCs w:val="24"/>
          <w:lang w:eastAsia="zh-CN"/>
        </w:rPr>
        <w:t>mažesnės techninės priežiūros ir eksploatacinių paslaugų apimties</w:t>
      </w:r>
      <w:r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 xml:space="preserve">04 Ekonomika. </w:t>
      </w:r>
      <w:r w:rsidRPr="00096D83">
        <w:rPr>
          <w:rFonts w:asciiTheme="minorHAnsi" w:hAnsiTheme="minorHAnsi" w:cstheme="minorHAnsi"/>
          <w:szCs w:val="24"/>
          <w:lang w:eastAsia="zh-CN"/>
        </w:rPr>
        <w:t xml:space="preserve">Patikslintas asignavimų planas </w:t>
      </w:r>
      <w:r w:rsidR="00C4437D" w:rsidRPr="00096D83">
        <w:rPr>
          <w:rFonts w:asciiTheme="minorHAnsi" w:hAnsiTheme="minorHAnsi" w:cstheme="minorHAnsi"/>
          <w:szCs w:val="24"/>
          <w:lang w:eastAsia="zh-CN"/>
        </w:rPr>
        <w:t>154 114,4</w:t>
      </w:r>
      <w:r w:rsidRPr="00096D83">
        <w:rPr>
          <w:rFonts w:asciiTheme="minorHAnsi" w:hAnsiTheme="minorHAnsi" w:cstheme="minorHAnsi"/>
          <w:szCs w:val="24"/>
          <w:lang w:eastAsia="zh-CN"/>
        </w:rPr>
        <w:t xml:space="preserve"> tūkst. eurų</w:t>
      </w:r>
      <w:r w:rsidR="0086536E" w:rsidRPr="00096D83">
        <w:rPr>
          <w:rFonts w:asciiTheme="minorHAnsi" w:hAnsiTheme="minorHAnsi" w:cstheme="minorHAnsi"/>
          <w:szCs w:val="24"/>
          <w:lang w:eastAsia="zh-CN"/>
        </w:rPr>
        <w:t>,</w:t>
      </w:r>
      <w:r w:rsidRPr="00096D83">
        <w:rPr>
          <w:rFonts w:asciiTheme="minorHAnsi" w:hAnsiTheme="minorHAnsi" w:cstheme="minorHAnsi"/>
          <w:szCs w:val="24"/>
          <w:lang w:eastAsia="zh-CN"/>
        </w:rPr>
        <w:t xml:space="preserve"> įvykdytas 1</w:t>
      </w:r>
      <w:r w:rsidR="00C4437D" w:rsidRPr="00096D83">
        <w:rPr>
          <w:rFonts w:asciiTheme="minorHAnsi" w:hAnsiTheme="minorHAnsi" w:cstheme="minorHAnsi"/>
          <w:szCs w:val="24"/>
          <w:lang w:eastAsia="zh-CN"/>
        </w:rPr>
        <w:t>46 308,7</w:t>
      </w:r>
      <w:r w:rsidRPr="00096D83">
        <w:rPr>
          <w:rFonts w:asciiTheme="minorHAnsi" w:hAnsiTheme="minorHAnsi" w:cstheme="minorHAnsi"/>
          <w:szCs w:val="24"/>
          <w:lang w:eastAsia="zh-CN"/>
        </w:rPr>
        <w:t xml:space="preserve"> tūkst. eurų arba 9</w:t>
      </w:r>
      <w:r w:rsidR="00C4437D" w:rsidRPr="00096D83">
        <w:rPr>
          <w:rFonts w:asciiTheme="minorHAnsi" w:hAnsiTheme="minorHAnsi" w:cstheme="minorHAnsi"/>
          <w:szCs w:val="24"/>
          <w:lang w:eastAsia="zh-CN"/>
        </w:rPr>
        <w:t>4,9</w:t>
      </w:r>
      <w:r w:rsidRPr="00096D83">
        <w:rPr>
          <w:rFonts w:asciiTheme="minorHAnsi" w:hAnsiTheme="minorHAnsi" w:cstheme="minorHAnsi"/>
          <w:szCs w:val="24"/>
          <w:lang w:eastAsia="zh-CN"/>
        </w:rPr>
        <w:t xml:space="preserve"> proc., t. y. liko nepanaudota </w:t>
      </w:r>
      <w:r w:rsidR="00EB13B2" w:rsidRPr="00096D83">
        <w:rPr>
          <w:rFonts w:asciiTheme="minorHAnsi" w:hAnsiTheme="minorHAnsi" w:cstheme="minorHAnsi"/>
          <w:szCs w:val="24"/>
          <w:lang w:eastAsia="zh-CN"/>
        </w:rPr>
        <w:t>7 805,</w:t>
      </w:r>
      <w:r w:rsidR="000A07CA" w:rsidRPr="00096D83">
        <w:rPr>
          <w:rFonts w:asciiTheme="minorHAnsi" w:hAnsiTheme="minorHAnsi" w:cstheme="minorHAnsi"/>
          <w:szCs w:val="24"/>
          <w:lang w:eastAsia="zh-CN"/>
        </w:rPr>
        <w:t>7</w:t>
      </w:r>
      <w:r w:rsidRPr="00096D83">
        <w:rPr>
          <w:rFonts w:asciiTheme="minorHAnsi" w:hAnsiTheme="minorHAnsi" w:cstheme="minorHAnsi"/>
          <w:szCs w:val="24"/>
          <w:lang w:eastAsia="zh-CN"/>
        </w:rPr>
        <w:t xml:space="preserve"> tūkst. eurų. </w:t>
      </w:r>
    </w:p>
    <w:p w:rsidR="00F67E15" w:rsidRPr="00096D83" w:rsidRDefault="001E7209" w:rsidP="00E46A51">
      <w:pPr>
        <w:suppressAutoHyphens/>
        <w:spacing w:line="360" w:lineRule="auto"/>
        <w:ind w:firstLine="851"/>
        <w:contextualSpacing/>
        <w:jc w:val="both"/>
        <w:rPr>
          <w:rFonts w:asciiTheme="minorHAnsi" w:hAnsiTheme="minorHAnsi" w:cstheme="minorHAnsi"/>
          <w:szCs w:val="24"/>
          <w:lang w:val="en-US" w:eastAsia="zh-CN"/>
        </w:rPr>
      </w:pPr>
      <w:r w:rsidRPr="00096D83">
        <w:rPr>
          <w:rFonts w:asciiTheme="minorHAnsi" w:hAnsiTheme="minorHAnsi" w:cstheme="minorHAnsi"/>
          <w:i/>
          <w:szCs w:val="24"/>
          <w:lang w:eastAsia="zh-CN"/>
        </w:rPr>
        <w:t xml:space="preserve">Valstybės </w:t>
      </w:r>
      <w:r w:rsidR="00C94EE5" w:rsidRPr="00096D83">
        <w:rPr>
          <w:rFonts w:asciiTheme="minorHAnsi" w:hAnsiTheme="minorHAnsi" w:cstheme="minorHAnsi"/>
          <w:i/>
          <w:szCs w:val="24"/>
          <w:lang w:eastAsia="zh-CN"/>
        </w:rPr>
        <w:t>dotacijų</w:t>
      </w:r>
      <w:r w:rsidR="00F67E15" w:rsidRPr="00096D83">
        <w:rPr>
          <w:rFonts w:asciiTheme="minorHAnsi" w:hAnsiTheme="minorHAnsi" w:cstheme="minorHAnsi"/>
          <w:i/>
          <w:szCs w:val="24"/>
          <w:lang w:eastAsia="zh-CN"/>
        </w:rPr>
        <w:t xml:space="preserve"> asignavimų planas</w:t>
      </w:r>
      <w:r w:rsidR="00F67E15" w:rsidRPr="00096D83">
        <w:rPr>
          <w:rFonts w:asciiTheme="minorHAnsi" w:hAnsiTheme="minorHAnsi" w:cstheme="minorHAnsi"/>
          <w:szCs w:val="24"/>
          <w:lang w:eastAsia="zh-CN"/>
        </w:rPr>
        <w:t xml:space="preserve"> </w:t>
      </w:r>
      <w:r w:rsidRPr="00096D83">
        <w:rPr>
          <w:rFonts w:asciiTheme="minorHAnsi" w:hAnsiTheme="minorHAnsi" w:cstheme="minorHAnsi"/>
          <w:szCs w:val="24"/>
          <w:lang w:eastAsia="zh-CN"/>
        </w:rPr>
        <w:t>16 800,6</w:t>
      </w:r>
      <w:r w:rsidR="00EB13B2" w:rsidRPr="00096D83">
        <w:rPr>
          <w:rFonts w:asciiTheme="minorHAnsi" w:hAnsiTheme="minorHAnsi" w:cstheme="minorHAnsi"/>
          <w:szCs w:val="24"/>
          <w:lang w:eastAsia="zh-CN"/>
        </w:rPr>
        <w:t xml:space="preserve"> tūkst. eurų</w:t>
      </w:r>
      <w:r w:rsidR="0086536E" w:rsidRPr="00096D83">
        <w:rPr>
          <w:rFonts w:asciiTheme="minorHAnsi" w:hAnsiTheme="minorHAnsi" w:cstheme="minorHAnsi"/>
          <w:szCs w:val="24"/>
          <w:lang w:eastAsia="zh-CN"/>
        </w:rPr>
        <w:t>,</w:t>
      </w:r>
      <w:r w:rsidR="00EB13B2" w:rsidRPr="00096D83">
        <w:rPr>
          <w:rFonts w:asciiTheme="minorHAnsi" w:hAnsiTheme="minorHAnsi" w:cstheme="minorHAnsi"/>
          <w:szCs w:val="24"/>
          <w:lang w:eastAsia="zh-CN"/>
        </w:rPr>
        <w:t xml:space="preserve"> </w:t>
      </w:r>
      <w:r w:rsidR="00F67E15" w:rsidRPr="00096D83">
        <w:rPr>
          <w:rFonts w:asciiTheme="minorHAnsi" w:hAnsiTheme="minorHAnsi" w:cstheme="minorHAnsi"/>
          <w:szCs w:val="24"/>
          <w:lang w:eastAsia="zh-CN"/>
        </w:rPr>
        <w:t xml:space="preserve">įvykdytas </w:t>
      </w:r>
      <w:r w:rsidRPr="00096D83">
        <w:rPr>
          <w:rFonts w:asciiTheme="minorHAnsi" w:hAnsiTheme="minorHAnsi" w:cstheme="minorHAnsi"/>
          <w:szCs w:val="24"/>
          <w:lang w:eastAsia="zh-CN"/>
        </w:rPr>
        <w:t>16 751,9</w:t>
      </w:r>
      <w:r w:rsidR="00F67E15" w:rsidRPr="00096D83">
        <w:rPr>
          <w:rFonts w:asciiTheme="minorHAnsi" w:hAnsiTheme="minorHAnsi" w:cstheme="minorHAnsi"/>
          <w:szCs w:val="24"/>
          <w:lang w:eastAsia="zh-CN"/>
        </w:rPr>
        <w:t xml:space="preserve"> tūkst. eurų arba 99,</w:t>
      </w:r>
      <w:r w:rsidRPr="00096D83">
        <w:rPr>
          <w:rFonts w:asciiTheme="minorHAnsi" w:hAnsiTheme="minorHAnsi" w:cstheme="minorHAnsi"/>
          <w:szCs w:val="24"/>
          <w:lang w:eastAsia="zh-CN"/>
        </w:rPr>
        <w:t xml:space="preserve">7 </w:t>
      </w:r>
      <w:r w:rsidR="00F67E15" w:rsidRPr="00096D83">
        <w:rPr>
          <w:rFonts w:asciiTheme="minorHAnsi" w:hAnsiTheme="minorHAnsi" w:cstheme="minorHAnsi"/>
          <w:szCs w:val="24"/>
          <w:lang w:eastAsia="zh-CN"/>
        </w:rPr>
        <w:t>proc.</w:t>
      </w:r>
      <w:bookmarkStart w:id="1" w:name="_Hlk221532313"/>
      <w:r w:rsidR="00C31A60" w:rsidRPr="00096D83">
        <w:rPr>
          <w:rFonts w:asciiTheme="minorHAnsi" w:hAnsiTheme="minorHAnsi" w:cstheme="minorHAnsi"/>
          <w:szCs w:val="24"/>
          <w:lang w:eastAsia="zh-CN"/>
        </w:rPr>
        <w:t xml:space="preserve"> </w:t>
      </w:r>
      <w:r w:rsidR="00F67E15" w:rsidRPr="00096D83">
        <w:rPr>
          <w:rFonts w:asciiTheme="minorHAnsi" w:hAnsiTheme="minorHAnsi" w:cstheme="minorHAnsi"/>
          <w:szCs w:val="24"/>
          <w:lang w:eastAsia="zh-CN"/>
        </w:rPr>
        <w:t xml:space="preserve">Kelių priežiūros ir plėtros programos lėšų </w:t>
      </w:r>
      <w:bookmarkEnd w:id="1"/>
      <w:r w:rsidR="000A07CA" w:rsidRPr="00096D83">
        <w:rPr>
          <w:rFonts w:asciiTheme="minorHAnsi" w:hAnsiTheme="minorHAnsi" w:cstheme="minorHAnsi"/>
          <w:szCs w:val="24"/>
          <w:lang w:eastAsia="zh-CN"/>
        </w:rPr>
        <w:t xml:space="preserve">Geležinio Vilko gatvės </w:t>
      </w:r>
      <w:r w:rsidR="00F67E15" w:rsidRPr="00096D83">
        <w:rPr>
          <w:rFonts w:asciiTheme="minorHAnsi" w:hAnsiTheme="minorHAnsi" w:cstheme="minorHAnsi"/>
          <w:szCs w:val="24"/>
          <w:lang w:eastAsia="zh-CN"/>
        </w:rPr>
        <w:t>remontui,</w:t>
      </w:r>
      <w:r w:rsidR="00C31A60" w:rsidRPr="00096D83">
        <w:rPr>
          <w:rFonts w:asciiTheme="minorHAnsi" w:hAnsiTheme="minorHAnsi" w:cstheme="minorHAnsi"/>
          <w:szCs w:val="24"/>
          <w:lang w:eastAsia="zh-CN"/>
        </w:rPr>
        <w:t xml:space="preserve"> liko nepanaudota 48,7 tūkst. eurų, </w:t>
      </w:r>
      <w:r w:rsidR="00F67E15" w:rsidRPr="00096D83">
        <w:rPr>
          <w:rFonts w:asciiTheme="minorHAnsi" w:hAnsiTheme="minorHAnsi" w:cstheme="minorHAnsi"/>
          <w:szCs w:val="24"/>
          <w:lang w:eastAsia="zh-CN"/>
        </w:rPr>
        <w:t xml:space="preserve">nes </w:t>
      </w:r>
      <w:r w:rsidR="000A07CA" w:rsidRPr="00096D83">
        <w:rPr>
          <w:rFonts w:asciiTheme="minorHAnsi" w:hAnsiTheme="minorHAnsi" w:cstheme="minorHAnsi"/>
          <w:szCs w:val="24"/>
          <w:lang w:eastAsia="zh-CN"/>
        </w:rPr>
        <w:t>gatvės tvarkybos paruošiamieji darbai neatitiko programos finansavimo reikalavimų</w:t>
      </w:r>
      <w:r w:rsidR="00F67E15"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Europos Sąjungos finansinės paramos ir bendrojo finansavimo lėšos</w:t>
      </w:r>
      <w:r w:rsidRPr="00096D83">
        <w:rPr>
          <w:rFonts w:asciiTheme="minorHAnsi" w:hAnsiTheme="minorHAnsi" w:cstheme="minorHAnsi"/>
          <w:szCs w:val="24"/>
          <w:lang w:eastAsia="zh-CN"/>
        </w:rPr>
        <w:t xml:space="preserve"> – </w:t>
      </w:r>
      <w:r w:rsidR="00345DEB" w:rsidRPr="00096D83">
        <w:rPr>
          <w:rFonts w:asciiTheme="minorHAnsi" w:hAnsiTheme="minorHAnsi" w:cstheme="minorHAnsi"/>
          <w:szCs w:val="24"/>
          <w:lang w:eastAsia="zh-CN"/>
        </w:rPr>
        <w:t>4 664,2</w:t>
      </w:r>
      <w:r w:rsidRPr="00096D83">
        <w:rPr>
          <w:rFonts w:asciiTheme="minorHAnsi" w:hAnsiTheme="minorHAnsi" w:cstheme="minorHAnsi"/>
          <w:szCs w:val="24"/>
          <w:lang w:eastAsia="zh-CN"/>
        </w:rPr>
        <w:t xml:space="preserve"> tūkst. eurų </w:t>
      </w:r>
      <w:r w:rsidR="007757DB" w:rsidRPr="00096D83">
        <w:rPr>
          <w:rFonts w:asciiTheme="minorHAnsi" w:hAnsiTheme="minorHAnsi" w:cstheme="minorHAnsi"/>
          <w:szCs w:val="24"/>
          <w:lang w:eastAsia="zh-CN"/>
        </w:rPr>
        <w:t>skirt</w:t>
      </w:r>
      <w:r w:rsidR="00C0799A" w:rsidRPr="00096D83">
        <w:rPr>
          <w:rFonts w:asciiTheme="minorHAnsi" w:hAnsiTheme="minorHAnsi" w:cstheme="minorHAnsi"/>
          <w:szCs w:val="24"/>
          <w:lang w:eastAsia="zh-CN"/>
        </w:rPr>
        <w:t>os</w:t>
      </w:r>
      <w:r w:rsidR="007757DB" w:rsidRPr="00096D83">
        <w:rPr>
          <w:rFonts w:asciiTheme="minorHAnsi" w:hAnsiTheme="minorHAnsi" w:cstheme="minorHAnsi"/>
          <w:szCs w:val="24"/>
          <w:lang w:eastAsia="zh-CN"/>
        </w:rPr>
        <w:t xml:space="preserve"> </w:t>
      </w:r>
      <w:r w:rsidRPr="00096D83">
        <w:rPr>
          <w:rFonts w:asciiTheme="minorHAnsi" w:hAnsiTheme="minorHAnsi" w:cstheme="minorHAnsi"/>
          <w:szCs w:val="24"/>
          <w:lang w:eastAsia="zh-CN"/>
        </w:rPr>
        <w:t xml:space="preserve">pėsčiųjų tilto per Nemuno upę nuo Aleksoto iki salos ir nuo salos iki Karaliaus Mindaugo pr., Kaune, statybai.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2B72AD" w:rsidRPr="00096D83">
        <w:rPr>
          <w:rFonts w:asciiTheme="minorHAnsi" w:hAnsiTheme="minorHAnsi" w:cstheme="minorHAnsi"/>
          <w:szCs w:val="24"/>
          <w:lang w:eastAsia="zh-CN"/>
        </w:rPr>
        <w:t>132 649,7</w:t>
      </w:r>
      <w:r w:rsidRPr="00096D83">
        <w:rPr>
          <w:rFonts w:asciiTheme="minorHAnsi" w:hAnsiTheme="minorHAnsi" w:cstheme="minorHAnsi"/>
          <w:szCs w:val="24"/>
          <w:lang w:eastAsia="zh-CN"/>
        </w:rPr>
        <w:t xml:space="preserve"> tūkst. eurų liko nepanaudota </w:t>
      </w:r>
      <w:r w:rsidR="002B72AD" w:rsidRPr="00096D83">
        <w:rPr>
          <w:rFonts w:asciiTheme="minorHAnsi" w:hAnsiTheme="minorHAnsi" w:cstheme="minorHAnsi"/>
          <w:szCs w:val="24"/>
          <w:lang w:eastAsia="zh-CN"/>
        </w:rPr>
        <w:t>7 756,6</w:t>
      </w:r>
      <w:r w:rsidRPr="00096D83">
        <w:rPr>
          <w:rFonts w:asciiTheme="minorHAnsi" w:hAnsiTheme="minorHAnsi" w:cstheme="minorHAnsi"/>
          <w:szCs w:val="24"/>
          <w:lang w:eastAsia="zh-CN"/>
        </w:rPr>
        <w:t xml:space="preserve"> tūkst. eurų, iš jų daugiausiai – 2</w:t>
      </w:r>
      <w:r w:rsidR="002B72AD" w:rsidRPr="00096D83">
        <w:rPr>
          <w:rFonts w:asciiTheme="minorHAnsi" w:hAnsiTheme="minorHAnsi" w:cstheme="minorHAnsi"/>
          <w:szCs w:val="24"/>
          <w:lang w:eastAsia="zh-CN"/>
        </w:rPr>
        <w:t> 060,3</w:t>
      </w:r>
      <w:r w:rsidRPr="00096D83">
        <w:rPr>
          <w:rFonts w:asciiTheme="minorHAnsi" w:hAnsiTheme="minorHAnsi" w:cstheme="minorHAnsi"/>
          <w:szCs w:val="24"/>
          <w:lang w:eastAsia="zh-CN"/>
        </w:rPr>
        <w:t xml:space="preserve"> tūkst. eurų </w:t>
      </w:r>
      <w:r w:rsidR="002B72AD" w:rsidRPr="00096D83">
        <w:rPr>
          <w:rFonts w:asciiTheme="minorHAnsi" w:hAnsiTheme="minorHAnsi" w:cstheme="minorHAnsi"/>
          <w:szCs w:val="24"/>
          <w:lang w:eastAsia="zh-CN"/>
        </w:rPr>
        <w:t xml:space="preserve">Stoties turgaus teritorijos vystymui, dėl </w:t>
      </w:r>
      <w:r w:rsidR="00C36221" w:rsidRPr="00096D83">
        <w:rPr>
          <w:rFonts w:asciiTheme="minorHAnsi" w:hAnsiTheme="minorHAnsi" w:cstheme="minorHAnsi"/>
          <w:szCs w:val="24"/>
          <w:lang w:eastAsia="zh-CN"/>
        </w:rPr>
        <w:t>vėlavusi</w:t>
      </w:r>
      <w:r w:rsidR="00C0799A" w:rsidRPr="00096D83">
        <w:rPr>
          <w:rFonts w:asciiTheme="minorHAnsi" w:hAnsiTheme="minorHAnsi" w:cstheme="minorHAnsi"/>
          <w:szCs w:val="24"/>
          <w:lang w:eastAsia="zh-CN"/>
        </w:rPr>
        <w:t>ų</w:t>
      </w:r>
      <w:r w:rsidR="00C36221" w:rsidRPr="00096D83">
        <w:rPr>
          <w:rFonts w:asciiTheme="minorHAnsi" w:hAnsiTheme="minorHAnsi" w:cstheme="minorHAnsi"/>
          <w:szCs w:val="24"/>
          <w:lang w:eastAsia="zh-CN"/>
        </w:rPr>
        <w:t xml:space="preserve"> šilumos perdavimo tinklų rekonstravimo ir perkėlimo projekto parengimo darbų. </w:t>
      </w:r>
      <w:r w:rsidR="00272465" w:rsidRPr="00096D83">
        <w:rPr>
          <w:rFonts w:asciiTheme="minorHAnsi" w:hAnsiTheme="minorHAnsi" w:cstheme="minorHAnsi"/>
          <w:szCs w:val="24"/>
          <w:lang w:eastAsia="zh-CN"/>
        </w:rPr>
        <w:t>Taip pat 2 354,5 tūkst. eurų nepanaudota inžinerinės infrastruktūros darbams, nes Pramonės prospekto, Nemuno krantinės, Jurbarko gatvės, dalies Brastos gatvės</w:t>
      </w:r>
      <w:r w:rsidR="002E1075" w:rsidRPr="00096D83">
        <w:rPr>
          <w:rFonts w:asciiTheme="minorHAnsi" w:hAnsiTheme="minorHAnsi" w:cstheme="minorHAnsi"/>
          <w:szCs w:val="24"/>
          <w:lang w:eastAsia="zh-CN"/>
        </w:rPr>
        <w:t xml:space="preserve"> ir</w:t>
      </w:r>
      <w:r w:rsidR="00272465" w:rsidRPr="00096D83">
        <w:rPr>
          <w:rFonts w:asciiTheme="minorHAnsi" w:hAnsiTheme="minorHAnsi" w:cstheme="minorHAnsi"/>
          <w:szCs w:val="24"/>
          <w:lang w:eastAsia="zh-CN"/>
        </w:rPr>
        <w:t xml:space="preserve"> Laisvės alėjos rekonstravimo darbai buvo apmokėti </w:t>
      </w:r>
      <w:r w:rsidR="002E1075" w:rsidRPr="00096D83">
        <w:rPr>
          <w:rFonts w:asciiTheme="minorHAnsi" w:hAnsiTheme="minorHAnsi" w:cstheme="minorHAnsi"/>
          <w:szCs w:val="24"/>
          <w:lang w:eastAsia="zh-CN"/>
        </w:rPr>
        <w:t xml:space="preserve">iš gautų </w:t>
      </w:r>
      <w:r w:rsidR="00272465" w:rsidRPr="00096D83">
        <w:rPr>
          <w:rFonts w:asciiTheme="minorHAnsi" w:hAnsiTheme="minorHAnsi" w:cstheme="minorHAnsi"/>
          <w:szCs w:val="24"/>
          <w:lang w:eastAsia="zh-CN"/>
        </w:rPr>
        <w:t>Kelių priežiūros ir plėtros programos lėš</w:t>
      </w:r>
      <w:r w:rsidR="002E1075" w:rsidRPr="00096D83">
        <w:rPr>
          <w:rFonts w:asciiTheme="minorHAnsi" w:hAnsiTheme="minorHAnsi" w:cstheme="minorHAnsi"/>
          <w:szCs w:val="24"/>
          <w:lang w:eastAsia="zh-CN"/>
        </w:rPr>
        <w:t>ų</w:t>
      </w:r>
      <w:r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05</w:t>
      </w:r>
      <w:r w:rsidR="00F711D5">
        <w:rPr>
          <w:rFonts w:asciiTheme="minorHAnsi" w:hAnsiTheme="minorHAnsi" w:cstheme="minorHAnsi"/>
          <w:b/>
          <w:szCs w:val="24"/>
          <w:lang w:eastAsia="zh-CN"/>
        </w:rPr>
        <w:t xml:space="preserve"> </w:t>
      </w:r>
      <w:r w:rsidRPr="00096D83">
        <w:rPr>
          <w:rFonts w:asciiTheme="minorHAnsi" w:hAnsiTheme="minorHAnsi" w:cstheme="minorHAnsi"/>
          <w:b/>
          <w:szCs w:val="24"/>
          <w:lang w:eastAsia="zh-CN"/>
        </w:rPr>
        <w:t xml:space="preserve">Aplinkos apsauga. </w:t>
      </w:r>
      <w:r w:rsidRPr="00096D83">
        <w:rPr>
          <w:rFonts w:asciiTheme="minorHAnsi" w:hAnsiTheme="minorHAnsi" w:cstheme="minorHAnsi"/>
          <w:szCs w:val="24"/>
          <w:lang w:eastAsia="zh-CN"/>
        </w:rPr>
        <w:t>Patikslintas asignavimų planas 1</w:t>
      </w:r>
      <w:r w:rsidR="004A5900" w:rsidRPr="00096D83">
        <w:rPr>
          <w:rFonts w:asciiTheme="minorHAnsi" w:hAnsiTheme="minorHAnsi" w:cstheme="minorHAnsi"/>
          <w:szCs w:val="24"/>
          <w:lang w:eastAsia="zh-CN"/>
        </w:rPr>
        <w:t>1 194,1</w:t>
      </w:r>
      <w:r w:rsidRPr="00096D83">
        <w:rPr>
          <w:rFonts w:asciiTheme="minorHAnsi" w:hAnsiTheme="minorHAnsi" w:cstheme="minorHAnsi"/>
          <w:szCs w:val="24"/>
          <w:lang w:eastAsia="zh-CN"/>
        </w:rPr>
        <w:t xml:space="preserve"> tūkst. eurų įvykdytas                         1</w:t>
      </w:r>
      <w:r w:rsidR="004A5900" w:rsidRPr="00096D83">
        <w:rPr>
          <w:rFonts w:asciiTheme="minorHAnsi" w:hAnsiTheme="minorHAnsi" w:cstheme="minorHAnsi"/>
          <w:szCs w:val="24"/>
          <w:lang w:eastAsia="zh-CN"/>
        </w:rPr>
        <w:t>0 589,7</w:t>
      </w:r>
      <w:r w:rsidRPr="00096D83">
        <w:rPr>
          <w:rFonts w:asciiTheme="minorHAnsi" w:hAnsiTheme="minorHAnsi" w:cstheme="minorHAnsi"/>
          <w:szCs w:val="24"/>
          <w:lang w:eastAsia="zh-CN"/>
        </w:rPr>
        <w:t xml:space="preserve"> tūkst. eurų arba 9</w:t>
      </w:r>
      <w:r w:rsidR="004A5900" w:rsidRPr="00096D83">
        <w:rPr>
          <w:rFonts w:asciiTheme="minorHAnsi" w:hAnsiTheme="minorHAnsi" w:cstheme="minorHAnsi"/>
          <w:szCs w:val="24"/>
          <w:lang w:eastAsia="zh-CN"/>
        </w:rPr>
        <w:t>4,6</w:t>
      </w:r>
      <w:r w:rsidRPr="00096D83">
        <w:rPr>
          <w:rFonts w:asciiTheme="minorHAnsi" w:hAnsiTheme="minorHAnsi" w:cstheme="minorHAnsi"/>
          <w:szCs w:val="24"/>
          <w:lang w:eastAsia="zh-CN"/>
        </w:rPr>
        <w:t xml:space="preserve"> proc., t. y. liko nepanaudota </w:t>
      </w:r>
      <w:r w:rsidR="004A5900" w:rsidRPr="00096D83">
        <w:rPr>
          <w:rFonts w:asciiTheme="minorHAnsi" w:hAnsiTheme="minorHAnsi" w:cstheme="minorHAnsi"/>
          <w:szCs w:val="24"/>
          <w:lang w:eastAsia="zh-CN"/>
        </w:rPr>
        <w:t>604,4</w:t>
      </w:r>
      <w:r w:rsidRPr="00096D83">
        <w:rPr>
          <w:rFonts w:asciiTheme="minorHAnsi" w:hAnsiTheme="minorHAnsi" w:cstheme="minorHAnsi"/>
          <w:szCs w:val="24"/>
          <w:lang w:eastAsia="zh-CN"/>
        </w:rPr>
        <w:t xml:space="preserve"> tūkst. eurų.</w:t>
      </w:r>
    </w:p>
    <w:p w:rsidR="00D579E5" w:rsidRPr="00096D83" w:rsidRDefault="00D579E5" w:rsidP="00E46A51">
      <w:pPr>
        <w:suppressAutoHyphens/>
        <w:spacing w:line="360" w:lineRule="auto"/>
        <w:ind w:firstLine="851"/>
        <w:contextualSpacing/>
        <w:jc w:val="both"/>
        <w:rPr>
          <w:rFonts w:asciiTheme="minorHAnsi" w:hAnsiTheme="minorHAnsi" w:cstheme="minorHAnsi"/>
          <w:i/>
          <w:szCs w:val="24"/>
          <w:lang w:eastAsia="zh-CN"/>
        </w:rPr>
      </w:pPr>
      <w:r w:rsidRPr="00096D83">
        <w:rPr>
          <w:rFonts w:asciiTheme="minorHAnsi" w:hAnsiTheme="minorHAnsi" w:cstheme="minorHAnsi"/>
          <w:i/>
          <w:szCs w:val="24"/>
          <w:lang w:eastAsia="zh-CN"/>
        </w:rPr>
        <w:t xml:space="preserve">Valstybės </w:t>
      </w:r>
      <w:r w:rsidR="00966126" w:rsidRPr="00096D83">
        <w:rPr>
          <w:rFonts w:asciiTheme="minorHAnsi" w:hAnsiTheme="minorHAnsi" w:cstheme="minorHAnsi"/>
          <w:i/>
          <w:szCs w:val="24"/>
          <w:lang w:eastAsia="zh-CN"/>
        </w:rPr>
        <w:t>dotacijų</w:t>
      </w:r>
      <w:r w:rsidRPr="00096D83">
        <w:rPr>
          <w:rFonts w:asciiTheme="minorHAnsi" w:hAnsiTheme="minorHAnsi" w:cstheme="minorHAnsi"/>
          <w:i/>
          <w:szCs w:val="24"/>
          <w:lang w:eastAsia="zh-CN"/>
        </w:rPr>
        <w:t xml:space="preserve"> asignavimų planas </w:t>
      </w:r>
      <w:r w:rsidR="00CD69FB" w:rsidRPr="00096D83">
        <w:rPr>
          <w:rFonts w:asciiTheme="minorHAnsi" w:hAnsiTheme="minorHAnsi" w:cstheme="minorHAnsi"/>
          <w:i/>
          <w:szCs w:val="24"/>
          <w:lang w:eastAsia="zh-CN"/>
        </w:rPr>
        <w:t>–</w:t>
      </w:r>
      <w:r w:rsidRPr="00096D83">
        <w:rPr>
          <w:rFonts w:asciiTheme="minorHAnsi" w:hAnsiTheme="minorHAnsi" w:cstheme="minorHAnsi"/>
          <w:i/>
          <w:szCs w:val="24"/>
          <w:lang w:eastAsia="zh-CN"/>
        </w:rPr>
        <w:t xml:space="preserve"> </w:t>
      </w:r>
      <w:r w:rsidRPr="00096D83">
        <w:rPr>
          <w:rFonts w:asciiTheme="minorHAnsi" w:hAnsiTheme="minorHAnsi" w:cstheme="minorHAnsi"/>
          <w:iCs/>
          <w:szCs w:val="24"/>
          <w:lang w:eastAsia="zh-CN"/>
        </w:rPr>
        <w:t>50 tūkst. eurų</w:t>
      </w:r>
      <w:r w:rsidR="00CD69FB" w:rsidRPr="00096D83">
        <w:rPr>
          <w:rFonts w:asciiTheme="minorHAnsi" w:hAnsiTheme="minorHAnsi" w:cstheme="minorHAnsi"/>
          <w:iCs/>
          <w:szCs w:val="24"/>
          <w:lang w:eastAsia="zh-CN"/>
        </w:rPr>
        <w:t>,</w:t>
      </w:r>
      <w:r w:rsidRPr="00096D83">
        <w:rPr>
          <w:rFonts w:asciiTheme="minorHAnsi" w:hAnsiTheme="minorHAnsi" w:cstheme="minorHAnsi"/>
          <w:iCs/>
          <w:szCs w:val="24"/>
          <w:lang w:eastAsia="zh-CN"/>
        </w:rPr>
        <w:t xml:space="preserve"> skirtas miškų tvarkymui įgyvendinant miškų projektą</w:t>
      </w:r>
      <w:r w:rsidR="00CD69FB" w:rsidRPr="00096D83">
        <w:rPr>
          <w:rFonts w:asciiTheme="minorHAnsi" w:hAnsiTheme="minorHAnsi" w:cstheme="minorHAnsi"/>
          <w:iCs/>
          <w:szCs w:val="24"/>
          <w:lang w:eastAsia="zh-CN"/>
        </w:rPr>
        <w:t>,</w:t>
      </w:r>
      <w:r w:rsidRPr="00096D83">
        <w:rPr>
          <w:rFonts w:asciiTheme="minorHAnsi" w:hAnsiTheme="minorHAnsi" w:cstheme="minorHAnsi"/>
          <w:iCs/>
          <w:szCs w:val="24"/>
          <w:lang w:eastAsia="zh-CN"/>
        </w:rPr>
        <w:t xml:space="preserve"> panaudotas 100 proc.</w:t>
      </w:r>
      <w:r w:rsidRPr="00096D83">
        <w:rPr>
          <w:rFonts w:asciiTheme="minorHAnsi" w:hAnsiTheme="minorHAnsi" w:cstheme="minorHAnsi"/>
          <w: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1</w:t>
      </w:r>
      <w:r w:rsidR="00027BB2" w:rsidRPr="00096D83">
        <w:rPr>
          <w:rFonts w:asciiTheme="minorHAnsi" w:hAnsiTheme="minorHAnsi" w:cstheme="minorHAnsi"/>
          <w:szCs w:val="24"/>
          <w:lang w:eastAsia="zh-CN"/>
        </w:rPr>
        <w:t>1 144,1</w:t>
      </w:r>
      <w:r w:rsidRPr="00096D83">
        <w:rPr>
          <w:rFonts w:asciiTheme="minorHAnsi" w:hAnsiTheme="minorHAnsi" w:cstheme="minorHAnsi"/>
          <w:szCs w:val="24"/>
          <w:lang w:eastAsia="zh-CN"/>
        </w:rPr>
        <w:t xml:space="preserve"> tūkst. eurų liko nepanaudota </w:t>
      </w:r>
      <w:r w:rsidR="00027BB2" w:rsidRPr="00096D83">
        <w:rPr>
          <w:rFonts w:asciiTheme="minorHAnsi" w:hAnsiTheme="minorHAnsi" w:cstheme="minorHAnsi"/>
          <w:szCs w:val="24"/>
          <w:lang w:eastAsia="zh-CN"/>
        </w:rPr>
        <w:t>604,4</w:t>
      </w:r>
      <w:r w:rsidRPr="00096D83">
        <w:rPr>
          <w:rFonts w:asciiTheme="minorHAnsi" w:hAnsiTheme="minorHAnsi" w:cstheme="minorHAnsi"/>
          <w:szCs w:val="24"/>
          <w:lang w:eastAsia="zh-CN"/>
        </w:rPr>
        <w:t xml:space="preserve"> tūkst. eurų, iš jų daugiausiai – </w:t>
      </w:r>
      <w:r w:rsidR="005E755E" w:rsidRPr="00096D83">
        <w:rPr>
          <w:rFonts w:asciiTheme="minorHAnsi" w:hAnsiTheme="minorHAnsi" w:cstheme="minorHAnsi"/>
          <w:szCs w:val="24"/>
          <w:lang w:eastAsia="zh-CN"/>
        </w:rPr>
        <w:t>591,4</w:t>
      </w:r>
      <w:r w:rsidRPr="00096D83">
        <w:rPr>
          <w:rFonts w:asciiTheme="minorHAnsi" w:hAnsiTheme="minorHAnsi" w:cstheme="minorHAnsi"/>
          <w:szCs w:val="24"/>
          <w:lang w:eastAsia="zh-CN"/>
        </w:rPr>
        <w:t xml:space="preserve"> tūkst. eurų Aplinkos apsaugos specialiosios programos asignavimų</w:t>
      </w:r>
      <w:r w:rsidR="008A7DA0" w:rsidRPr="00096D83">
        <w:rPr>
          <w:rFonts w:asciiTheme="minorHAnsi" w:hAnsiTheme="minorHAnsi" w:cstheme="minorHAnsi"/>
          <w:szCs w:val="24"/>
          <w:lang w:eastAsia="zh-CN"/>
        </w:rPr>
        <w:t>,</w:t>
      </w:r>
      <w:r w:rsidRPr="00096D83">
        <w:rPr>
          <w:rFonts w:asciiTheme="minorHAnsi" w:hAnsiTheme="minorHAnsi" w:cstheme="minorHAnsi"/>
          <w:szCs w:val="24"/>
          <w:lang w:eastAsia="zh-CN"/>
        </w:rPr>
        <w:t xml:space="preserve"> dėl užsitęsusių </w:t>
      </w:r>
      <w:r w:rsidR="001F7EB5" w:rsidRPr="00096D83">
        <w:rPr>
          <w:rFonts w:asciiTheme="minorHAnsi" w:hAnsiTheme="minorHAnsi" w:cstheme="minorHAnsi"/>
          <w:szCs w:val="24"/>
          <w:lang w:eastAsia="zh-CN"/>
        </w:rPr>
        <w:t xml:space="preserve">paruošiamųjų darbų, susijusių su </w:t>
      </w:r>
      <w:r w:rsidRPr="00096D83">
        <w:rPr>
          <w:rFonts w:asciiTheme="minorHAnsi" w:hAnsiTheme="minorHAnsi" w:cstheme="minorHAnsi"/>
          <w:szCs w:val="24"/>
          <w:lang w:eastAsia="zh-CN"/>
        </w:rPr>
        <w:t xml:space="preserve">komunalinių atliekų surinkimo aikštelių </w:t>
      </w:r>
      <w:r w:rsidR="00017E81" w:rsidRPr="00096D83">
        <w:rPr>
          <w:rFonts w:asciiTheme="minorHAnsi" w:hAnsiTheme="minorHAnsi" w:cstheme="minorHAnsi"/>
          <w:szCs w:val="24"/>
          <w:lang w:eastAsia="zh-CN"/>
        </w:rPr>
        <w:t>įrengim</w:t>
      </w:r>
      <w:r w:rsidR="001F7EB5" w:rsidRPr="00096D83">
        <w:rPr>
          <w:rFonts w:asciiTheme="minorHAnsi" w:hAnsiTheme="minorHAnsi" w:cstheme="minorHAnsi"/>
          <w:szCs w:val="24"/>
          <w:lang w:eastAsia="zh-CN"/>
        </w:rPr>
        <w:t>u,</w:t>
      </w:r>
      <w:r w:rsidR="00017E81" w:rsidRPr="00096D83">
        <w:rPr>
          <w:rFonts w:asciiTheme="minorHAnsi" w:hAnsiTheme="minorHAnsi" w:cstheme="minorHAnsi"/>
          <w:szCs w:val="24"/>
          <w:lang w:eastAsia="zh-CN"/>
        </w:rPr>
        <w:t xml:space="preserve"> taip pat dėl sumažėjusių kai kurių programos lėšomis </w:t>
      </w:r>
      <w:r w:rsidR="001F7EB5" w:rsidRPr="00096D83">
        <w:rPr>
          <w:rFonts w:asciiTheme="minorHAnsi" w:hAnsiTheme="minorHAnsi" w:cstheme="minorHAnsi"/>
          <w:szCs w:val="24"/>
          <w:lang w:eastAsia="zh-CN"/>
        </w:rPr>
        <w:t>finansuojamų darbų apimčių</w:t>
      </w:r>
      <w:r w:rsidR="00017E81" w:rsidRPr="00096D83">
        <w:rPr>
          <w:rFonts w:asciiTheme="minorHAnsi" w:hAnsiTheme="minorHAnsi" w:cstheme="minorHAnsi"/>
          <w:szCs w:val="24"/>
          <w:lang w:eastAsia="zh-CN"/>
        </w:rPr>
        <w:t>.</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06</w:t>
      </w:r>
      <w:r w:rsidR="00F711D5">
        <w:rPr>
          <w:rFonts w:asciiTheme="minorHAnsi" w:hAnsiTheme="minorHAnsi" w:cstheme="minorHAnsi"/>
          <w:b/>
          <w:szCs w:val="24"/>
          <w:lang w:eastAsia="zh-CN"/>
        </w:rPr>
        <w:t xml:space="preserve"> </w:t>
      </w:r>
      <w:r w:rsidRPr="00096D83">
        <w:rPr>
          <w:rFonts w:asciiTheme="minorHAnsi" w:hAnsiTheme="minorHAnsi" w:cstheme="minorHAnsi"/>
          <w:b/>
          <w:szCs w:val="24"/>
          <w:lang w:eastAsia="zh-CN"/>
        </w:rPr>
        <w:t xml:space="preserve">Būstas ir komunalinis ūkis. </w:t>
      </w:r>
      <w:r w:rsidRPr="00096D83">
        <w:rPr>
          <w:rFonts w:asciiTheme="minorHAnsi" w:hAnsiTheme="minorHAnsi" w:cstheme="minorHAnsi"/>
          <w:szCs w:val="24"/>
          <w:lang w:eastAsia="zh-CN"/>
        </w:rPr>
        <w:t>Patikslintas asignavimų planas 3</w:t>
      </w:r>
      <w:r w:rsidR="00F50F72" w:rsidRPr="00096D83">
        <w:rPr>
          <w:rFonts w:asciiTheme="minorHAnsi" w:hAnsiTheme="minorHAnsi" w:cstheme="minorHAnsi"/>
          <w:szCs w:val="24"/>
          <w:lang w:eastAsia="zh-CN"/>
        </w:rPr>
        <w:t>3 505,1</w:t>
      </w:r>
      <w:r w:rsidRPr="00096D83">
        <w:rPr>
          <w:rFonts w:asciiTheme="minorHAnsi" w:hAnsiTheme="minorHAnsi" w:cstheme="minorHAnsi"/>
          <w:szCs w:val="24"/>
          <w:lang w:eastAsia="zh-CN"/>
        </w:rPr>
        <w:t xml:space="preserve"> tūkst. eurų įvykdytas 3</w:t>
      </w:r>
      <w:r w:rsidR="00F50F72" w:rsidRPr="00096D83">
        <w:rPr>
          <w:rFonts w:asciiTheme="minorHAnsi" w:hAnsiTheme="minorHAnsi" w:cstheme="minorHAnsi"/>
          <w:szCs w:val="24"/>
          <w:lang w:eastAsia="zh-CN"/>
        </w:rPr>
        <w:t>1 144,3</w:t>
      </w:r>
      <w:r w:rsidRPr="00096D83">
        <w:rPr>
          <w:rFonts w:asciiTheme="minorHAnsi" w:hAnsiTheme="minorHAnsi" w:cstheme="minorHAnsi"/>
          <w:szCs w:val="24"/>
          <w:lang w:eastAsia="zh-CN"/>
        </w:rPr>
        <w:t xml:space="preserve"> tūkst. eurų arba 9</w:t>
      </w:r>
      <w:r w:rsidR="00F50F72" w:rsidRPr="00096D83">
        <w:rPr>
          <w:rFonts w:asciiTheme="minorHAnsi" w:hAnsiTheme="minorHAnsi" w:cstheme="minorHAnsi"/>
          <w:szCs w:val="24"/>
          <w:lang w:eastAsia="zh-CN"/>
        </w:rPr>
        <w:t>3</w:t>
      </w:r>
      <w:r w:rsidRPr="00096D83">
        <w:rPr>
          <w:rFonts w:asciiTheme="minorHAnsi" w:hAnsiTheme="minorHAnsi" w:cstheme="minorHAnsi"/>
          <w:szCs w:val="24"/>
          <w:lang w:eastAsia="zh-CN"/>
        </w:rPr>
        <w:t xml:space="preserve"> proc., t .y. liko nepanaudota </w:t>
      </w:r>
      <w:r w:rsidR="00F50F72" w:rsidRPr="00096D83">
        <w:rPr>
          <w:rFonts w:asciiTheme="minorHAnsi" w:hAnsiTheme="minorHAnsi" w:cstheme="minorHAnsi"/>
          <w:szCs w:val="24"/>
          <w:lang w:eastAsia="zh-CN"/>
        </w:rPr>
        <w:t>2 360,8</w:t>
      </w:r>
      <w:r w:rsidRPr="00096D83">
        <w:rPr>
          <w:rFonts w:asciiTheme="minorHAnsi" w:hAnsiTheme="minorHAnsi" w:cstheme="minorHAnsi"/>
          <w:szCs w:val="24"/>
          <w:lang w:eastAsia="zh-CN"/>
        </w:rPr>
        <w:t xml:space="preserve"> tūkst. eurų. </w:t>
      </w:r>
    </w:p>
    <w:p w:rsidR="00F67E15" w:rsidRPr="00096D83" w:rsidRDefault="004C2B8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Europos Sąjungos finansinės paramos ir bendrojo finansavimo lėšomis</w:t>
      </w:r>
      <w:r w:rsidRPr="00096D83">
        <w:rPr>
          <w:rFonts w:asciiTheme="minorHAnsi" w:hAnsiTheme="minorHAnsi" w:cstheme="minorHAnsi"/>
          <w:szCs w:val="24"/>
          <w:lang w:eastAsia="zh-CN"/>
        </w:rPr>
        <w:t xml:space="preserve"> įgyvendintiems projektams</w:t>
      </w:r>
      <w:r w:rsidRPr="004C2B85">
        <w:rPr>
          <w:rFonts w:asciiTheme="minorHAnsi" w:hAnsiTheme="minorHAnsi" w:cstheme="minorHAnsi"/>
          <w:iCs/>
          <w:szCs w:val="24"/>
          <w:lang w:eastAsia="zh-CN"/>
        </w:rPr>
        <w:t xml:space="preserve"> </w:t>
      </w:r>
      <w:r w:rsidR="00632BD3" w:rsidRPr="004C2B85">
        <w:rPr>
          <w:rFonts w:asciiTheme="minorHAnsi" w:hAnsiTheme="minorHAnsi" w:cstheme="minorHAnsi"/>
          <w:iCs/>
          <w:szCs w:val="24"/>
          <w:lang w:eastAsia="zh-CN"/>
        </w:rPr>
        <w:t>skirta</w:t>
      </w:r>
      <w:r w:rsidR="00377530" w:rsidRPr="00096D83">
        <w:rPr>
          <w:rFonts w:asciiTheme="minorHAnsi" w:hAnsiTheme="minorHAnsi" w:cstheme="minorHAnsi"/>
          <w:i/>
          <w:szCs w:val="24"/>
          <w:lang w:eastAsia="zh-CN"/>
        </w:rPr>
        <w:t xml:space="preserve"> </w:t>
      </w:r>
      <w:r w:rsidR="00377530" w:rsidRPr="00096D83">
        <w:rPr>
          <w:rFonts w:asciiTheme="minorHAnsi" w:hAnsiTheme="minorHAnsi" w:cstheme="minorHAnsi"/>
          <w:iCs/>
          <w:szCs w:val="24"/>
          <w:lang w:eastAsia="zh-CN"/>
        </w:rPr>
        <w:t>4 021,9 tūkst</w:t>
      </w:r>
      <w:r w:rsidR="00377530" w:rsidRPr="00096D83">
        <w:rPr>
          <w:rFonts w:asciiTheme="minorHAnsi" w:hAnsiTheme="minorHAnsi" w:cstheme="minorHAnsi"/>
          <w:szCs w:val="24"/>
          <w:lang w:eastAsia="zh-CN"/>
        </w:rPr>
        <w:t xml:space="preserve">. eurų dalinai </w:t>
      </w:r>
      <w:r w:rsidR="00F67E15" w:rsidRPr="00096D83">
        <w:rPr>
          <w:rFonts w:asciiTheme="minorHAnsi" w:hAnsiTheme="minorHAnsi" w:cstheme="minorHAnsi"/>
          <w:i/>
          <w:szCs w:val="24"/>
          <w:lang w:eastAsia="zh-CN"/>
        </w:rPr>
        <w:t>Europos Sąjungos finansinės paramos ir bendrojo finansavimo lėš</w:t>
      </w:r>
      <w:r w:rsidR="00377530" w:rsidRPr="00096D83">
        <w:rPr>
          <w:rFonts w:asciiTheme="minorHAnsi" w:hAnsiTheme="minorHAnsi" w:cstheme="minorHAnsi"/>
          <w:i/>
          <w:szCs w:val="24"/>
          <w:lang w:eastAsia="zh-CN"/>
        </w:rPr>
        <w:t>omis</w:t>
      </w:r>
      <w:r w:rsidR="00BF4107" w:rsidRPr="00096D83">
        <w:rPr>
          <w:rFonts w:asciiTheme="minorHAnsi" w:hAnsiTheme="minorHAnsi" w:cstheme="minorHAnsi"/>
          <w:szCs w:val="24"/>
          <w:lang w:eastAsia="zh-CN"/>
        </w:rPr>
        <w:t xml:space="preserve"> </w:t>
      </w:r>
      <w:r w:rsidR="00F67E15" w:rsidRPr="00096D83">
        <w:rPr>
          <w:rFonts w:asciiTheme="minorHAnsi" w:hAnsiTheme="minorHAnsi" w:cstheme="minorHAnsi"/>
          <w:szCs w:val="24"/>
          <w:lang w:eastAsia="zh-CN"/>
        </w:rPr>
        <w:t>įgyvendin</w:t>
      </w:r>
      <w:r w:rsidR="00377530" w:rsidRPr="00096D83">
        <w:rPr>
          <w:rFonts w:asciiTheme="minorHAnsi" w:hAnsiTheme="minorHAnsi" w:cstheme="minorHAnsi"/>
          <w:szCs w:val="24"/>
          <w:lang w:eastAsia="zh-CN"/>
        </w:rPr>
        <w:t>tiems</w:t>
      </w:r>
      <w:r w:rsidR="00F67E15" w:rsidRPr="00096D83">
        <w:rPr>
          <w:rFonts w:asciiTheme="minorHAnsi" w:hAnsiTheme="minorHAnsi" w:cstheme="minorHAnsi"/>
          <w:szCs w:val="24"/>
          <w:lang w:eastAsia="zh-CN"/>
        </w:rPr>
        <w:t xml:space="preserve"> projekt</w:t>
      </w:r>
      <w:r w:rsidR="00377530" w:rsidRPr="00096D83">
        <w:rPr>
          <w:rFonts w:asciiTheme="minorHAnsi" w:hAnsiTheme="minorHAnsi" w:cstheme="minorHAnsi"/>
          <w:szCs w:val="24"/>
          <w:lang w:eastAsia="zh-CN"/>
        </w:rPr>
        <w:t>ams</w:t>
      </w:r>
      <w:r w:rsidR="00F67E15" w:rsidRPr="00096D83">
        <w:rPr>
          <w:rFonts w:asciiTheme="minorHAnsi" w:hAnsiTheme="minorHAnsi" w:cstheme="minorHAnsi"/>
          <w:szCs w:val="24"/>
          <w:lang w:eastAsia="zh-CN"/>
        </w:rPr>
        <w:t xml:space="preserve">: </w:t>
      </w:r>
      <w:r w:rsidR="00BF4107" w:rsidRPr="00096D83">
        <w:rPr>
          <w:rFonts w:asciiTheme="minorHAnsi" w:hAnsiTheme="minorHAnsi" w:cstheme="minorHAnsi"/>
          <w:szCs w:val="24"/>
          <w:lang w:eastAsia="zh-CN"/>
        </w:rPr>
        <w:t>1 829,6</w:t>
      </w:r>
      <w:r w:rsidR="00F67E15" w:rsidRPr="00096D83">
        <w:rPr>
          <w:rFonts w:asciiTheme="minorHAnsi" w:hAnsiTheme="minorHAnsi" w:cstheme="minorHAnsi"/>
          <w:szCs w:val="24"/>
          <w:lang w:eastAsia="zh-CN"/>
        </w:rPr>
        <w:t xml:space="preserve"> tūkst. eurų – </w:t>
      </w:r>
      <w:r w:rsidR="00BF4107" w:rsidRPr="00096D83">
        <w:rPr>
          <w:rFonts w:asciiTheme="minorHAnsi" w:hAnsiTheme="minorHAnsi" w:cstheme="minorHAnsi"/>
          <w:szCs w:val="24"/>
          <w:lang w:eastAsia="zh-CN"/>
        </w:rPr>
        <w:t>projektui Kovo 11-osio parko atgaivinimas, 726,3 tūkst. eurų –</w:t>
      </w:r>
      <w:r w:rsidR="00F67E15" w:rsidRPr="00096D83">
        <w:rPr>
          <w:rFonts w:asciiTheme="minorHAnsi" w:hAnsiTheme="minorHAnsi" w:cstheme="minorHAnsi"/>
          <w:szCs w:val="24"/>
          <w:lang w:eastAsia="zh-CN"/>
        </w:rPr>
        <w:t xml:space="preserve"> </w:t>
      </w:r>
      <w:r w:rsidR="00BF4107" w:rsidRPr="00096D83">
        <w:rPr>
          <w:rFonts w:asciiTheme="minorHAnsi" w:hAnsiTheme="minorHAnsi" w:cstheme="minorHAnsi"/>
          <w:szCs w:val="24"/>
          <w:lang w:eastAsia="zh-CN"/>
        </w:rPr>
        <w:t>Liepų alėjos žalinim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xml:space="preserve"> ir bendruomenei svarbios vietos stiprinim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602,5 tūkst. eurų – Naugardiškių parko atgaivinim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xml:space="preserve"> ir įveiklinim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628,5 tūkst. eurų – Vijūkų skvero žalinim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xml:space="preserve"> ir įveiklinim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235 tūkst. eurų – Naujakurių skvero atgaivinim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 xml:space="preserve"> ir įveiklinim</w:t>
      </w:r>
      <w:r w:rsidR="00377530" w:rsidRPr="00096D83">
        <w:rPr>
          <w:rFonts w:asciiTheme="minorHAnsi" w:hAnsiTheme="minorHAnsi" w:cstheme="minorHAnsi"/>
          <w:szCs w:val="24"/>
          <w:lang w:eastAsia="zh-CN"/>
        </w:rPr>
        <w:t>ui</w:t>
      </w:r>
      <w:r w:rsidR="00BF4107" w:rsidRPr="00096D83">
        <w:rPr>
          <w:rFonts w:asciiTheme="minorHAnsi" w:hAnsiTheme="minorHAnsi" w:cstheme="minorHAnsi"/>
          <w:szCs w:val="24"/>
          <w:lang w:eastAsia="zh-CN"/>
        </w:rPr>
        <w:t>.</w:t>
      </w:r>
    </w:p>
    <w:p w:rsidR="00F67E15" w:rsidRPr="00096D83" w:rsidRDefault="00F67E15" w:rsidP="00E46A51">
      <w:pPr>
        <w:suppressAutoHyphens/>
        <w:spacing w:line="360" w:lineRule="auto"/>
        <w:ind w:firstLine="851"/>
        <w:contextualSpacing/>
        <w:jc w:val="both"/>
        <w:rPr>
          <w:rFonts w:asciiTheme="minorHAnsi" w:hAnsiTheme="minorHAnsi" w:cstheme="minorHAnsi"/>
          <w:strike/>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C9440C" w:rsidRPr="00096D83">
        <w:rPr>
          <w:rFonts w:asciiTheme="minorHAnsi" w:hAnsiTheme="minorHAnsi" w:cstheme="minorHAnsi"/>
          <w:szCs w:val="24"/>
          <w:lang w:eastAsia="zh-CN"/>
        </w:rPr>
        <w:t>29 483,2</w:t>
      </w:r>
      <w:r w:rsidRPr="00096D83">
        <w:rPr>
          <w:rFonts w:asciiTheme="minorHAnsi" w:hAnsiTheme="minorHAnsi" w:cstheme="minorHAnsi"/>
          <w:szCs w:val="24"/>
          <w:lang w:eastAsia="zh-CN"/>
        </w:rPr>
        <w:t xml:space="preserve"> tūkst. eurų liko nepanaudota </w:t>
      </w:r>
      <w:r w:rsidR="00C9440C" w:rsidRPr="00096D83">
        <w:rPr>
          <w:rFonts w:asciiTheme="minorHAnsi" w:hAnsiTheme="minorHAnsi" w:cstheme="minorHAnsi"/>
          <w:szCs w:val="24"/>
          <w:lang w:eastAsia="zh-CN"/>
        </w:rPr>
        <w:t>2 360,8</w:t>
      </w:r>
      <w:r w:rsidRPr="00096D83">
        <w:rPr>
          <w:rFonts w:asciiTheme="minorHAnsi" w:hAnsiTheme="minorHAnsi" w:cstheme="minorHAnsi"/>
          <w:szCs w:val="24"/>
          <w:lang w:eastAsia="zh-CN"/>
        </w:rPr>
        <w:t xml:space="preserve"> tūkst. eurų, iš jų daugiausiai – </w:t>
      </w:r>
      <w:r w:rsidR="00C9440C" w:rsidRPr="00096D83">
        <w:rPr>
          <w:rFonts w:asciiTheme="minorHAnsi" w:hAnsiTheme="minorHAnsi" w:cstheme="minorHAnsi"/>
          <w:szCs w:val="24"/>
          <w:lang w:eastAsia="zh-CN"/>
        </w:rPr>
        <w:t>1 378</w:t>
      </w:r>
      <w:r w:rsidRPr="00096D83">
        <w:rPr>
          <w:rFonts w:asciiTheme="minorHAnsi" w:hAnsiTheme="minorHAnsi" w:cstheme="minorHAnsi"/>
          <w:szCs w:val="24"/>
          <w:lang w:eastAsia="zh-CN"/>
        </w:rPr>
        <w:t xml:space="preserve"> tūkst. eurų nepanaudota </w:t>
      </w:r>
      <w:r w:rsidR="00C9440C" w:rsidRPr="00096D83">
        <w:rPr>
          <w:rFonts w:asciiTheme="minorHAnsi" w:hAnsiTheme="minorHAnsi" w:cstheme="minorHAnsi"/>
          <w:szCs w:val="24"/>
          <w:lang w:eastAsia="zh-CN"/>
        </w:rPr>
        <w:t xml:space="preserve">parkų sutvarkymui, nes </w:t>
      </w:r>
      <w:r w:rsidR="00513984" w:rsidRPr="00096D83">
        <w:rPr>
          <w:rFonts w:asciiTheme="minorHAnsi" w:hAnsiTheme="minorHAnsi" w:cstheme="minorHAnsi"/>
          <w:szCs w:val="24"/>
          <w:lang w:eastAsia="zh-CN"/>
        </w:rPr>
        <w:t xml:space="preserve">vėlavo Sargėnų </w:t>
      </w:r>
      <w:r w:rsidR="006E427B" w:rsidRPr="00096D83">
        <w:rPr>
          <w:rFonts w:asciiTheme="minorHAnsi" w:hAnsiTheme="minorHAnsi" w:cstheme="minorHAnsi"/>
          <w:szCs w:val="24"/>
          <w:lang w:eastAsia="zh-CN"/>
        </w:rPr>
        <w:t xml:space="preserve">bei Aukštųjų Šančių parkų </w:t>
      </w:r>
      <w:r w:rsidR="00513984" w:rsidRPr="00096D83">
        <w:rPr>
          <w:rFonts w:asciiTheme="minorHAnsi" w:hAnsiTheme="minorHAnsi" w:cstheme="minorHAnsi"/>
          <w:szCs w:val="24"/>
          <w:lang w:eastAsia="zh-CN"/>
        </w:rPr>
        <w:t>projekt</w:t>
      </w:r>
      <w:r w:rsidR="006E427B" w:rsidRPr="00096D83">
        <w:rPr>
          <w:rFonts w:asciiTheme="minorHAnsi" w:hAnsiTheme="minorHAnsi" w:cstheme="minorHAnsi"/>
          <w:szCs w:val="24"/>
          <w:lang w:eastAsia="zh-CN"/>
        </w:rPr>
        <w:t>ų</w:t>
      </w:r>
      <w:r w:rsidR="00513984" w:rsidRPr="00096D83">
        <w:rPr>
          <w:rFonts w:asciiTheme="minorHAnsi" w:hAnsiTheme="minorHAnsi" w:cstheme="minorHAnsi"/>
          <w:szCs w:val="24"/>
          <w:lang w:eastAsia="zh-CN"/>
        </w:rPr>
        <w:t xml:space="preserve"> ekspertiz</w:t>
      </w:r>
      <w:r w:rsidR="006E427B" w:rsidRPr="00096D83">
        <w:rPr>
          <w:rFonts w:asciiTheme="minorHAnsi" w:hAnsiTheme="minorHAnsi" w:cstheme="minorHAnsi"/>
          <w:szCs w:val="24"/>
          <w:lang w:eastAsia="zh-CN"/>
        </w:rPr>
        <w:t>ių</w:t>
      </w:r>
      <w:r w:rsidR="00513984" w:rsidRPr="00096D83">
        <w:rPr>
          <w:rFonts w:asciiTheme="minorHAnsi" w:hAnsiTheme="minorHAnsi" w:cstheme="minorHAnsi"/>
          <w:szCs w:val="24"/>
          <w:lang w:eastAsia="zh-CN"/>
        </w:rPr>
        <w:t xml:space="preserve"> išvad</w:t>
      </w:r>
      <w:r w:rsidR="006E427B" w:rsidRPr="00096D83">
        <w:rPr>
          <w:rFonts w:asciiTheme="minorHAnsi" w:hAnsiTheme="minorHAnsi" w:cstheme="minorHAnsi"/>
          <w:szCs w:val="24"/>
          <w:lang w:eastAsia="zh-CN"/>
        </w:rPr>
        <w:t>ų</w:t>
      </w:r>
      <w:r w:rsidR="00191D83" w:rsidRPr="00096D83">
        <w:rPr>
          <w:rFonts w:asciiTheme="minorHAnsi" w:hAnsiTheme="minorHAnsi" w:cstheme="minorHAnsi"/>
          <w:szCs w:val="24"/>
          <w:lang w:eastAsia="zh-CN"/>
        </w:rPr>
        <w:t xml:space="preserve"> parengimas</w:t>
      </w:r>
      <w:r w:rsidR="00513984" w:rsidRPr="00096D83">
        <w:rPr>
          <w:rFonts w:asciiTheme="minorHAnsi" w:hAnsiTheme="minorHAnsi" w:cstheme="minorHAnsi"/>
          <w:szCs w:val="24"/>
          <w:lang w:eastAsia="zh-CN"/>
        </w:rPr>
        <w:t xml:space="preserve">, </w:t>
      </w:r>
      <w:r w:rsidR="00597599" w:rsidRPr="00096D83">
        <w:rPr>
          <w:rFonts w:asciiTheme="minorHAnsi" w:hAnsiTheme="minorHAnsi" w:cstheme="minorHAnsi"/>
          <w:szCs w:val="24"/>
          <w:lang w:eastAsia="zh-CN"/>
        </w:rPr>
        <w:t xml:space="preserve">dėl projekto koregavimo nebuvo gautas statybos leidimas </w:t>
      </w:r>
      <w:r w:rsidR="00513984" w:rsidRPr="00096D83">
        <w:rPr>
          <w:rFonts w:asciiTheme="minorHAnsi" w:hAnsiTheme="minorHAnsi" w:cstheme="minorHAnsi"/>
          <w:szCs w:val="24"/>
          <w:lang w:eastAsia="zh-CN"/>
        </w:rPr>
        <w:t>Girstupio park</w:t>
      </w:r>
      <w:r w:rsidR="00597599" w:rsidRPr="00096D83">
        <w:rPr>
          <w:rFonts w:asciiTheme="minorHAnsi" w:hAnsiTheme="minorHAnsi" w:cstheme="minorHAnsi"/>
          <w:szCs w:val="24"/>
          <w:lang w:eastAsia="zh-CN"/>
        </w:rPr>
        <w:t>o</w:t>
      </w:r>
      <w:r w:rsidR="00513984" w:rsidRPr="00096D83">
        <w:rPr>
          <w:rFonts w:asciiTheme="minorHAnsi" w:hAnsiTheme="minorHAnsi" w:cstheme="minorHAnsi"/>
          <w:szCs w:val="24"/>
          <w:lang w:eastAsia="zh-CN"/>
        </w:rPr>
        <w:t xml:space="preserve"> sutvarkymo darbams</w:t>
      </w:r>
      <w:r w:rsidR="006E427B" w:rsidRPr="00096D83">
        <w:rPr>
          <w:rFonts w:asciiTheme="minorHAnsi" w:hAnsiTheme="minorHAnsi" w:cstheme="minorHAnsi"/>
          <w:szCs w:val="24"/>
          <w:lang w:eastAsia="zh-CN"/>
        </w:rPr>
        <w:t xml:space="preserve">. Kitų parkų ir skverų tvarkymo darbams liko nepanaudota </w:t>
      </w:r>
      <w:r w:rsidR="00AB7EB1" w:rsidRPr="00096D83">
        <w:rPr>
          <w:rFonts w:asciiTheme="minorHAnsi" w:hAnsiTheme="minorHAnsi" w:cstheme="minorHAnsi"/>
          <w:szCs w:val="24"/>
          <w:lang w:eastAsia="zh-CN"/>
        </w:rPr>
        <w:t xml:space="preserve"> 206,6 tūkst. eurų</w:t>
      </w:r>
      <w:bookmarkStart w:id="2" w:name="_Hlk221703966"/>
      <w:r w:rsidR="006E427B" w:rsidRPr="00096D83">
        <w:rPr>
          <w:rFonts w:asciiTheme="minorHAnsi" w:hAnsiTheme="minorHAnsi" w:cstheme="minorHAnsi"/>
          <w:szCs w:val="24"/>
          <w:lang w:eastAsia="zh-CN"/>
        </w:rPr>
        <w:t>,</w:t>
      </w:r>
      <w:bookmarkEnd w:id="2"/>
      <w:r w:rsidR="00AB7EB1" w:rsidRPr="00096D83">
        <w:rPr>
          <w:rFonts w:asciiTheme="minorHAnsi" w:hAnsiTheme="minorHAnsi" w:cstheme="minorHAnsi"/>
          <w:szCs w:val="24"/>
          <w:lang w:eastAsia="zh-CN"/>
        </w:rPr>
        <w:t xml:space="preserve"> nes juose vykd</w:t>
      </w:r>
      <w:r w:rsidR="006E427B" w:rsidRPr="00096D83">
        <w:rPr>
          <w:rFonts w:asciiTheme="minorHAnsi" w:hAnsiTheme="minorHAnsi" w:cstheme="minorHAnsi"/>
          <w:szCs w:val="24"/>
          <w:lang w:eastAsia="zh-CN"/>
        </w:rPr>
        <w:t>yti</w:t>
      </w:r>
      <w:r w:rsidR="00AB7EB1" w:rsidRPr="00096D83">
        <w:rPr>
          <w:rFonts w:asciiTheme="minorHAnsi" w:hAnsiTheme="minorHAnsi" w:cstheme="minorHAnsi"/>
          <w:szCs w:val="24"/>
          <w:lang w:eastAsia="zh-CN"/>
        </w:rPr>
        <w:t xml:space="preserve"> darbai buvo apmokėti Europos Sąjungos finansinės paramos gautomis lėšomis.</w:t>
      </w:r>
      <w:r w:rsidR="00513984"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 xml:space="preserve">07 Sveikatos apsauga. </w:t>
      </w:r>
      <w:r w:rsidRPr="00096D83">
        <w:rPr>
          <w:rFonts w:asciiTheme="minorHAnsi" w:hAnsiTheme="minorHAnsi" w:cstheme="minorHAnsi"/>
          <w:szCs w:val="24"/>
          <w:lang w:eastAsia="zh-CN"/>
        </w:rPr>
        <w:t xml:space="preserve">Patikslintas asignavimų planas </w:t>
      </w:r>
      <w:r w:rsidR="002C76AE" w:rsidRPr="00096D83">
        <w:rPr>
          <w:rFonts w:asciiTheme="minorHAnsi" w:hAnsiTheme="minorHAnsi" w:cstheme="minorHAnsi"/>
          <w:szCs w:val="24"/>
          <w:lang w:eastAsia="zh-CN"/>
        </w:rPr>
        <w:t>14 665,3</w:t>
      </w:r>
      <w:r w:rsidRPr="00096D83">
        <w:rPr>
          <w:rFonts w:asciiTheme="minorHAnsi" w:hAnsiTheme="minorHAnsi" w:cstheme="minorHAnsi"/>
          <w:szCs w:val="24"/>
          <w:lang w:eastAsia="zh-CN"/>
        </w:rPr>
        <w:t xml:space="preserve"> tūkst. eurų įvykdytas </w:t>
      </w:r>
      <w:r w:rsidR="002C76AE" w:rsidRPr="00096D83">
        <w:rPr>
          <w:rFonts w:asciiTheme="minorHAnsi" w:hAnsiTheme="minorHAnsi" w:cstheme="minorHAnsi"/>
          <w:szCs w:val="24"/>
          <w:lang w:eastAsia="zh-CN"/>
        </w:rPr>
        <w:t>14 204,1</w:t>
      </w:r>
      <w:r w:rsidRPr="00096D83">
        <w:rPr>
          <w:rFonts w:asciiTheme="minorHAnsi" w:hAnsiTheme="minorHAnsi" w:cstheme="minorHAnsi"/>
          <w:szCs w:val="24"/>
          <w:lang w:eastAsia="zh-CN"/>
        </w:rPr>
        <w:t xml:space="preserve"> tūkst. eurų arba 9</w:t>
      </w:r>
      <w:r w:rsidR="002C76AE" w:rsidRPr="00096D83">
        <w:rPr>
          <w:rFonts w:asciiTheme="minorHAnsi" w:hAnsiTheme="minorHAnsi" w:cstheme="minorHAnsi"/>
          <w:szCs w:val="24"/>
          <w:lang w:eastAsia="zh-CN"/>
        </w:rPr>
        <w:t>6,9</w:t>
      </w:r>
      <w:r w:rsidRPr="00096D83">
        <w:rPr>
          <w:rFonts w:asciiTheme="minorHAnsi" w:hAnsiTheme="minorHAnsi" w:cstheme="minorHAnsi"/>
          <w:szCs w:val="24"/>
          <w:lang w:eastAsia="zh-CN"/>
        </w:rPr>
        <w:t xml:space="preserve"> proc., t. y. liko nepanaudota </w:t>
      </w:r>
      <w:r w:rsidR="002C76AE" w:rsidRPr="00096D83">
        <w:rPr>
          <w:rFonts w:asciiTheme="minorHAnsi" w:hAnsiTheme="minorHAnsi" w:cstheme="minorHAnsi"/>
          <w:szCs w:val="24"/>
          <w:lang w:eastAsia="zh-CN"/>
        </w:rPr>
        <w:t>461,2</w:t>
      </w:r>
      <w:r w:rsidRPr="00096D83">
        <w:rPr>
          <w:rFonts w:asciiTheme="minorHAnsi" w:hAnsiTheme="minorHAnsi" w:cstheme="minorHAnsi"/>
          <w:szCs w:val="24"/>
          <w:lang w:eastAsia="zh-CN"/>
        </w:rPr>
        <w:t xml:space="preserve"> tūkst. eurų. </w:t>
      </w:r>
    </w:p>
    <w:p w:rsidR="00F67E15" w:rsidRPr="00096D83" w:rsidRDefault="00412DD6"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Valstybės d</w:t>
      </w:r>
      <w:r w:rsidR="00F67E15" w:rsidRPr="00096D83">
        <w:rPr>
          <w:rFonts w:asciiTheme="minorHAnsi" w:hAnsiTheme="minorHAnsi" w:cstheme="minorHAnsi"/>
          <w:i/>
          <w:szCs w:val="24"/>
          <w:lang w:eastAsia="zh-CN"/>
        </w:rPr>
        <w:t>otacijų asignavimų planas</w:t>
      </w:r>
      <w:r w:rsidR="00F67E15" w:rsidRPr="00096D83">
        <w:rPr>
          <w:rFonts w:asciiTheme="minorHAnsi" w:hAnsiTheme="minorHAnsi" w:cstheme="minorHAnsi"/>
          <w:szCs w:val="24"/>
          <w:lang w:eastAsia="zh-CN"/>
        </w:rPr>
        <w:t xml:space="preserve"> įvykdytas 2 301,7 tūkst. eurų arba 99,9 proc. </w:t>
      </w:r>
      <w:r w:rsidR="00B749E7" w:rsidRPr="00096D83">
        <w:rPr>
          <w:rFonts w:asciiTheme="minorHAnsi" w:hAnsiTheme="minorHAnsi" w:cstheme="minorHAnsi"/>
          <w:szCs w:val="24"/>
          <w:lang w:eastAsia="zh-CN"/>
        </w:rPr>
        <w:t>N</w:t>
      </w:r>
      <w:r w:rsidR="00B87BCF" w:rsidRPr="00096D83">
        <w:rPr>
          <w:rFonts w:asciiTheme="minorHAnsi" w:hAnsiTheme="minorHAnsi" w:cstheme="minorHAnsi"/>
          <w:szCs w:val="24"/>
          <w:lang w:eastAsia="zh-CN"/>
        </w:rPr>
        <w:t xml:space="preserve">esant lėšų poreikiui liko </w:t>
      </w:r>
      <w:r w:rsidR="00F67E15" w:rsidRPr="00096D83">
        <w:rPr>
          <w:rFonts w:asciiTheme="minorHAnsi" w:hAnsiTheme="minorHAnsi" w:cstheme="minorHAnsi"/>
          <w:szCs w:val="24"/>
          <w:lang w:eastAsia="zh-CN"/>
        </w:rPr>
        <w:t xml:space="preserve">nepanaudota </w:t>
      </w:r>
      <w:r w:rsidR="00B87BCF" w:rsidRPr="00096D83">
        <w:rPr>
          <w:rFonts w:asciiTheme="minorHAnsi" w:hAnsiTheme="minorHAnsi" w:cstheme="minorHAnsi"/>
          <w:szCs w:val="24"/>
          <w:lang w:eastAsia="zh-CN"/>
        </w:rPr>
        <w:t>0,</w:t>
      </w:r>
      <w:r w:rsidR="00B5247F" w:rsidRPr="00096D83">
        <w:rPr>
          <w:rFonts w:asciiTheme="minorHAnsi" w:hAnsiTheme="minorHAnsi" w:cstheme="minorHAnsi"/>
          <w:szCs w:val="24"/>
          <w:lang w:eastAsia="zh-CN"/>
        </w:rPr>
        <w:t>1</w:t>
      </w:r>
      <w:r w:rsidR="00F67E15" w:rsidRPr="00096D83">
        <w:rPr>
          <w:rFonts w:asciiTheme="minorHAnsi" w:hAnsiTheme="minorHAnsi" w:cstheme="minorHAnsi"/>
          <w:szCs w:val="24"/>
          <w:lang w:eastAsia="zh-CN"/>
        </w:rPr>
        <w:t xml:space="preserve"> tūkst. eurų sveikatos įgūdžių stiprinimui ugdymo įstaigose ir visuomenės stebėsenai</w:t>
      </w:r>
      <w:r w:rsidR="00F2311D" w:rsidRPr="00096D83">
        <w:rPr>
          <w:rFonts w:asciiTheme="minorHAnsi" w:hAnsiTheme="minorHAnsi" w:cstheme="minorHAnsi"/>
          <w:szCs w:val="24"/>
          <w:lang w:eastAsia="zh-CN"/>
        </w:rPr>
        <w:t>.</w:t>
      </w:r>
    </w:p>
    <w:p w:rsidR="00F67E15" w:rsidRPr="00096D83" w:rsidRDefault="00F67E15" w:rsidP="00E46A51">
      <w:pPr>
        <w:spacing w:line="360" w:lineRule="auto"/>
        <w:ind w:firstLine="851"/>
        <w:jc w:val="both"/>
        <w:rPr>
          <w:rFonts w:asciiTheme="minorHAnsi" w:hAnsiTheme="minorHAnsi" w:cstheme="minorHAnsi"/>
          <w:i/>
          <w:szCs w:val="24"/>
          <w:lang w:eastAsia="zh-CN"/>
        </w:rPr>
      </w:pPr>
      <w:r w:rsidRPr="00096D83">
        <w:rPr>
          <w:rFonts w:asciiTheme="minorHAnsi" w:hAnsiTheme="minorHAnsi" w:cstheme="minorHAnsi"/>
          <w:i/>
          <w:szCs w:val="24"/>
          <w:lang w:eastAsia="zh-CN"/>
        </w:rPr>
        <w:t xml:space="preserve">Europos Sąjungos finansinės paramos ir bendrojo finansavimo lėšos </w:t>
      </w:r>
      <w:r w:rsidRPr="00096D83">
        <w:rPr>
          <w:rFonts w:asciiTheme="minorHAnsi" w:hAnsiTheme="minorHAnsi" w:cstheme="minorHAnsi"/>
          <w:szCs w:val="24"/>
          <w:lang w:eastAsia="zh-CN"/>
        </w:rPr>
        <w:t>– 1</w:t>
      </w:r>
      <w:r w:rsidR="004850F1" w:rsidRPr="00096D83">
        <w:rPr>
          <w:rFonts w:asciiTheme="minorHAnsi" w:hAnsiTheme="minorHAnsi" w:cstheme="minorHAnsi"/>
          <w:szCs w:val="24"/>
          <w:lang w:eastAsia="zh-CN"/>
        </w:rPr>
        <w:t> 722,6</w:t>
      </w:r>
      <w:r w:rsidRPr="00096D83">
        <w:rPr>
          <w:rFonts w:asciiTheme="minorHAnsi" w:hAnsiTheme="minorHAnsi" w:cstheme="minorHAnsi"/>
          <w:szCs w:val="24"/>
          <w:lang w:eastAsia="zh-CN"/>
        </w:rPr>
        <w:t xml:space="preserve"> tūkst. eurų </w:t>
      </w:r>
      <w:r w:rsidR="008A3694" w:rsidRPr="00096D83">
        <w:rPr>
          <w:rFonts w:asciiTheme="minorHAnsi" w:hAnsiTheme="minorHAnsi" w:cstheme="minorHAnsi"/>
          <w:szCs w:val="24"/>
          <w:lang w:eastAsia="zh-CN"/>
        </w:rPr>
        <w:t>skirtos</w:t>
      </w:r>
      <w:r w:rsidRPr="00096D83">
        <w:rPr>
          <w:rFonts w:asciiTheme="minorHAnsi" w:hAnsiTheme="minorHAnsi" w:cstheme="minorHAnsi"/>
          <w:szCs w:val="24"/>
          <w:lang w:eastAsia="zh-CN"/>
        </w:rPr>
        <w:t xml:space="preserve"> vykdomiems projektams finansuoti: </w:t>
      </w:r>
      <w:r w:rsidR="004850F1" w:rsidRPr="00096D83">
        <w:rPr>
          <w:rFonts w:asciiTheme="minorHAnsi" w:hAnsiTheme="minorHAnsi" w:cstheme="minorHAnsi"/>
          <w:szCs w:val="24"/>
          <w:lang w:eastAsia="zh-CN"/>
        </w:rPr>
        <w:t>1 047,2</w:t>
      </w:r>
      <w:r w:rsidRPr="00096D83">
        <w:rPr>
          <w:rFonts w:asciiTheme="minorHAnsi" w:hAnsiTheme="minorHAnsi" w:cstheme="minorHAnsi"/>
          <w:szCs w:val="24"/>
          <w:lang w:eastAsia="zh-CN"/>
        </w:rPr>
        <w:t xml:space="preserve"> tūkst. eurų –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Sveikatos priežiūros paslaugoms teikti reikiamos infrastruktūros modernizavimas Kauno miesto sveikatos centre“</w:t>
      </w:r>
      <w:r w:rsidR="004850F1" w:rsidRPr="00096D83">
        <w:rPr>
          <w:rFonts w:asciiTheme="minorHAnsi" w:hAnsiTheme="minorHAnsi" w:cstheme="minorHAnsi"/>
          <w:szCs w:val="24"/>
          <w:lang w:eastAsia="zh-CN"/>
        </w:rPr>
        <w:t xml:space="preserve">, 402,7 tūkst. eurų – </w:t>
      </w:r>
      <w:r w:rsidR="00E46A51" w:rsidRPr="00096D83">
        <w:rPr>
          <w:rFonts w:asciiTheme="minorHAnsi" w:hAnsiTheme="minorHAnsi" w:cstheme="minorHAnsi"/>
          <w:szCs w:val="24"/>
          <w:lang w:eastAsia="zh-CN"/>
        </w:rPr>
        <w:t>„</w:t>
      </w:r>
      <w:r w:rsidR="004850F1" w:rsidRPr="00096D83">
        <w:rPr>
          <w:rFonts w:asciiTheme="minorHAnsi" w:hAnsiTheme="minorHAnsi" w:cstheme="minorHAnsi"/>
          <w:szCs w:val="24"/>
          <w:lang w:eastAsia="lt-LT"/>
        </w:rPr>
        <w:t xml:space="preserve">Sveikatos priežiūros paslaugų kokybė ir prieinamumo gerinimas Kauno mieste“, 134,4 tūkst. eurų – „Kauno miesto sveikatos centro veiklos modelio diegimas“, 98,1 </w:t>
      </w:r>
      <w:r w:rsidRPr="00096D83">
        <w:rPr>
          <w:rFonts w:asciiTheme="minorHAnsi" w:hAnsiTheme="minorHAnsi" w:cstheme="minorHAnsi"/>
          <w:szCs w:val="24"/>
          <w:lang w:eastAsia="zh-CN"/>
        </w:rPr>
        <w:t xml:space="preserve">tūkst. eurų –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Ambulatorinės slaugos paslaugų namuose kokybės ir prieinamumo gerinimui Kauno mieste“</w:t>
      </w:r>
      <w:r w:rsidR="004850F1" w:rsidRPr="00096D83">
        <w:rPr>
          <w:rFonts w:asciiTheme="minorHAnsi" w:hAnsiTheme="minorHAnsi" w:cstheme="minorHAnsi"/>
          <w:szCs w:val="24"/>
          <w:lang w:eastAsia="zh-CN"/>
        </w:rPr>
        <w:t>, 33,1 tūkst. eurų – „SOC taškas – skaitmeninė platforma integracijai ir socialinei atskirčiai mažinti, priartinant socialinių paslaugų ir socialinės paramos prieinamumą Kauno mieste ir Telšių rajone“ ir 1,9 tūkst. eurų projektui „Sveikatos priežiūros specialistų rengimas ir pritraukimas Kauno miesto sveikatos centre“.</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2C76AE" w:rsidRPr="00096D83">
        <w:rPr>
          <w:rFonts w:asciiTheme="minorHAnsi" w:hAnsiTheme="minorHAnsi" w:cstheme="minorHAnsi"/>
          <w:szCs w:val="24"/>
          <w:lang w:eastAsia="zh-CN"/>
        </w:rPr>
        <w:t>10 259,5</w:t>
      </w:r>
      <w:r w:rsidRPr="00096D83">
        <w:rPr>
          <w:rFonts w:asciiTheme="minorHAnsi" w:hAnsiTheme="minorHAnsi" w:cstheme="minorHAnsi"/>
          <w:szCs w:val="24"/>
          <w:lang w:eastAsia="zh-CN"/>
        </w:rPr>
        <w:t xml:space="preserve"> tūkst. eurų liko nepanaudota </w:t>
      </w:r>
      <w:r w:rsidR="002C76AE" w:rsidRPr="00096D83">
        <w:rPr>
          <w:rFonts w:asciiTheme="minorHAnsi" w:hAnsiTheme="minorHAnsi" w:cstheme="minorHAnsi"/>
          <w:szCs w:val="24"/>
          <w:lang w:eastAsia="zh-CN"/>
        </w:rPr>
        <w:t>461,1</w:t>
      </w:r>
      <w:r w:rsidRPr="00096D83">
        <w:rPr>
          <w:rFonts w:asciiTheme="minorHAnsi" w:hAnsiTheme="minorHAnsi" w:cstheme="minorHAnsi"/>
          <w:szCs w:val="24"/>
          <w:lang w:eastAsia="zh-CN"/>
        </w:rPr>
        <w:t xml:space="preserve"> tūkst. eurų, iš jų didžiausią nepanaudotų asignavimų dalį – 2</w:t>
      </w:r>
      <w:r w:rsidR="004850F1" w:rsidRPr="00096D83">
        <w:rPr>
          <w:rFonts w:asciiTheme="minorHAnsi" w:hAnsiTheme="minorHAnsi" w:cstheme="minorHAnsi"/>
          <w:szCs w:val="24"/>
          <w:lang w:eastAsia="zh-CN"/>
        </w:rPr>
        <w:t>32,5</w:t>
      </w:r>
      <w:r w:rsidRPr="00096D83">
        <w:rPr>
          <w:rFonts w:asciiTheme="minorHAnsi" w:hAnsiTheme="minorHAnsi" w:cstheme="minorHAnsi"/>
          <w:szCs w:val="24"/>
          <w:lang w:eastAsia="zh-CN"/>
        </w:rPr>
        <w:t xml:space="preserve"> tūkst. eurų sudaro Visuomenės sveikatos rėmimo specialiosios programos lėšos, nes pirmiausiai 202</w:t>
      </w:r>
      <w:r w:rsidR="00BD758A"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metais vykdytos paslaugos buvo apmokamos iš 202</w:t>
      </w:r>
      <w:r w:rsidR="00BD758A" w:rsidRPr="00096D83">
        <w:rPr>
          <w:rFonts w:asciiTheme="minorHAnsi" w:hAnsiTheme="minorHAnsi" w:cstheme="minorHAnsi"/>
          <w:szCs w:val="24"/>
          <w:lang w:eastAsia="zh-CN"/>
        </w:rPr>
        <w:t>4</w:t>
      </w:r>
      <w:r w:rsidRPr="00096D83">
        <w:rPr>
          <w:rFonts w:asciiTheme="minorHAnsi" w:hAnsiTheme="minorHAnsi" w:cstheme="minorHAnsi"/>
          <w:szCs w:val="24"/>
          <w:lang w:eastAsia="zh-CN"/>
        </w:rPr>
        <w:t xml:space="preserve"> metų </w:t>
      </w:r>
      <w:r w:rsidR="001B7EDA" w:rsidRPr="00096D83">
        <w:rPr>
          <w:rFonts w:asciiTheme="minorHAnsi" w:hAnsiTheme="minorHAnsi" w:cstheme="minorHAnsi"/>
          <w:szCs w:val="24"/>
          <w:lang w:eastAsia="zh-CN"/>
        </w:rPr>
        <w:t xml:space="preserve">programos </w:t>
      </w:r>
      <w:r w:rsidRPr="00096D83">
        <w:rPr>
          <w:rFonts w:asciiTheme="minorHAnsi" w:hAnsiTheme="minorHAnsi" w:cstheme="minorHAnsi"/>
          <w:szCs w:val="24"/>
          <w:lang w:eastAsia="zh-CN"/>
        </w:rPr>
        <w:t>lėšų likučio.</w:t>
      </w:r>
      <w:r w:rsidR="004850F1" w:rsidRPr="00096D83">
        <w:rPr>
          <w:rFonts w:asciiTheme="minorHAnsi" w:hAnsiTheme="minorHAnsi" w:cstheme="minorHAnsi"/>
          <w:szCs w:val="24"/>
          <w:lang w:eastAsia="zh-CN"/>
        </w:rPr>
        <w:t xml:space="preserve"> Taip pat 145,1 tūkst. eurų </w:t>
      </w:r>
      <w:r w:rsidR="00ED3250" w:rsidRPr="00096D83">
        <w:rPr>
          <w:rFonts w:asciiTheme="minorHAnsi" w:hAnsiTheme="minorHAnsi" w:cstheme="minorHAnsi"/>
          <w:szCs w:val="24"/>
          <w:lang w:eastAsia="zh-CN"/>
        </w:rPr>
        <w:t xml:space="preserve">Savivaldybės biudžeto lėšų </w:t>
      </w:r>
      <w:r w:rsidR="004850F1" w:rsidRPr="00096D83">
        <w:rPr>
          <w:rFonts w:asciiTheme="minorHAnsi" w:hAnsiTheme="minorHAnsi" w:cstheme="minorHAnsi"/>
          <w:szCs w:val="24"/>
          <w:lang w:eastAsia="zh-CN"/>
        </w:rPr>
        <w:t xml:space="preserve">liko nepanaudota </w:t>
      </w:r>
      <w:r w:rsidR="00ED3250" w:rsidRPr="00096D83">
        <w:rPr>
          <w:rFonts w:asciiTheme="minorHAnsi" w:hAnsiTheme="minorHAnsi" w:cstheme="minorHAnsi"/>
          <w:szCs w:val="24"/>
          <w:lang w:eastAsia="zh-CN"/>
        </w:rPr>
        <w:t xml:space="preserve">projektui </w:t>
      </w:r>
      <w:r w:rsidR="00E46A51" w:rsidRPr="00096D83">
        <w:rPr>
          <w:rFonts w:asciiTheme="minorHAnsi" w:hAnsiTheme="minorHAnsi" w:cstheme="minorHAnsi"/>
          <w:szCs w:val="24"/>
          <w:lang w:eastAsia="zh-CN"/>
        </w:rPr>
        <w:t>„</w:t>
      </w:r>
      <w:r w:rsidR="004850F1" w:rsidRPr="00096D83">
        <w:rPr>
          <w:rFonts w:asciiTheme="minorHAnsi" w:hAnsiTheme="minorHAnsi" w:cstheme="minorHAnsi"/>
          <w:szCs w:val="24"/>
          <w:lang w:eastAsia="zh-CN"/>
        </w:rPr>
        <w:t>Sveikatos priežiūros paslaugoms teikti reikiamos infrastruktūros modernizavimas Kauno miesto sveikatos centre“</w:t>
      </w:r>
      <w:r w:rsidR="00ED3250" w:rsidRPr="00096D83">
        <w:rPr>
          <w:rFonts w:asciiTheme="minorHAnsi" w:hAnsiTheme="minorHAnsi" w:cstheme="minorHAnsi"/>
          <w:szCs w:val="24"/>
          <w:lang w:eastAsia="zh-CN"/>
        </w:rPr>
        <w:t>, nes pirmiausia buvo naudotos gautos Europos Sąjungos finansinės paramos ir bendrojo finansavimo lėšos.</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 xml:space="preserve">08 Poilsis, kultūra ir religija. </w:t>
      </w:r>
      <w:r w:rsidRPr="00096D83">
        <w:rPr>
          <w:rFonts w:asciiTheme="minorHAnsi" w:hAnsiTheme="minorHAnsi" w:cstheme="minorHAnsi"/>
          <w:szCs w:val="24"/>
          <w:lang w:eastAsia="zh-CN"/>
        </w:rPr>
        <w:t xml:space="preserve">Patikslintas asignavimų planas </w:t>
      </w:r>
      <w:r w:rsidR="00D315FD" w:rsidRPr="00096D83">
        <w:rPr>
          <w:rFonts w:asciiTheme="minorHAnsi" w:hAnsiTheme="minorHAnsi" w:cstheme="minorHAnsi"/>
          <w:szCs w:val="24"/>
          <w:lang w:eastAsia="zh-CN"/>
        </w:rPr>
        <w:t>75 502</w:t>
      </w:r>
      <w:r w:rsidRPr="00096D83">
        <w:rPr>
          <w:rFonts w:asciiTheme="minorHAnsi" w:hAnsiTheme="minorHAnsi" w:cstheme="minorHAnsi"/>
          <w:szCs w:val="24"/>
          <w:lang w:eastAsia="zh-CN"/>
        </w:rPr>
        <w:t xml:space="preserve"> tūkst. eurų įvykdytas </w:t>
      </w:r>
      <w:r w:rsidR="00D315FD" w:rsidRPr="00096D83">
        <w:rPr>
          <w:rFonts w:asciiTheme="minorHAnsi" w:hAnsiTheme="minorHAnsi" w:cstheme="minorHAnsi"/>
          <w:szCs w:val="24"/>
          <w:lang w:eastAsia="zh-CN"/>
        </w:rPr>
        <w:t>64 162</w:t>
      </w:r>
      <w:r w:rsidRPr="00096D83">
        <w:rPr>
          <w:rFonts w:asciiTheme="minorHAnsi" w:hAnsiTheme="minorHAnsi" w:cstheme="minorHAnsi"/>
          <w:szCs w:val="24"/>
          <w:lang w:eastAsia="zh-CN"/>
        </w:rPr>
        <w:t xml:space="preserve"> tūkst. eurų arba </w:t>
      </w:r>
      <w:r w:rsidR="00D315FD" w:rsidRPr="00096D83">
        <w:rPr>
          <w:rFonts w:asciiTheme="minorHAnsi" w:hAnsiTheme="minorHAnsi" w:cstheme="minorHAnsi"/>
          <w:szCs w:val="24"/>
          <w:lang w:eastAsia="zh-CN"/>
        </w:rPr>
        <w:t>85</w:t>
      </w:r>
      <w:r w:rsidRPr="00096D83">
        <w:rPr>
          <w:rFonts w:asciiTheme="minorHAnsi" w:hAnsiTheme="minorHAnsi" w:cstheme="minorHAnsi"/>
          <w:szCs w:val="24"/>
          <w:lang w:eastAsia="zh-CN"/>
        </w:rPr>
        <w:t xml:space="preserve"> proc., t. y. liko nepanaudota </w:t>
      </w:r>
      <w:r w:rsidR="00D315FD" w:rsidRPr="00096D83">
        <w:rPr>
          <w:rFonts w:asciiTheme="minorHAnsi" w:hAnsiTheme="minorHAnsi" w:cstheme="minorHAnsi"/>
          <w:szCs w:val="24"/>
          <w:lang w:eastAsia="zh-CN"/>
        </w:rPr>
        <w:t>11 340</w:t>
      </w:r>
      <w:r w:rsidRPr="00096D83">
        <w:rPr>
          <w:rFonts w:asciiTheme="minorHAnsi" w:hAnsiTheme="minorHAnsi" w:cstheme="minorHAnsi"/>
          <w:szCs w:val="24"/>
          <w:lang w:eastAsia="zh-CN"/>
        </w:rPr>
        <w:t xml:space="preserve"> tūkst. eurų. </w:t>
      </w:r>
    </w:p>
    <w:p w:rsidR="00F67E15" w:rsidRPr="00096D83" w:rsidRDefault="0068601D" w:rsidP="00E46A51">
      <w:pPr>
        <w:suppressAutoHyphens/>
        <w:spacing w:line="360" w:lineRule="auto"/>
        <w:ind w:firstLine="851"/>
        <w:contextualSpacing/>
        <w:jc w:val="both"/>
        <w:rPr>
          <w:rFonts w:asciiTheme="minorHAnsi" w:hAnsiTheme="minorHAnsi" w:cstheme="minorHAnsi"/>
          <w:szCs w:val="24"/>
        </w:rPr>
      </w:pPr>
      <w:r w:rsidRPr="00096D83">
        <w:rPr>
          <w:rFonts w:asciiTheme="minorHAnsi" w:hAnsiTheme="minorHAnsi" w:cstheme="minorHAnsi"/>
          <w:i/>
          <w:szCs w:val="24"/>
          <w:lang w:eastAsia="zh-CN"/>
        </w:rPr>
        <w:t>Valstybės d</w:t>
      </w:r>
      <w:r w:rsidR="00F67E15" w:rsidRPr="00096D83">
        <w:rPr>
          <w:rFonts w:asciiTheme="minorHAnsi" w:hAnsiTheme="minorHAnsi" w:cstheme="minorHAnsi"/>
          <w:i/>
          <w:szCs w:val="24"/>
          <w:lang w:eastAsia="zh-CN"/>
        </w:rPr>
        <w:t>otacijų asignavimų planas</w:t>
      </w:r>
      <w:r w:rsidR="00F67E15" w:rsidRPr="00096D83">
        <w:rPr>
          <w:rFonts w:asciiTheme="minorHAnsi" w:hAnsiTheme="minorHAnsi" w:cstheme="minorHAnsi"/>
          <w:szCs w:val="24"/>
          <w:lang w:eastAsia="zh-CN"/>
        </w:rPr>
        <w:t xml:space="preserve"> </w:t>
      </w:r>
      <w:r w:rsidR="004D02FA" w:rsidRPr="00096D83">
        <w:rPr>
          <w:rFonts w:asciiTheme="minorHAnsi" w:hAnsiTheme="minorHAnsi" w:cstheme="minorHAnsi"/>
          <w:szCs w:val="24"/>
          <w:lang w:eastAsia="zh-CN"/>
        </w:rPr>
        <w:t>2</w:t>
      </w:r>
      <w:r w:rsidR="00D50E55" w:rsidRPr="00096D83">
        <w:rPr>
          <w:rFonts w:asciiTheme="minorHAnsi" w:hAnsiTheme="minorHAnsi" w:cstheme="minorHAnsi"/>
          <w:szCs w:val="24"/>
          <w:lang w:eastAsia="zh-CN"/>
        </w:rPr>
        <w:t xml:space="preserve"> </w:t>
      </w:r>
      <w:r w:rsidR="004D02FA" w:rsidRPr="00096D83">
        <w:rPr>
          <w:rFonts w:asciiTheme="minorHAnsi" w:hAnsiTheme="minorHAnsi" w:cstheme="minorHAnsi"/>
          <w:szCs w:val="24"/>
          <w:lang w:eastAsia="zh-CN"/>
        </w:rPr>
        <w:t xml:space="preserve">068,1 tūkst. eurų </w:t>
      </w:r>
      <w:r w:rsidR="00F67E15" w:rsidRPr="00096D83">
        <w:rPr>
          <w:rFonts w:asciiTheme="minorHAnsi" w:hAnsiTheme="minorHAnsi" w:cstheme="minorHAnsi"/>
          <w:szCs w:val="24"/>
          <w:lang w:eastAsia="zh-CN"/>
        </w:rPr>
        <w:t>įvykdytas 2</w:t>
      </w:r>
      <w:r w:rsidR="004D02FA" w:rsidRPr="00096D83">
        <w:rPr>
          <w:rFonts w:asciiTheme="minorHAnsi" w:hAnsiTheme="minorHAnsi" w:cstheme="minorHAnsi"/>
          <w:szCs w:val="24"/>
          <w:lang w:eastAsia="zh-CN"/>
        </w:rPr>
        <w:t>70,5</w:t>
      </w:r>
      <w:r w:rsidR="00F67E15" w:rsidRPr="00096D83">
        <w:rPr>
          <w:rFonts w:asciiTheme="minorHAnsi" w:hAnsiTheme="minorHAnsi" w:cstheme="minorHAnsi"/>
          <w:szCs w:val="24"/>
          <w:lang w:eastAsia="zh-CN"/>
        </w:rPr>
        <w:t xml:space="preserve"> tūkst. eurų arba </w:t>
      </w:r>
      <w:r w:rsidR="004D02FA" w:rsidRPr="00096D83">
        <w:rPr>
          <w:rFonts w:asciiTheme="minorHAnsi" w:hAnsiTheme="minorHAnsi" w:cstheme="minorHAnsi"/>
          <w:szCs w:val="24"/>
          <w:lang w:eastAsia="zh-CN"/>
        </w:rPr>
        <w:t>13</w:t>
      </w:r>
      <w:r w:rsidR="00F67E15" w:rsidRPr="00096D83">
        <w:rPr>
          <w:rFonts w:asciiTheme="minorHAnsi" w:hAnsiTheme="minorHAnsi" w:cstheme="minorHAnsi"/>
          <w:szCs w:val="24"/>
          <w:lang w:eastAsia="zh-CN"/>
        </w:rPr>
        <w:t>,</w:t>
      </w:r>
      <w:r w:rsidR="004D02FA" w:rsidRPr="00096D83">
        <w:rPr>
          <w:rFonts w:asciiTheme="minorHAnsi" w:hAnsiTheme="minorHAnsi" w:cstheme="minorHAnsi"/>
          <w:szCs w:val="24"/>
          <w:lang w:eastAsia="zh-CN"/>
        </w:rPr>
        <w:t>1</w:t>
      </w:r>
      <w:r w:rsidR="00F67E15" w:rsidRPr="00096D83">
        <w:rPr>
          <w:rFonts w:asciiTheme="minorHAnsi" w:hAnsiTheme="minorHAnsi" w:cstheme="minorHAnsi"/>
          <w:szCs w:val="24"/>
          <w:lang w:eastAsia="zh-CN"/>
        </w:rPr>
        <w:t xml:space="preserve"> proc., t. y. liko nepanaudota 1</w:t>
      </w:r>
      <w:r w:rsidR="00D50E55" w:rsidRPr="00096D83">
        <w:rPr>
          <w:rFonts w:asciiTheme="minorHAnsi" w:hAnsiTheme="minorHAnsi" w:cstheme="minorHAnsi"/>
          <w:szCs w:val="24"/>
          <w:lang w:eastAsia="zh-CN"/>
        </w:rPr>
        <w:t xml:space="preserve"> </w:t>
      </w:r>
      <w:r w:rsidR="004D02FA" w:rsidRPr="00096D83">
        <w:rPr>
          <w:rFonts w:asciiTheme="minorHAnsi" w:hAnsiTheme="minorHAnsi" w:cstheme="minorHAnsi"/>
          <w:szCs w:val="24"/>
          <w:lang w:eastAsia="zh-CN"/>
        </w:rPr>
        <w:t>797,6</w:t>
      </w:r>
      <w:r w:rsidR="00F67E15" w:rsidRPr="00096D83">
        <w:rPr>
          <w:rFonts w:asciiTheme="minorHAnsi" w:hAnsiTheme="minorHAnsi" w:cstheme="minorHAnsi"/>
          <w:szCs w:val="24"/>
          <w:lang w:eastAsia="zh-CN"/>
        </w:rPr>
        <w:t xml:space="preserve"> tūkst. eurų </w:t>
      </w:r>
      <w:r w:rsidR="00247B03" w:rsidRPr="00096D83">
        <w:rPr>
          <w:rFonts w:asciiTheme="minorHAnsi" w:hAnsiTheme="minorHAnsi" w:cstheme="minorHAnsi"/>
          <w:szCs w:val="24"/>
          <w:lang w:eastAsia="zh-CN"/>
        </w:rPr>
        <w:t xml:space="preserve">asignavimų </w:t>
      </w:r>
      <w:r w:rsidR="00F67E15" w:rsidRPr="00096D83">
        <w:rPr>
          <w:rFonts w:asciiTheme="minorHAnsi" w:hAnsiTheme="minorHAnsi" w:cstheme="minorHAnsi"/>
          <w:szCs w:val="24"/>
          <w:lang w:eastAsia="zh-CN"/>
        </w:rPr>
        <w:t>s</w:t>
      </w:r>
      <w:r w:rsidR="00F67E15" w:rsidRPr="00096D83">
        <w:rPr>
          <w:rFonts w:asciiTheme="minorHAnsi" w:hAnsiTheme="minorHAnsi" w:cstheme="minorHAnsi"/>
          <w:szCs w:val="24"/>
        </w:rPr>
        <w:t>porto komplekso (futbolo ir regbio maniežo) įrengimui Europos pr. 105A, Kaune</w:t>
      </w:r>
      <w:r w:rsidR="00D4671B" w:rsidRPr="00096D83">
        <w:rPr>
          <w:rFonts w:asciiTheme="minorHAnsi" w:hAnsiTheme="minorHAnsi" w:cstheme="minorHAnsi"/>
          <w:szCs w:val="24"/>
        </w:rPr>
        <w:t xml:space="preserve">, nes liepos mėnesį buvo gautas statybos leidimas ir </w:t>
      </w:r>
      <w:r w:rsidR="00247B03" w:rsidRPr="00096D83">
        <w:rPr>
          <w:rFonts w:asciiTheme="minorHAnsi" w:hAnsiTheme="minorHAnsi" w:cstheme="minorHAnsi"/>
          <w:szCs w:val="24"/>
        </w:rPr>
        <w:t xml:space="preserve">tik tuomet buvo </w:t>
      </w:r>
      <w:r w:rsidR="00D4671B" w:rsidRPr="00096D83">
        <w:rPr>
          <w:rFonts w:asciiTheme="minorHAnsi" w:hAnsiTheme="minorHAnsi" w:cstheme="minorHAnsi"/>
          <w:szCs w:val="24"/>
        </w:rPr>
        <w:t>pradėtos viešųjų pirkimų procedūros rangovui parinkti.</w:t>
      </w:r>
      <w:r w:rsidR="00F67E15" w:rsidRPr="00096D83">
        <w:rPr>
          <w:rFonts w:asciiTheme="minorHAnsi" w:hAnsiTheme="minorHAnsi" w:cstheme="minorHAnsi"/>
          <w:szCs w:val="24"/>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i/>
          <w:szCs w:val="24"/>
          <w:lang w:eastAsia="zh-CN"/>
        </w:rPr>
      </w:pPr>
      <w:r w:rsidRPr="00096D83">
        <w:rPr>
          <w:rFonts w:asciiTheme="minorHAnsi" w:hAnsiTheme="minorHAnsi" w:cstheme="minorHAnsi"/>
          <w:i/>
          <w:szCs w:val="24"/>
          <w:lang w:eastAsia="zh-CN"/>
        </w:rPr>
        <w:t xml:space="preserve">Europos Sąjungos finansinės paramos lėšos </w:t>
      </w:r>
      <w:r w:rsidR="00CD40FB" w:rsidRPr="00096D83">
        <w:rPr>
          <w:rFonts w:asciiTheme="minorHAnsi" w:hAnsiTheme="minorHAnsi" w:cstheme="minorHAnsi"/>
          <w:szCs w:val="24"/>
          <w:lang w:eastAsia="zh-CN"/>
        </w:rPr>
        <w:t>skirtos</w:t>
      </w:r>
      <w:r w:rsidRPr="00096D83">
        <w:rPr>
          <w:rFonts w:asciiTheme="minorHAnsi" w:hAnsiTheme="minorHAnsi" w:cstheme="minorHAnsi"/>
          <w:szCs w:val="24"/>
          <w:lang w:eastAsia="zh-CN"/>
        </w:rPr>
        <w:t xml:space="preserve"> Savivaldybės patirtoms išlaidoms kompensuoti </w:t>
      </w:r>
      <w:r w:rsidR="00CD40FB" w:rsidRPr="00096D83">
        <w:rPr>
          <w:rFonts w:asciiTheme="minorHAnsi" w:hAnsiTheme="minorHAnsi" w:cstheme="minorHAnsi"/>
          <w:szCs w:val="24"/>
          <w:lang w:eastAsia="zh-CN"/>
        </w:rPr>
        <w:t>(</w:t>
      </w:r>
      <w:r w:rsidR="00DD1FFD" w:rsidRPr="00096D83">
        <w:rPr>
          <w:rFonts w:asciiTheme="minorHAnsi" w:hAnsiTheme="minorHAnsi" w:cstheme="minorHAnsi"/>
          <w:szCs w:val="24"/>
          <w:lang w:eastAsia="zh-CN"/>
        </w:rPr>
        <w:t>106 tūkst. eurų</w:t>
      </w:r>
      <w:r w:rsidR="00CD40FB" w:rsidRPr="00096D83">
        <w:rPr>
          <w:rFonts w:asciiTheme="minorHAnsi" w:hAnsiTheme="minorHAnsi" w:cstheme="minorHAnsi"/>
          <w:szCs w:val="24"/>
          <w:lang w:eastAsia="zh-CN"/>
        </w:rPr>
        <w:t>)</w:t>
      </w:r>
      <w:r w:rsidR="00DD1FFD" w:rsidRPr="00096D83">
        <w:rPr>
          <w:rFonts w:asciiTheme="minorHAnsi" w:hAnsiTheme="minorHAnsi" w:cstheme="minorHAnsi"/>
          <w:szCs w:val="24"/>
          <w:lang w:eastAsia="zh-CN"/>
        </w:rPr>
        <w:t xml:space="preserve"> baigus įgyvendinti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Kauno rotušės pastato pritaikym</w:t>
      </w:r>
      <w:r w:rsidR="00DD1FFD" w:rsidRPr="00096D83">
        <w:rPr>
          <w:rFonts w:asciiTheme="minorHAnsi" w:hAnsiTheme="minorHAnsi" w:cstheme="minorHAnsi"/>
          <w:szCs w:val="24"/>
          <w:lang w:eastAsia="zh-CN"/>
        </w:rPr>
        <w:t>as</w:t>
      </w:r>
      <w:r w:rsidRPr="00096D83">
        <w:rPr>
          <w:rFonts w:asciiTheme="minorHAnsi" w:hAnsiTheme="minorHAnsi" w:cstheme="minorHAnsi"/>
          <w:szCs w:val="24"/>
          <w:lang w:eastAsia="zh-CN"/>
        </w:rPr>
        <w:t xml:space="preserve"> visuomenės poreikiams</w:t>
      </w:r>
      <w:r w:rsidR="00DD1FFD" w:rsidRPr="00096D83">
        <w:rPr>
          <w:rFonts w:asciiTheme="minorHAnsi" w:hAnsiTheme="minorHAnsi" w:cstheme="minorHAnsi"/>
          <w:szCs w:val="24"/>
          <w:lang w:eastAsia="zh-CN"/>
        </w:rPr>
        <w:t xml:space="preserve">“ projektą. Projektui </w:t>
      </w:r>
      <w:r w:rsidR="00E46A51" w:rsidRPr="00096D83">
        <w:rPr>
          <w:rFonts w:asciiTheme="minorHAnsi" w:hAnsiTheme="minorHAnsi" w:cstheme="minorHAnsi"/>
          <w:szCs w:val="24"/>
          <w:lang w:eastAsia="zh-CN"/>
        </w:rPr>
        <w:t>„</w:t>
      </w:r>
      <w:r w:rsidR="00DD1FFD" w:rsidRPr="00096D83">
        <w:rPr>
          <w:rFonts w:asciiTheme="minorHAnsi" w:hAnsiTheme="minorHAnsi" w:cstheme="minorHAnsi"/>
          <w:szCs w:val="24"/>
          <w:lang w:eastAsia="zh-CN"/>
        </w:rPr>
        <w:t xml:space="preserve">Inovacijų plėtra viešojo sektoriaus institucijose“ </w:t>
      </w:r>
      <w:r w:rsidR="00570273" w:rsidRPr="00096D83">
        <w:rPr>
          <w:rFonts w:asciiTheme="minorHAnsi" w:hAnsiTheme="minorHAnsi" w:cstheme="minorHAnsi"/>
          <w:szCs w:val="24"/>
          <w:lang w:eastAsia="zh-CN"/>
        </w:rPr>
        <w:t>skirta</w:t>
      </w:r>
      <w:r w:rsidR="00DD1FFD" w:rsidRPr="00096D83">
        <w:rPr>
          <w:rFonts w:asciiTheme="minorHAnsi" w:hAnsiTheme="minorHAnsi" w:cstheme="minorHAnsi"/>
          <w:szCs w:val="24"/>
          <w:lang w:eastAsia="zh-CN"/>
        </w:rPr>
        <w:t xml:space="preserve"> 6,7 tūkst. eurų.</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 xml:space="preserve"> Savivaldybės savarankiškosioms funkcijoms</w:t>
      </w:r>
      <w:r w:rsidRPr="00096D83">
        <w:rPr>
          <w:rFonts w:asciiTheme="minorHAnsi" w:hAnsiTheme="minorHAnsi" w:cstheme="minorHAnsi"/>
          <w:szCs w:val="24"/>
          <w:lang w:eastAsia="zh-CN"/>
        </w:rPr>
        <w:t xml:space="preserve"> vykdyti iš skirtų </w:t>
      </w:r>
      <w:r w:rsidR="007A4836" w:rsidRPr="00096D83">
        <w:rPr>
          <w:rFonts w:asciiTheme="minorHAnsi" w:hAnsiTheme="minorHAnsi" w:cstheme="minorHAnsi"/>
          <w:szCs w:val="24"/>
          <w:lang w:eastAsia="zh-CN"/>
        </w:rPr>
        <w:t>64 181,5</w:t>
      </w:r>
      <w:r w:rsidRPr="00096D83">
        <w:rPr>
          <w:rFonts w:asciiTheme="minorHAnsi" w:hAnsiTheme="minorHAnsi" w:cstheme="minorHAnsi"/>
          <w:szCs w:val="24"/>
          <w:lang w:eastAsia="zh-CN"/>
        </w:rPr>
        <w:t xml:space="preserve"> tūkst. eurų liko nepanaudota </w:t>
      </w:r>
      <w:r w:rsidR="007A4836" w:rsidRPr="00096D83">
        <w:rPr>
          <w:rFonts w:asciiTheme="minorHAnsi" w:hAnsiTheme="minorHAnsi" w:cstheme="minorHAnsi"/>
          <w:szCs w:val="24"/>
          <w:lang w:eastAsia="zh-CN"/>
        </w:rPr>
        <w:t>9 402,6</w:t>
      </w:r>
      <w:r w:rsidRPr="00096D83">
        <w:rPr>
          <w:rFonts w:asciiTheme="minorHAnsi" w:hAnsiTheme="minorHAnsi" w:cstheme="minorHAnsi"/>
          <w:szCs w:val="24"/>
          <w:lang w:eastAsia="zh-CN"/>
        </w:rPr>
        <w:t xml:space="preserve"> tūkst. eurų, iš jų daugiausiai </w:t>
      </w:r>
      <w:r w:rsidR="007A4836" w:rsidRPr="00096D83">
        <w:rPr>
          <w:rFonts w:asciiTheme="minorHAnsi" w:hAnsiTheme="minorHAnsi" w:cstheme="minorHAnsi"/>
          <w:szCs w:val="24"/>
          <w:lang w:eastAsia="zh-CN"/>
        </w:rPr>
        <w:t>4 920,6</w:t>
      </w:r>
      <w:r w:rsidRPr="00096D83">
        <w:rPr>
          <w:rFonts w:asciiTheme="minorHAnsi" w:hAnsiTheme="minorHAnsi" w:cstheme="minorHAnsi"/>
          <w:szCs w:val="24"/>
          <w:lang w:eastAsia="zh-CN"/>
        </w:rPr>
        <w:t xml:space="preserve"> tūkst. eurų – </w:t>
      </w:r>
      <w:r w:rsidR="007A4836" w:rsidRPr="00096D83">
        <w:rPr>
          <w:rFonts w:asciiTheme="minorHAnsi" w:hAnsiTheme="minorHAnsi" w:cstheme="minorHAnsi"/>
          <w:szCs w:val="24"/>
          <w:lang w:eastAsia="zh-CN"/>
        </w:rPr>
        <w:t xml:space="preserve">M. K. Čiurlionio koncertų centro </w:t>
      </w:r>
      <w:r w:rsidRPr="00096D83">
        <w:rPr>
          <w:rFonts w:asciiTheme="minorHAnsi" w:hAnsiTheme="minorHAnsi" w:cstheme="minorHAnsi"/>
          <w:szCs w:val="24"/>
          <w:lang w:eastAsia="zh-CN"/>
        </w:rPr>
        <w:t xml:space="preserve">statybai, </w:t>
      </w:r>
      <w:r w:rsidR="00C86747" w:rsidRPr="00096D83">
        <w:rPr>
          <w:rFonts w:asciiTheme="minorHAnsi" w:hAnsiTheme="minorHAnsi" w:cstheme="minorHAnsi"/>
          <w:szCs w:val="24"/>
          <w:lang w:eastAsia="zh-CN"/>
        </w:rPr>
        <w:t xml:space="preserve">nes </w:t>
      </w:r>
      <w:r w:rsidR="00AB55C7" w:rsidRPr="00096D83">
        <w:rPr>
          <w:rFonts w:asciiTheme="minorHAnsi" w:hAnsiTheme="minorHAnsi" w:cstheme="minorHAnsi"/>
          <w:szCs w:val="24"/>
          <w:lang w:eastAsia="zh-CN"/>
        </w:rPr>
        <w:t xml:space="preserve">užsitęsė </w:t>
      </w:r>
      <w:r w:rsidR="00C86747" w:rsidRPr="00096D83">
        <w:rPr>
          <w:rFonts w:asciiTheme="minorHAnsi" w:hAnsiTheme="minorHAnsi" w:cstheme="minorHAnsi"/>
          <w:szCs w:val="24"/>
          <w:lang w:eastAsia="zh-CN"/>
        </w:rPr>
        <w:t>viešųjų pirkimų procedūros dėl tarp pirkimo dalyvių kilusių teisminių ginčų</w:t>
      </w:r>
      <w:r w:rsidR="003D0BAC" w:rsidRPr="00096D83">
        <w:rPr>
          <w:rFonts w:asciiTheme="minorHAnsi" w:hAnsiTheme="minorHAnsi" w:cstheme="minorHAnsi"/>
          <w:szCs w:val="24"/>
          <w:lang w:eastAsia="zh-CN"/>
        </w:rPr>
        <w:t>, 1 666,7 tūkst. eurų – Panemunės baseino statybos darbams, nes pirmiausiai naudotos skolintos lėšos, 575,5 tūkst. eurų – kultūros paveldo objektų tvarkybos darbams, dėl nebaigtų</w:t>
      </w:r>
      <w:r w:rsidR="00CE3191" w:rsidRPr="00096D83">
        <w:rPr>
          <w:rFonts w:asciiTheme="minorHAnsi" w:hAnsiTheme="minorHAnsi" w:cstheme="minorHAnsi"/>
          <w:szCs w:val="24"/>
          <w:lang w:eastAsia="zh-CN"/>
        </w:rPr>
        <w:t xml:space="preserve"> rengti </w:t>
      </w:r>
      <w:r w:rsidR="003D0BAC" w:rsidRPr="00096D83">
        <w:rPr>
          <w:rFonts w:asciiTheme="minorHAnsi" w:hAnsiTheme="minorHAnsi" w:cstheme="minorHAnsi"/>
          <w:szCs w:val="24"/>
          <w:lang w:eastAsia="zh-CN"/>
        </w:rPr>
        <w:t>techninių ir kapitalinio remonto projektų (Aukštųjų Šančių piliakalnyje laiptų įrengimo, Kauno gynybinės sienos šiaurinės dalies ir kt.)</w:t>
      </w:r>
      <w:r w:rsidR="00C86747" w:rsidRPr="00096D83">
        <w:rPr>
          <w:rFonts w:asciiTheme="minorHAnsi" w:hAnsiTheme="minorHAnsi" w:cstheme="minorHAnsi"/>
          <w:szCs w:val="24"/>
          <w:lang w:eastAsia="zh-CN"/>
        </w:rPr>
        <w:t xml:space="preserve">. </w:t>
      </w:r>
      <w:r w:rsidRPr="00096D83">
        <w:rPr>
          <w:rFonts w:asciiTheme="minorHAnsi" w:hAnsiTheme="minorHAnsi" w:cstheme="minorHAnsi"/>
          <w:color w:val="FF0000"/>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09 Švietimas.</w:t>
      </w:r>
      <w:r w:rsidRPr="00096D83">
        <w:rPr>
          <w:rFonts w:asciiTheme="minorHAnsi" w:hAnsiTheme="minorHAnsi" w:cstheme="minorHAnsi"/>
          <w:szCs w:val="24"/>
          <w:lang w:eastAsia="zh-CN"/>
        </w:rPr>
        <w:t xml:space="preserve"> Patikslintas asignavimų planas </w:t>
      </w:r>
      <w:r w:rsidR="001F6206" w:rsidRPr="00096D83">
        <w:rPr>
          <w:rFonts w:asciiTheme="minorHAnsi" w:hAnsiTheme="minorHAnsi" w:cstheme="minorHAnsi"/>
          <w:szCs w:val="24"/>
          <w:lang w:eastAsia="zh-CN"/>
        </w:rPr>
        <w:t>373 756,2</w:t>
      </w:r>
      <w:r w:rsidRPr="00096D83">
        <w:rPr>
          <w:rFonts w:asciiTheme="minorHAnsi" w:hAnsiTheme="minorHAnsi" w:cstheme="minorHAnsi"/>
          <w:szCs w:val="24"/>
          <w:lang w:eastAsia="zh-CN"/>
        </w:rPr>
        <w:t xml:space="preserve"> tūkst. eurų įvykdytas </w:t>
      </w:r>
      <w:r w:rsidR="001F6206" w:rsidRPr="00096D83">
        <w:rPr>
          <w:rFonts w:asciiTheme="minorHAnsi" w:hAnsiTheme="minorHAnsi" w:cstheme="minorHAnsi"/>
          <w:szCs w:val="24"/>
          <w:lang w:eastAsia="zh-CN"/>
        </w:rPr>
        <w:t>364 497,1</w:t>
      </w:r>
      <w:r w:rsidRPr="00096D83">
        <w:rPr>
          <w:rFonts w:asciiTheme="minorHAnsi" w:hAnsiTheme="minorHAnsi" w:cstheme="minorHAnsi"/>
          <w:szCs w:val="24"/>
          <w:lang w:eastAsia="zh-CN"/>
        </w:rPr>
        <w:t xml:space="preserve"> tūkst. eurų arba 97</w:t>
      </w:r>
      <w:r w:rsidR="001F6206"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proc., t. y. liko nepanaudota </w:t>
      </w:r>
      <w:r w:rsidR="001F6206" w:rsidRPr="00096D83">
        <w:rPr>
          <w:rFonts w:asciiTheme="minorHAnsi" w:hAnsiTheme="minorHAnsi" w:cstheme="minorHAnsi"/>
          <w:szCs w:val="24"/>
          <w:lang w:eastAsia="zh-CN"/>
        </w:rPr>
        <w:t>9 259,1</w:t>
      </w:r>
      <w:r w:rsidRPr="00096D83">
        <w:rPr>
          <w:rFonts w:asciiTheme="minorHAnsi" w:hAnsiTheme="minorHAnsi" w:cstheme="minorHAnsi"/>
          <w:szCs w:val="24"/>
          <w:lang w:eastAsia="zh-CN"/>
        </w:rPr>
        <w:t xml:space="preserve"> tūkst. eurų. </w:t>
      </w:r>
    </w:p>
    <w:p w:rsidR="00402E6E" w:rsidRPr="00096D83" w:rsidRDefault="0068601D" w:rsidP="00E46A51">
      <w:pPr>
        <w:spacing w:line="360" w:lineRule="auto"/>
        <w:ind w:firstLine="851"/>
        <w:jc w:val="both"/>
        <w:rPr>
          <w:rFonts w:asciiTheme="minorHAnsi" w:hAnsiTheme="minorHAnsi" w:cstheme="minorHAnsi"/>
          <w:szCs w:val="24"/>
          <w:lang w:eastAsia="lt-LT"/>
        </w:rPr>
      </w:pPr>
      <w:r w:rsidRPr="00096D83">
        <w:rPr>
          <w:rFonts w:asciiTheme="minorHAnsi" w:hAnsiTheme="minorHAnsi" w:cstheme="minorHAnsi"/>
          <w:i/>
          <w:szCs w:val="24"/>
          <w:lang w:eastAsia="zh-CN"/>
        </w:rPr>
        <w:t>Valstybės d</w:t>
      </w:r>
      <w:r w:rsidR="00F67E15" w:rsidRPr="00096D83">
        <w:rPr>
          <w:rFonts w:asciiTheme="minorHAnsi" w:hAnsiTheme="minorHAnsi" w:cstheme="minorHAnsi"/>
          <w:i/>
          <w:szCs w:val="24"/>
          <w:lang w:eastAsia="zh-CN"/>
        </w:rPr>
        <w:t>otacijų asignavimų planas</w:t>
      </w:r>
      <w:r w:rsidR="00F67E15" w:rsidRPr="00096D83">
        <w:rPr>
          <w:rFonts w:asciiTheme="minorHAnsi" w:hAnsiTheme="minorHAnsi" w:cstheme="minorHAnsi"/>
          <w:szCs w:val="24"/>
          <w:lang w:eastAsia="zh-CN"/>
        </w:rPr>
        <w:t xml:space="preserve"> </w:t>
      </w:r>
      <w:r w:rsidR="00B07821" w:rsidRPr="00096D83">
        <w:rPr>
          <w:rFonts w:asciiTheme="minorHAnsi" w:hAnsiTheme="minorHAnsi" w:cstheme="minorHAnsi"/>
          <w:szCs w:val="24"/>
          <w:lang w:eastAsia="zh-CN"/>
        </w:rPr>
        <w:t>199 514,1 tūkst. eurų įvy</w:t>
      </w:r>
      <w:r w:rsidR="00F67E15" w:rsidRPr="00096D83">
        <w:rPr>
          <w:rFonts w:asciiTheme="minorHAnsi" w:hAnsiTheme="minorHAnsi" w:cstheme="minorHAnsi"/>
          <w:szCs w:val="24"/>
          <w:lang w:eastAsia="zh-CN"/>
        </w:rPr>
        <w:t>kdytas 1</w:t>
      </w:r>
      <w:r w:rsidR="00B07821" w:rsidRPr="00096D83">
        <w:rPr>
          <w:rFonts w:asciiTheme="minorHAnsi" w:hAnsiTheme="minorHAnsi" w:cstheme="minorHAnsi"/>
          <w:szCs w:val="24"/>
          <w:lang w:eastAsia="zh-CN"/>
        </w:rPr>
        <w:t>98 097,8</w:t>
      </w:r>
      <w:r w:rsidR="00F67E15" w:rsidRPr="00096D83">
        <w:rPr>
          <w:rFonts w:asciiTheme="minorHAnsi" w:hAnsiTheme="minorHAnsi" w:cstheme="minorHAnsi"/>
          <w:szCs w:val="24"/>
          <w:lang w:eastAsia="zh-CN"/>
        </w:rPr>
        <w:t xml:space="preserve"> tūkst. eurų arba 99,</w:t>
      </w:r>
      <w:r w:rsidR="00B07821" w:rsidRPr="00096D83">
        <w:rPr>
          <w:rFonts w:asciiTheme="minorHAnsi" w:hAnsiTheme="minorHAnsi" w:cstheme="minorHAnsi"/>
          <w:szCs w:val="24"/>
          <w:lang w:eastAsia="zh-CN"/>
        </w:rPr>
        <w:t>3</w:t>
      </w:r>
      <w:r w:rsidR="00F67E15" w:rsidRPr="00096D83">
        <w:rPr>
          <w:rFonts w:asciiTheme="minorHAnsi" w:hAnsiTheme="minorHAnsi" w:cstheme="minorHAnsi"/>
          <w:szCs w:val="24"/>
          <w:lang w:eastAsia="zh-CN"/>
        </w:rPr>
        <w:t xml:space="preserve"> proc., t. y. liko nepanaudota </w:t>
      </w:r>
      <w:r w:rsidR="00B07821" w:rsidRPr="00096D83">
        <w:rPr>
          <w:rFonts w:asciiTheme="minorHAnsi" w:hAnsiTheme="minorHAnsi" w:cstheme="minorHAnsi"/>
          <w:szCs w:val="24"/>
          <w:lang w:eastAsia="zh-CN"/>
        </w:rPr>
        <w:t>1 416,3</w:t>
      </w:r>
      <w:r w:rsidR="00F67E15" w:rsidRPr="00096D83">
        <w:rPr>
          <w:rFonts w:asciiTheme="minorHAnsi" w:hAnsiTheme="minorHAnsi" w:cstheme="minorHAnsi"/>
          <w:szCs w:val="24"/>
          <w:lang w:eastAsia="zh-CN"/>
        </w:rPr>
        <w:t xml:space="preserve"> tūkst. eurų, iš kurių </w:t>
      </w:r>
      <w:r w:rsidR="00B07821" w:rsidRPr="00096D83">
        <w:rPr>
          <w:rFonts w:asciiTheme="minorHAnsi" w:hAnsiTheme="minorHAnsi" w:cstheme="minorHAnsi"/>
          <w:szCs w:val="24"/>
          <w:lang w:eastAsia="zh-CN"/>
        </w:rPr>
        <w:t>1 182,5</w:t>
      </w:r>
      <w:r w:rsidR="00F67E15" w:rsidRPr="00096D83">
        <w:rPr>
          <w:rFonts w:asciiTheme="minorHAnsi" w:hAnsiTheme="minorHAnsi" w:cstheme="minorHAnsi"/>
          <w:szCs w:val="24"/>
          <w:lang w:eastAsia="zh-CN"/>
        </w:rPr>
        <w:t xml:space="preserve"> tūkst. eurų – ugdymo reikmėms finansuoti skirtų lėšų, </w:t>
      </w:r>
      <w:r w:rsidR="00402E6E" w:rsidRPr="00096D83">
        <w:rPr>
          <w:rFonts w:asciiTheme="minorHAnsi" w:hAnsiTheme="minorHAnsi" w:cstheme="minorHAnsi"/>
          <w:szCs w:val="24"/>
          <w:lang w:eastAsia="zh-CN"/>
        </w:rPr>
        <w:t>98,3 tūkst. eurų – profesiniam orientavimui, 93 tūkst. eurų – neformaliajam vaikų švietimui, 20,2 tūkst. eurų – mokykl</w:t>
      </w:r>
      <w:r w:rsidR="00DB22AD" w:rsidRPr="00096D83">
        <w:rPr>
          <w:rFonts w:asciiTheme="minorHAnsi" w:hAnsiTheme="minorHAnsi" w:cstheme="minorHAnsi"/>
          <w:szCs w:val="24"/>
          <w:lang w:eastAsia="zh-CN"/>
        </w:rPr>
        <w:t>os</w:t>
      </w:r>
      <w:r w:rsidR="00402E6E" w:rsidRPr="00096D83">
        <w:rPr>
          <w:rFonts w:asciiTheme="minorHAnsi" w:hAnsiTheme="minorHAnsi" w:cstheme="minorHAnsi"/>
          <w:szCs w:val="24"/>
          <w:lang w:eastAsia="zh-CN"/>
        </w:rPr>
        <w:t xml:space="preserve"> gelton</w:t>
      </w:r>
      <w:r w:rsidR="00DB22AD" w:rsidRPr="00096D83">
        <w:rPr>
          <w:rFonts w:asciiTheme="minorHAnsi" w:hAnsiTheme="minorHAnsi" w:cstheme="minorHAnsi"/>
          <w:szCs w:val="24"/>
          <w:lang w:eastAsia="zh-CN"/>
        </w:rPr>
        <w:t>ajam</w:t>
      </w:r>
      <w:r w:rsidR="00402E6E" w:rsidRPr="00096D83">
        <w:rPr>
          <w:rFonts w:asciiTheme="minorHAnsi" w:hAnsiTheme="minorHAnsi" w:cstheme="minorHAnsi"/>
          <w:szCs w:val="24"/>
          <w:lang w:eastAsia="zh-CN"/>
        </w:rPr>
        <w:t xml:space="preserve"> autobusiuk</w:t>
      </w:r>
      <w:r w:rsidR="00DB22AD" w:rsidRPr="00096D83">
        <w:rPr>
          <w:rFonts w:asciiTheme="minorHAnsi" w:hAnsiTheme="minorHAnsi" w:cstheme="minorHAnsi"/>
          <w:szCs w:val="24"/>
          <w:lang w:eastAsia="zh-CN"/>
        </w:rPr>
        <w:t>ui</w:t>
      </w:r>
      <w:r w:rsidR="00402E6E" w:rsidRPr="00096D83">
        <w:rPr>
          <w:rFonts w:asciiTheme="minorHAnsi" w:hAnsiTheme="minorHAnsi" w:cstheme="minorHAnsi"/>
          <w:szCs w:val="24"/>
          <w:lang w:eastAsia="zh-CN"/>
        </w:rPr>
        <w:t xml:space="preserve"> įsigyti, 14,7 tūkst. eurų – iš apskričių perduotų švietimo įstaigų išlaikymui, 3,8 tūkst. eurų – pedagoginių darbuotojų išlaikomų iš </w:t>
      </w:r>
      <w:r w:rsidR="00B125FF" w:rsidRPr="00096D83">
        <w:rPr>
          <w:rFonts w:asciiTheme="minorHAnsi" w:hAnsiTheme="minorHAnsi" w:cstheme="minorHAnsi"/>
          <w:szCs w:val="24"/>
          <w:lang w:eastAsia="zh-CN"/>
        </w:rPr>
        <w:t>S</w:t>
      </w:r>
      <w:r w:rsidR="00402E6E" w:rsidRPr="00096D83">
        <w:rPr>
          <w:rFonts w:asciiTheme="minorHAnsi" w:hAnsiTheme="minorHAnsi" w:cstheme="minorHAnsi"/>
          <w:szCs w:val="24"/>
          <w:lang w:eastAsia="zh-CN"/>
        </w:rPr>
        <w:t>avivaldybės biudžeto lėšų darbo užmokesčio didinimui</w:t>
      </w:r>
      <w:r w:rsidR="00341765" w:rsidRPr="00096D83">
        <w:rPr>
          <w:rFonts w:asciiTheme="minorHAnsi" w:hAnsiTheme="minorHAnsi" w:cstheme="minorHAnsi"/>
          <w:szCs w:val="24"/>
          <w:lang w:eastAsia="zh-CN"/>
        </w:rPr>
        <w:t xml:space="preserve">, </w:t>
      </w:r>
      <w:r w:rsidR="00402E6E" w:rsidRPr="00096D83">
        <w:rPr>
          <w:rFonts w:asciiTheme="minorHAnsi" w:hAnsiTheme="minorHAnsi" w:cstheme="minorHAnsi"/>
          <w:szCs w:val="24"/>
          <w:lang w:eastAsia="zh-CN"/>
        </w:rPr>
        <w:t>3,8 tūkst. eurų –  atvirųjų grupių, klasių ugdymo organizavimui, 0,1 tūkst. eurų –</w:t>
      </w:r>
      <w:r w:rsidR="009C52E0" w:rsidRPr="00096D83">
        <w:rPr>
          <w:rFonts w:asciiTheme="minorHAnsi" w:hAnsiTheme="minorHAnsi" w:cstheme="minorHAnsi"/>
          <w:szCs w:val="24"/>
          <w:lang w:eastAsia="zh-CN"/>
        </w:rPr>
        <w:t xml:space="preserve"> </w:t>
      </w:r>
      <w:r w:rsidR="009C52E0" w:rsidRPr="00096D83">
        <w:rPr>
          <w:rFonts w:asciiTheme="minorHAnsi" w:hAnsiTheme="minorHAnsi" w:cstheme="minorHAnsi"/>
          <w:szCs w:val="24"/>
        </w:rPr>
        <w:t>Vokietijos ginkluotųjų pajėgų brigados šeimos narių ugdymo pagal formaliojo ir neformaliojo švietimo programas sąlygoms sudaryti (įskaitant infrastruktūrą), ugdymo, švietimo, kitoms su švietimu susijusioms reikmėms finansuoti.</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Europos Sąjungos finansinės paramos ir bendrojo finansavimo lėšos</w:t>
      </w:r>
      <w:r w:rsidRPr="00096D83">
        <w:rPr>
          <w:rFonts w:asciiTheme="minorHAnsi" w:hAnsiTheme="minorHAnsi" w:cstheme="minorHAnsi"/>
          <w:szCs w:val="24"/>
          <w:lang w:eastAsia="zh-CN"/>
        </w:rPr>
        <w:t xml:space="preserve"> – </w:t>
      </w:r>
      <w:r w:rsidR="00402E6E" w:rsidRPr="00096D83">
        <w:rPr>
          <w:rFonts w:asciiTheme="minorHAnsi" w:hAnsiTheme="minorHAnsi" w:cstheme="minorHAnsi"/>
          <w:szCs w:val="24"/>
          <w:lang w:eastAsia="zh-CN"/>
        </w:rPr>
        <w:t>14 909,8</w:t>
      </w:r>
      <w:r w:rsidRPr="00096D83">
        <w:rPr>
          <w:rFonts w:asciiTheme="minorHAnsi" w:hAnsiTheme="minorHAnsi" w:cstheme="minorHAnsi"/>
          <w:szCs w:val="24"/>
          <w:lang w:eastAsia="zh-CN"/>
        </w:rPr>
        <w:t xml:space="preserve"> tūkst. eurų </w:t>
      </w:r>
      <w:r w:rsidR="00DD104C" w:rsidRPr="00096D83">
        <w:rPr>
          <w:rFonts w:asciiTheme="minorHAnsi" w:hAnsiTheme="minorHAnsi" w:cstheme="minorHAnsi"/>
          <w:szCs w:val="24"/>
          <w:lang w:eastAsia="zh-CN"/>
        </w:rPr>
        <w:t xml:space="preserve">skirtos </w:t>
      </w:r>
      <w:r w:rsidRPr="00096D83">
        <w:rPr>
          <w:rFonts w:asciiTheme="minorHAnsi" w:hAnsiTheme="minorHAnsi" w:cstheme="minorHAnsi"/>
          <w:szCs w:val="24"/>
          <w:lang w:eastAsia="zh-CN"/>
        </w:rPr>
        <w:t xml:space="preserve">vykdomiems projektams finansuoti, iš jų: </w:t>
      </w:r>
      <w:r w:rsidR="00402E6E" w:rsidRPr="00096D83">
        <w:rPr>
          <w:rFonts w:asciiTheme="minorHAnsi" w:hAnsiTheme="minorHAnsi" w:cstheme="minorHAnsi"/>
          <w:szCs w:val="24"/>
          <w:lang w:eastAsia="zh-CN"/>
        </w:rPr>
        <w:t>6 201,4</w:t>
      </w:r>
      <w:r w:rsidRPr="00096D83">
        <w:rPr>
          <w:rFonts w:asciiTheme="minorHAnsi" w:hAnsiTheme="minorHAnsi" w:cstheme="minorHAnsi"/>
          <w:szCs w:val="24"/>
          <w:lang w:eastAsia="zh-CN"/>
        </w:rPr>
        <w:t xml:space="preserve"> tūkst. eurų –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Tūkstantmečio mokykl</w:t>
      </w:r>
      <w:r w:rsidR="00AF1233" w:rsidRPr="00096D83">
        <w:rPr>
          <w:rFonts w:asciiTheme="minorHAnsi" w:hAnsiTheme="minorHAnsi" w:cstheme="minorHAnsi"/>
          <w:szCs w:val="24"/>
          <w:lang w:eastAsia="zh-CN"/>
        </w:rPr>
        <w:t>os II“</w:t>
      </w:r>
      <w:r w:rsidRPr="00096D83">
        <w:rPr>
          <w:rFonts w:asciiTheme="minorHAnsi" w:hAnsiTheme="minorHAnsi" w:cstheme="minorHAnsi"/>
          <w:szCs w:val="24"/>
          <w:lang w:eastAsia="zh-CN"/>
        </w:rPr>
        <w:t xml:space="preserve">, </w:t>
      </w:r>
      <w:r w:rsidR="00402E6E" w:rsidRPr="00096D83">
        <w:rPr>
          <w:rFonts w:asciiTheme="minorHAnsi" w:hAnsiTheme="minorHAnsi" w:cstheme="minorHAnsi"/>
          <w:szCs w:val="24"/>
          <w:lang w:eastAsia="zh-CN"/>
        </w:rPr>
        <w:t xml:space="preserve">4 553,6 tūkst. eurų – </w:t>
      </w:r>
      <w:r w:rsidR="00E46A51" w:rsidRPr="00096D83">
        <w:rPr>
          <w:rFonts w:asciiTheme="minorHAnsi" w:hAnsiTheme="minorHAnsi" w:cstheme="minorHAnsi"/>
          <w:szCs w:val="24"/>
          <w:lang w:eastAsia="zh-CN"/>
        </w:rPr>
        <w:t>„</w:t>
      </w:r>
      <w:r w:rsidR="00402E6E" w:rsidRPr="00096D83">
        <w:rPr>
          <w:rFonts w:asciiTheme="minorHAnsi" w:hAnsiTheme="minorHAnsi" w:cstheme="minorHAnsi"/>
          <w:szCs w:val="24"/>
          <w:lang w:eastAsia="zh-CN"/>
        </w:rPr>
        <w:t xml:space="preserve">Vaikų darželio pastato Vijūkų g. 78, Kaune, statyba“, 1 605 tūkst. eurų – </w:t>
      </w:r>
      <w:r w:rsidR="00E46A51" w:rsidRPr="00096D83">
        <w:rPr>
          <w:rFonts w:asciiTheme="minorHAnsi" w:hAnsiTheme="minorHAnsi" w:cstheme="minorHAnsi"/>
          <w:szCs w:val="24"/>
          <w:lang w:eastAsia="zh-CN"/>
        </w:rPr>
        <w:t>„</w:t>
      </w:r>
      <w:r w:rsidR="00402E6E" w:rsidRPr="00096D83">
        <w:rPr>
          <w:rFonts w:asciiTheme="minorHAnsi" w:hAnsiTheme="minorHAnsi" w:cstheme="minorHAnsi"/>
          <w:szCs w:val="24"/>
          <w:lang w:eastAsia="zh-CN"/>
        </w:rPr>
        <w:t>Kauno Tirkiliškių mokyklos-darželio (</w:t>
      </w:r>
      <w:r w:rsidR="00BB5E89" w:rsidRPr="00096D83">
        <w:rPr>
          <w:rFonts w:asciiTheme="minorHAnsi" w:hAnsiTheme="minorHAnsi" w:cstheme="minorHAnsi"/>
          <w:szCs w:val="24"/>
          <w:lang w:eastAsia="zh-CN"/>
        </w:rPr>
        <w:t>Dvarų</w:t>
      </w:r>
      <w:r w:rsidR="00402E6E" w:rsidRPr="00096D83">
        <w:rPr>
          <w:rFonts w:asciiTheme="minorHAnsi" w:hAnsiTheme="minorHAnsi" w:cstheme="minorHAnsi"/>
          <w:szCs w:val="24"/>
          <w:lang w:eastAsia="zh-CN"/>
        </w:rPr>
        <w:t xml:space="preserve"> g. </w:t>
      </w:r>
      <w:r w:rsidR="00BB5E89" w:rsidRPr="00096D83">
        <w:rPr>
          <w:rFonts w:asciiTheme="minorHAnsi" w:hAnsiTheme="minorHAnsi" w:cstheme="minorHAnsi"/>
          <w:szCs w:val="24"/>
          <w:lang w:eastAsia="zh-CN"/>
        </w:rPr>
        <w:t>49</w:t>
      </w:r>
      <w:r w:rsidR="00402E6E" w:rsidRPr="00096D83">
        <w:rPr>
          <w:rFonts w:asciiTheme="minorHAnsi" w:hAnsiTheme="minorHAnsi" w:cstheme="minorHAnsi"/>
          <w:szCs w:val="24"/>
          <w:lang w:eastAsia="zh-CN"/>
        </w:rPr>
        <w:t xml:space="preserve">) </w:t>
      </w:r>
      <w:r w:rsidR="00E522FA" w:rsidRPr="00096D83">
        <w:rPr>
          <w:rFonts w:asciiTheme="minorHAnsi" w:hAnsiTheme="minorHAnsi" w:cstheme="minorHAnsi"/>
          <w:szCs w:val="24"/>
          <w:lang w:eastAsia="zh-CN"/>
        </w:rPr>
        <w:t xml:space="preserve">pastato </w:t>
      </w:r>
      <w:r w:rsidR="00402E6E" w:rsidRPr="00096D83">
        <w:rPr>
          <w:rFonts w:asciiTheme="minorHAnsi" w:hAnsiTheme="minorHAnsi" w:cstheme="minorHAnsi"/>
          <w:szCs w:val="24"/>
          <w:lang w:eastAsia="zh-CN"/>
        </w:rPr>
        <w:t>statyba“, 1</w:t>
      </w:r>
      <w:r w:rsidR="00E522FA" w:rsidRPr="00096D83">
        <w:rPr>
          <w:rFonts w:asciiTheme="minorHAnsi" w:hAnsiTheme="minorHAnsi" w:cstheme="minorHAnsi"/>
          <w:szCs w:val="24"/>
          <w:lang w:eastAsia="zh-CN"/>
        </w:rPr>
        <w:t> </w:t>
      </w:r>
      <w:r w:rsidR="00402E6E" w:rsidRPr="00096D83">
        <w:rPr>
          <w:rFonts w:asciiTheme="minorHAnsi" w:hAnsiTheme="minorHAnsi" w:cstheme="minorHAnsi"/>
          <w:szCs w:val="24"/>
          <w:lang w:eastAsia="zh-CN"/>
        </w:rPr>
        <w:t>582</w:t>
      </w:r>
      <w:r w:rsidR="00E522FA" w:rsidRPr="00096D83">
        <w:rPr>
          <w:rFonts w:asciiTheme="minorHAnsi" w:hAnsiTheme="minorHAnsi" w:cstheme="minorHAnsi"/>
          <w:szCs w:val="24"/>
          <w:lang w:eastAsia="zh-CN"/>
        </w:rPr>
        <w:t>,</w:t>
      </w:r>
      <w:r w:rsidR="00402E6E"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tūkst. eurų – </w:t>
      </w:r>
      <w:r w:rsidR="00E46A51" w:rsidRPr="00096D83">
        <w:rPr>
          <w:rFonts w:asciiTheme="minorHAnsi" w:hAnsiTheme="minorHAnsi" w:cstheme="minorHAnsi"/>
          <w:szCs w:val="24"/>
          <w:lang w:eastAsia="zh-CN"/>
        </w:rPr>
        <w:t>„</w:t>
      </w:r>
      <w:r w:rsidR="00E522FA" w:rsidRPr="00096D83">
        <w:rPr>
          <w:rFonts w:asciiTheme="minorHAnsi" w:hAnsiTheme="minorHAnsi" w:cstheme="minorHAnsi"/>
          <w:szCs w:val="24"/>
          <w:lang w:eastAsia="zh-CN"/>
        </w:rPr>
        <w:t>Kauno Tirkiliškių mokyklos-darželio (</w:t>
      </w:r>
      <w:r w:rsidR="00BB5E89" w:rsidRPr="00096D83">
        <w:rPr>
          <w:rFonts w:asciiTheme="minorHAnsi" w:hAnsiTheme="minorHAnsi" w:cstheme="minorHAnsi"/>
          <w:szCs w:val="24"/>
          <w:lang w:eastAsia="zh-CN"/>
        </w:rPr>
        <w:t>Yčo</w:t>
      </w:r>
      <w:r w:rsidR="00E522FA" w:rsidRPr="00096D83">
        <w:rPr>
          <w:rFonts w:asciiTheme="minorHAnsi" w:hAnsiTheme="minorHAnsi" w:cstheme="minorHAnsi"/>
          <w:szCs w:val="24"/>
          <w:lang w:eastAsia="zh-CN"/>
        </w:rPr>
        <w:t xml:space="preserve"> g. </w:t>
      </w:r>
      <w:r w:rsidR="00BB5E89" w:rsidRPr="00096D83">
        <w:rPr>
          <w:rFonts w:asciiTheme="minorHAnsi" w:hAnsiTheme="minorHAnsi" w:cstheme="minorHAnsi"/>
          <w:szCs w:val="24"/>
          <w:lang w:eastAsia="zh-CN"/>
        </w:rPr>
        <w:t>2</w:t>
      </w:r>
      <w:r w:rsidR="00E522FA" w:rsidRPr="00096D83">
        <w:rPr>
          <w:rFonts w:asciiTheme="minorHAnsi" w:hAnsiTheme="minorHAnsi" w:cstheme="minorHAnsi"/>
          <w:szCs w:val="24"/>
          <w:lang w:eastAsia="zh-CN"/>
        </w:rPr>
        <w:t xml:space="preserve">) pastato statyba“, 639,3 </w:t>
      </w:r>
      <w:r w:rsidRPr="00096D83">
        <w:rPr>
          <w:rFonts w:asciiTheme="minorHAnsi" w:hAnsiTheme="minorHAnsi" w:cstheme="minorHAnsi"/>
          <w:szCs w:val="24"/>
          <w:lang w:eastAsia="zh-CN"/>
        </w:rPr>
        <w:t xml:space="preserve">tūkst. eurų –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 xml:space="preserve">Ankstyvojo ugdymo užtikrinimas vaikams iš socialinę riziką patiriančių šeimų“, </w:t>
      </w:r>
      <w:r w:rsidR="00E522FA" w:rsidRPr="00096D83">
        <w:rPr>
          <w:rFonts w:asciiTheme="minorHAnsi" w:hAnsiTheme="minorHAnsi" w:cstheme="minorHAnsi"/>
          <w:szCs w:val="24"/>
          <w:lang w:eastAsia="zh-CN"/>
        </w:rPr>
        <w:t xml:space="preserve">211,7 tūkst. eurų – </w:t>
      </w:r>
      <w:r w:rsidR="00E46A51" w:rsidRPr="00096D83">
        <w:rPr>
          <w:rFonts w:asciiTheme="minorHAnsi" w:hAnsiTheme="minorHAnsi" w:cstheme="minorHAnsi"/>
          <w:szCs w:val="24"/>
          <w:lang w:eastAsia="zh-CN"/>
        </w:rPr>
        <w:t>„</w:t>
      </w:r>
      <w:r w:rsidR="00E522FA" w:rsidRPr="00096D83">
        <w:rPr>
          <w:rFonts w:asciiTheme="minorHAnsi" w:hAnsiTheme="minorHAnsi" w:cstheme="minorHAnsi"/>
          <w:szCs w:val="24"/>
          <w:lang w:eastAsia="zh-CN"/>
        </w:rPr>
        <w:t xml:space="preserve">Įtraukties švietime stiprinimas (PASTIPRA)“, 116,3 tūkst. eurų – </w:t>
      </w:r>
      <w:r w:rsidR="00E46A51" w:rsidRPr="00096D83">
        <w:rPr>
          <w:rFonts w:asciiTheme="minorHAnsi" w:hAnsiTheme="minorHAnsi" w:cstheme="minorHAnsi"/>
          <w:szCs w:val="24"/>
          <w:lang w:eastAsia="zh-CN"/>
        </w:rPr>
        <w:t>„</w:t>
      </w:r>
      <w:r w:rsidR="00E522FA" w:rsidRPr="00096D83">
        <w:rPr>
          <w:rFonts w:asciiTheme="minorHAnsi" w:hAnsiTheme="minorHAnsi" w:cstheme="minorHAnsi"/>
          <w:szCs w:val="24"/>
          <w:lang w:eastAsia="zh-CN"/>
        </w:rPr>
        <w:t xml:space="preserve">Kauno </w:t>
      </w:r>
      <w:r w:rsidR="0071340E" w:rsidRPr="00096D83">
        <w:rPr>
          <w:rFonts w:asciiTheme="minorHAnsi" w:hAnsiTheme="minorHAnsi" w:cstheme="minorHAnsi"/>
          <w:szCs w:val="24"/>
          <w:lang w:eastAsia="zh-CN"/>
        </w:rPr>
        <w:t>š</w:t>
      </w:r>
      <w:r w:rsidR="00E522FA" w:rsidRPr="00096D83">
        <w:rPr>
          <w:rFonts w:asciiTheme="minorHAnsi" w:hAnsiTheme="minorHAnsi" w:cstheme="minorHAnsi"/>
          <w:szCs w:val="24"/>
          <w:lang w:eastAsia="zh-CN"/>
        </w:rPr>
        <w:t xml:space="preserve">v. Roko mokyklos modernizavimas, įgyvendinant </w:t>
      </w:r>
      <w:r w:rsidR="0071340E" w:rsidRPr="00096D83">
        <w:rPr>
          <w:rFonts w:asciiTheme="minorHAnsi" w:hAnsiTheme="minorHAnsi" w:cstheme="minorHAnsi"/>
          <w:szCs w:val="24"/>
          <w:lang w:eastAsia="zh-CN"/>
        </w:rPr>
        <w:t>į</w:t>
      </w:r>
      <w:r w:rsidR="00E522FA" w:rsidRPr="00096D83">
        <w:rPr>
          <w:rFonts w:asciiTheme="minorHAnsi" w:hAnsiTheme="minorHAnsi" w:cstheme="minorHAnsi"/>
          <w:szCs w:val="24"/>
          <w:lang w:eastAsia="zh-CN"/>
        </w:rPr>
        <w:t>traukųjį ugdymą Vidurio Lietuvos regione“.</w:t>
      </w:r>
      <w:r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7B2345" w:rsidRPr="00096D83">
        <w:rPr>
          <w:rFonts w:asciiTheme="minorHAnsi" w:hAnsiTheme="minorHAnsi" w:cstheme="minorHAnsi"/>
          <w:szCs w:val="24"/>
          <w:lang w:eastAsia="zh-CN"/>
        </w:rPr>
        <w:t>159 332,3</w:t>
      </w:r>
      <w:r w:rsidRPr="00096D83">
        <w:rPr>
          <w:rFonts w:asciiTheme="minorHAnsi" w:hAnsiTheme="minorHAnsi" w:cstheme="minorHAnsi"/>
          <w:szCs w:val="24"/>
          <w:lang w:eastAsia="zh-CN"/>
        </w:rPr>
        <w:t xml:space="preserve"> tūkst. eurų liko nepanaudota </w:t>
      </w:r>
      <w:r w:rsidR="007B2345" w:rsidRPr="00096D83">
        <w:rPr>
          <w:rFonts w:asciiTheme="minorHAnsi" w:hAnsiTheme="minorHAnsi" w:cstheme="minorHAnsi"/>
          <w:szCs w:val="24"/>
          <w:lang w:eastAsia="zh-CN"/>
        </w:rPr>
        <w:t>7 842,9</w:t>
      </w:r>
      <w:r w:rsidRPr="00096D83">
        <w:rPr>
          <w:rFonts w:asciiTheme="minorHAnsi" w:hAnsiTheme="minorHAnsi" w:cstheme="minorHAnsi"/>
          <w:szCs w:val="24"/>
          <w:lang w:eastAsia="zh-CN"/>
        </w:rPr>
        <w:t xml:space="preserve"> tūkst. eurų, iš jų daugiausiai – </w:t>
      </w:r>
      <w:r w:rsidR="00CD11B8" w:rsidRPr="00096D83">
        <w:rPr>
          <w:rFonts w:asciiTheme="minorHAnsi" w:hAnsiTheme="minorHAnsi" w:cstheme="minorHAnsi"/>
          <w:szCs w:val="24"/>
          <w:lang w:eastAsia="zh-CN"/>
        </w:rPr>
        <w:t>2 422,4</w:t>
      </w:r>
      <w:r w:rsidRPr="00096D83">
        <w:rPr>
          <w:rFonts w:asciiTheme="minorHAnsi" w:hAnsiTheme="minorHAnsi" w:cstheme="minorHAnsi"/>
          <w:szCs w:val="24"/>
          <w:lang w:eastAsia="zh-CN"/>
        </w:rPr>
        <w:t xml:space="preserve"> tūkst. eurų </w:t>
      </w:r>
      <w:r w:rsidR="00CD11B8" w:rsidRPr="00096D83">
        <w:rPr>
          <w:rFonts w:asciiTheme="minorHAnsi" w:hAnsiTheme="minorHAnsi" w:cstheme="minorHAnsi"/>
          <w:szCs w:val="24"/>
          <w:lang w:eastAsia="zh-CN"/>
        </w:rPr>
        <w:t>su darbo užmokesčiu susijusiems mokėjimas, dėl neužimtų etatų</w:t>
      </w:r>
      <w:r w:rsidR="000B64BA" w:rsidRPr="00096D83">
        <w:rPr>
          <w:rFonts w:asciiTheme="minorHAnsi" w:hAnsiTheme="minorHAnsi" w:cstheme="minorHAnsi"/>
          <w:szCs w:val="24"/>
          <w:lang w:eastAsia="zh-CN"/>
        </w:rPr>
        <w:t xml:space="preserve"> ir</w:t>
      </w:r>
      <w:r w:rsidR="00CD11B8" w:rsidRPr="00096D83">
        <w:rPr>
          <w:rFonts w:asciiTheme="minorHAnsi" w:hAnsiTheme="minorHAnsi" w:cstheme="minorHAnsi"/>
          <w:szCs w:val="24"/>
          <w:lang w:eastAsia="zh-CN"/>
        </w:rPr>
        <w:t xml:space="preserve"> </w:t>
      </w:r>
      <w:r w:rsidR="00286401" w:rsidRPr="00096D83">
        <w:rPr>
          <w:rFonts w:asciiTheme="minorHAnsi" w:hAnsiTheme="minorHAnsi" w:cstheme="minorHAnsi"/>
          <w:szCs w:val="24"/>
          <w:lang w:eastAsia="zh-CN"/>
        </w:rPr>
        <w:t xml:space="preserve">darbuotojų </w:t>
      </w:r>
      <w:r w:rsidR="00CD11B8" w:rsidRPr="00096D83">
        <w:rPr>
          <w:rFonts w:asciiTheme="minorHAnsi" w:hAnsiTheme="minorHAnsi" w:cstheme="minorHAnsi"/>
          <w:szCs w:val="24"/>
          <w:lang w:eastAsia="zh-CN"/>
        </w:rPr>
        <w:t>nedarbingumo</w:t>
      </w:r>
      <w:r w:rsidR="00286401" w:rsidRPr="00096D83">
        <w:rPr>
          <w:rFonts w:asciiTheme="minorHAnsi" w:hAnsiTheme="minorHAnsi" w:cstheme="minorHAnsi"/>
          <w:szCs w:val="24"/>
          <w:lang w:eastAsia="zh-CN"/>
        </w:rPr>
        <w:t>.</w:t>
      </w:r>
      <w:r w:rsidR="00CD11B8" w:rsidRPr="00096D83">
        <w:rPr>
          <w:rFonts w:asciiTheme="minorHAnsi" w:hAnsiTheme="minorHAnsi" w:cstheme="minorHAnsi"/>
          <w:szCs w:val="24"/>
          <w:lang w:eastAsia="zh-CN"/>
        </w:rPr>
        <w:t xml:space="preserve"> Dėl 2025 metais </w:t>
      </w:r>
      <w:r w:rsidR="00BE5CA5" w:rsidRPr="00096D83">
        <w:rPr>
          <w:rFonts w:asciiTheme="minorHAnsi" w:hAnsiTheme="minorHAnsi" w:cstheme="minorHAnsi"/>
          <w:szCs w:val="24"/>
          <w:lang w:eastAsia="zh-CN"/>
        </w:rPr>
        <w:t xml:space="preserve">šildymo sezono metu vyravusios </w:t>
      </w:r>
      <w:r w:rsidR="00CD11B8" w:rsidRPr="00096D83">
        <w:rPr>
          <w:rFonts w:asciiTheme="minorHAnsi" w:hAnsiTheme="minorHAnsi" w:cstheme="minorHAnsi"/>
          <w:szCs w:val="24"/>
          <w:lang w:eastAsia="zh-CN"/>
        </w:rPr>
        <w:t xml:space="preserve">teigiamos oro temperatūros 416,3 tūkst. eurų liko nepanaudota </w:t>
      </w:r>
      <w:r w:rsidRPr="00096D83">
        <w:rPr>
          <w:rFonts w:asciiTheme="minorHAnsi" w:hAnsiTheme="minorHAnsi" w:cstheme="minorHAnsi"/>
          <w:szCs w:val="24"/>
          <w:lang w:eastAsia="zh-CN"/>
        </w:rPr>
        <w:t>komunalinėms paslaugoms</w:t>
      </w:r>
      <w:r w:rsidR="00CD11B8" w:rsidRPr="00096D83">
        <w:rPr>
          <w:rFonts w:asciiTheme="minorHAnsi" w:hAnsiTheme="minorHAnsi" w:cstheme="minorHAnsi"/>
          <w:szCs w:val="24"/>
          <w:lang w:eastAsia="zh-CN"/>
        </w:rPr>
        <w:t xml:space="preserve">. Projektams </w:t>
      </w:r>
      <w:r w:rsidR="00E46A51" w:rsidRPr="00096D83">
        <w:rPr>
          <w:rFonts w:asciiTheme="minorHAnsi" w:hAnsiTheme="minorHAnsi" w:cstheme="minorHAnsi"/>
          <w:szCs w:val="24"/>
          <w:lang w:eastAsia="zh-CN"/>
        </w:rPr>
        <w:t>„</w:t>
      </w:r>
      <w:r w:rsidR="00CD11B8" w:rsidRPr="00096D83">
        <w:rPr>
          <w:rFonts w:asciiTheme="minorHAnsi" w:hAnsiTheme="minorHAnsi" w:cstheme="minorHAnsi"/>
          <w:szCs w:val="24"/>
          <w:lang w:eastAsia="zh-CN"/>
        </w:rPr>
        <w:t xml:space="preserve">Kauno Tirkiliškių mokyklos-darželio (Yčo g. 2) pastato statyba“ ir </w:t>
      </w:r>
      <w:r w:rsidR="00E46A51" w:rsidRPr="00096D83">
        <w:rPr>
          <w:rFonts w:asciiTheme="minorHAnsi" w:hAnsiTheme="minorHAnsi" w:cstheme="minorHAnsi"/>
          <w:szCs w:val="24"/>
          <w:lang w:eastAsia="zh-CN"/>
        </w:rPr>
        <w:t>„</w:t>
      </w:r>
      <w:r w:rsidR="00CD11B8" w:rsidRPr="00096D83">
        <w:rPr>
          <w:rFonts w:asciiTheme="minorHAnsi" w:hAnsiTheme="minorHAnsi" w:cstheme="minorHAnsi"/>
          <w:szCs w:val="24"/>
          <w:lang w:eastAsia="zh-CN"/>
        </w:rPr>
        <w:t xml:space="preserve">Kauno Tirkiliškių mokyklos-darželio (Dvarų g. 49) pastato statyba“ liko nepanaudota atitinkamai 384,3 tūkst. eurų ir 325,6 tūkst. </w:t>
      </w:r>
      <w:r w:rsidR="00D23898" w:rsidRPr="00096D83">
        <w:rPr>
          <w:rFonts w:asciiTheme="minorHAnsi" w:hAnsiTheme="minorHAnsi" w:cstheme="minorHAnsi"/>
          <w:szCs w:val="24"/>
          <w:lang w:eastAsia="zh-CN"/>
        </w:rPr>
        <w:t>e</w:t>
      </w:r>
      <w:r w:rsidR="00CD11B8" w:rsidRPr="00096D83">
        <w:rPr>
          <w:rFonts w:asciiTheme="minorHAnsi" w:hAnsiTheme="minorHAnsi" w:cstheme="minorHAnsi"/>
          <w:szCs w:val="24"/>
          <w:lang w:eastAsia="zh-CN"/>
        </w:rPr>
        <w:t xml:space="preserve">urų </w:t>
      </w:r>
      <w:r w:rsidR="00D23898" w:rsidRPr="00096D83">
        <w:rPr>
          <w:rFonts w:asciiTheme="minorHAnsi" w:hAnsiTheme="minorHAnsi" w:cstheme="minorHAnsi"/>
          <w:szCs w:val="24"/>
          <w:lang w:eastAsia="zh-CN"/>
        </w:rPr>
        <w:t>S</w:t>
      </w:r>
      <w:r w:rsidR="00CD11B8" w:rsidRPr="00096D83">
        <w:rPr>
          <w:rFonts w:asciiTheme="minorHAnsi" w:hAnsiTheme="minorHAnsi" w:cstheme="minorHAnsi"/>
          <w:szCs w:val="24"/>
          <w:lang w:eastAsia="zh-CN"/>
        </w:rPr>
        <w:t xml:space="preserve">avivaldybės biudžeto lėšų, nes pirmiausia buvo naudojamos </w:t>
      </w:r>
      <w:r w:rsidR="00D23898" w:rsidRPr="00096D83">
        <w:rPr>
          <w:rFonts w:asciiTheme="minorHAnsi" w:hAnsiTheme="minorHAnsi" w:cstheme="minorHAnsi"/>
          <w:szCs w:val="24"/>
          <w:lang w:eastAsia="zh-CN"/>
        </w:rPr>
        <w:t xml:space="preserve">projektams finansuoti </w:t>
      </w:r>
      <w:r w:rsidR="00CD11B8" w:rsidRPr="00096D83">
        <w:rPr>
          <w:rFonts w:asciiTheme="minorHAnsi" w:hAnsiTheme="minorHAnsi" w:cstheme="minorHAnsi"/>
          <w:szCs w:val="24"/>
          <w:lang w:eastAsia="zh-CN"/>
        </w:rPr>
        <w:t>gautos Europos Sąjungos finansinės paramos lėš</w:t>
      </w:r>
      <w:r w:rsidR="00D23898" w:rsidRPr="00096D83">
        <w:rPr>
          <w:rFonts w:asciiTheme="minorHAnsi" w:hAnsiTheme="minorHAnsi" w:cstheme="minorHAnsi"/>
          <w:szCs w:val="24"/>
          <w:lang w:eastAsia="zh-CN"/>
        </w:rPr>
        <w:t>os.</w:t>
      </w:r>
      <w:r w:rsidRPr="00096D83">
        <w:rPr>
          <w:rFonts w:asciiTheme="minorHAnsi" w:hAnsiTheme="minorHAnsi" w:cstheme="minorHAnsi"/>
          <w:szCs w:val="24"/>
          <w:lang w:eastAsia="zh-CN"/>
        </w:rPr>
        <w:t xml:space="preserve"> </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b/>
          <w:szCs w:val="24"/>
          <w:lang w:eastAsia="zh-CN"/>
        </w:rPr>
        <w:t xml:space="preserve">10 Socialinė apsauga. </w:t>
      </w:r>
      <w:r w:rsidRPr="00096D83">
        <w:rPr>
          <w:rFonts w:asciiTheme="minorHAnsi" w:hAnsiTheme="minorHAnsi" w:cstheme="minorHAnsi"/>
          <w:szCs w:val="24"/>
          <w:lang w:eastAsia="zh-CN"/>
        </w:rPr>
        <w:t xml:space="preserve">Patikslintas asignavimų planas </w:t>
      </w:r>
      <w:r w:rsidR="00665C93" w:rsidRPr="00096D83">
        <w:rPr>
          <w:rFonts w:asciiTheme="minorHAnsi" w:hAnsiTheme="minorHAnsi" w:cstheme="minorHAnsi"/>
          <w:szCs w:val="24"/>
          <w:lang w:eastAsia="zh-CN"/>
        </w:rPr>
        <w:t>103 482</w:t>
      </w:r>
      <w:r w:rsidRPr="00096D83">
        <w:rPr>
          <w:rFonts w:asciiTheme="minorHAnsi" w:hAnsiTheme="minorHAnsi" w:cstheme="minorHAnsi"/>
          <w:szCs w:val="24"/>
          <w:lang w:eastAsia="zh-CN"/>
        </w:rPr>
        <w:t xml:space="preserve"> tūkst. eurų įvykdytas                    </w:t>
      </w:r>
      <w:r w:rsidR="00665C93" w:rsidRPr="00096D83">
        <w:rPr>
          <w:rFonts w:asciiTheme="minorHAnsi" w:hAnsiTheme="minorHAnsi" w:cstheme="minorHAnsi"/>
          <w:szCs w:val="24"/>
          <w:lang w:eastAsia="zh-CN"/>
        </w:rPr>
        <w:t>101 244</w:t>
      </w:r>
      <w:r w:rsidRPr="00096D83">
        <w:rPr>
          <w:rFonts w:asciiTheme="minorHAnsi" w:hAnsiTheme="minorHAnsi" w:cstheme="minorHAnsi"/>
          <w:szCs w:val="24"/>
          <w:lang w:eastAsia="zh-CN"/>
        </w:rPr>
        <w:t xml:space="preserve"> tūkst. eurų arba 9</w:t>
      </w:r>
      <w:r w:rsidR="00665C93" w:rsidRPr="00096D83">
        <w:rPr>
          <w:rFonts w:asciiTheme="minorHAnsi" w:hAnsiTheme="minorHAnsi" w:cstheme="minorHAnsi"/>
          <w:szCs w:val="24"/>
          <w:lang w:eastAsia="zh-CN"/>
        </w:rPr>
        <w:t>7,8</w:t>
      </w:r>
      <w:r w:rsidRPr="00096D83">
        <w:rPr>
          <w:rFonts w:asciiTheme="minorHAnsi" w:hAnsiTheme="minorHAnsi" w:cstheme="minorHAnsi"/>
          <w:szCs w:val="24"/>
          <w:lang w:eastAsia="zh-CN"/>
        </w:rPr>
        <w:t xml:space="preserve"> proc., t. y. liko nepanaudota </w:t>
      </w:r>
      <w:r w:rsidR="00665C93" w:rsidRPr="00096D83">
        <w:rPr>
          <w:rFonts w:asciiTheme="minorHAnsi" w:hAnsiTheme="minorHAnsi" w:cstheme="minorHAnsi"/>
          <w:szCs w:val="24"/>
          <w:lang w:eastAsia="zh-CN"/>
        </w:rPr>
        <w:t>2 238</w:t>
      </w:r>
      <w:r w:rsidRPr="00096D83">
        <w:rPr>
          <w:rFonts w:asciiTheme="minorHAnsi" w:hAnsiTheme="minorHAnsi" w:cstheme="minorHAnsi"/>
          <w:szCs w:val="24"/>
          <w:lang w:eastAsia="zh-CN"/>
        </w:rPr>
        <w:t xml:space="preserve"> tūkst. eurų. </w:t>
      </w:r>
    </w:p>
    <w:p w:rsidR="004F5090" w:rsidRPr="00096D83" w:rsidRDefault="00836DAE"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Valstybės d</w:t>
      </w:r>
      <w:r w:rsidR="00F67E15" w:rsidRPr="00096D83">
        <w:rPr>
          <w:rFonts w:asciiTheme="minorHAnsi" w:hAnsiTheme="minorHAnsi" w:cstheme="minorHAnsi"/>
          <w:i/>
          <w:szCs w:val="24"/>
          <w:lang w:eastAsia="zh-CN"/>
        </w:rPr>
        <w:t>otacijų asignavimų planas</w:t>
      </w:r>
      <w:r w:rsidR="00F67E15" w:rsidRPr="00096D83">
        <w:rPr>
          <w:rFonts w:asciiTheme="minorHAnsi" w:hAnsiTheme="minorHAnsi" w:cstheme="minorHAnsi"/>
          <w:szCs w:val="24"/>
          <w:lang w:eastAsia="zh-CN"/>
        </w:rPr>
        <w:t xml:space="preserve"> </w:t>
      </w:r>
      <w:r w:rsidR="00A46B3F" w:rsidRPr="00096D83">
        <w:rPr>
          <w:rFonts w:asciiTheme="minorHAnsi" w:hAnsiTheme="minorHAnsi" w:cstheme="minorHAnsi"/>
          <w:szCs w:val="24"/>
          <w:lang w:eastAsia="zh-CN"/>
        </w:rPr>
        <w:t xml:space="preserve">42 428,9 tūkst. eurų </w:t>
      </w:r>
      <w:r w:rsidR="00F67E15" w:rsidRPr="00096D83">
        <w:rPr>
          <w:rFonts w:asciiTheme="minorHAnsi" w:hAnsiTheme="minorHAnsi" w:cstheme="minorHAnsi"/>
          <w:szCs w:val="24"/>
          <w:lang w:eastAsia="zh-CN"/>
        </w:rPr>
        <w:t xml:space="preserve">įvykdytas </w:t>
      </w:r>
      <w:r w:rsidR="00A46B3F" w:rsidRPr="00096D83">
        <w:rPr>
          <w:rFonts w:asciiTheme="minorHAnsi" w:hAnsiTheme="minorHAnsi" w:cstheme="minorHAnsi"/>
          <w:szCs w:val="24"/>
          <w:lang w:eastAsia="zh-CN"/>
        </w:rPr>
        <w:t>41 977,1</w:t>
      </w:r>
      <w:r w:rsidR="00F67E15" w:rsidRPr="00096D83">
        <w:rPr>
          <w:rFonts w:asciiTheme="minorHAnsi" w:hAnsiTheme="minorHAnsi" w:cstheme="minorHAnsi"/>
          <w:szCs w:val="24"/>
          <w:lang w:eastAsia="zh-CN"/>
        </w:rPr>
        <w:t xml:space="preserve"> tūkst. eurų arba 9</w:t>
      </w:r>
      <w:r w:rsidR="00A46B3F" w:rsidRPr="00096D83">
        <w:rPr>
          <w:rFonts w:asciiTheme="minorHAnsi" w:hAnsiTheme="minorHAnsi" w:cstheme="minorHAnsi"/>
          <w:szCs w:val="24"/>
          <w:lang w:eastAsia="zh-CN"/>
        </w:rPr>
        <w:t>8,9</w:t>
      </w:r>
      <w:r w:rsidR="00F67E15" w:rsidRPr="00096D83">
        <w:rPr>
          <w:rFonts w:asciiTheme="minorHAnsi" w:hAnsiTheme="minorHAnsi" w:cstheme="minorHAnsi"/>
          <w:szCs w:val="24"/>
          <w:lang w:eastAsia="zh-CN"/>
        </w:rPr>
        <w:t xml:space="preserve"> proc., t. y. liko nepanaudota </w:t>
      </w:r>
      <w:r w:rsidR="00A46B3F" w:rsidRPr="00096D83">
        <w:rPr>
          <w:rFonts w:asciiTheme="minorHAnsi" w:hAnsiTheme="minorHAnsi" w:cstheme="minorHAnsi"/>
          <w:szCs w:val="24"/>
          <w:lang w:eastAsia="zh-CN"/>
        </w:rPr>
        <w:t>451,8</w:t>
      </w:r>
      <w:r w:rsidR="00F67E15" w:rsidRPr="00096D83">
        <w:rPr>
          <w:rFonts w:asciiTheme="minorHAnsi" w:hAnsiTheme="minorHAnsi" w:cstheme="minorHAnsi"/>
          <w:szCs w:val="24"/>
          <w:lang w:eastAsia="zh-CN"/>
        </w:rPr>
        <w:t xml:space="preserve"> tūkst. eurų</w:t>
      </w:r>
      <w:r w:rsidR="00A46B3F" w:rsidRPr="00096D83">
        <w:rPr>
          <w:rFonts w:asciiTheme="minorHAnsi" w:hAnsiTheme="minorHAnsi" w:cstheme="minorHAnsi"/>
          <w:szCs w:val="24"/>
          <w:lang w:eastAsia="zh-CN"/>
        </w:rPr>
        <w:t>. Valstybės deleguotoms funkcijoms vykdyti liko nepanaudota 157,2 tūkst. eurų,</w:t>
      </w:r>
      <w:r w:rsidR="00020C11" w:rsidRPr="00096D83">
        <w:rPr>
          <w:rFonts w:asciiTheme="minorHAnsi" w:hAnsiTheme="minorHAnsi" w:cstheme="minorHAnsi"/>
          <w:szCs w:val="24"/>
          <w:lang w:eastAsia="zh-CN"/>
        </w:rPr>
        <w:t xml:space="preserve"> </w:t>
      </w:r>
      <w:r w:rsidR="00F67E15" w:rsidRPr="00096D83">
        <w:rPr>
          <w:rFonts w:asciiTheme="minorHAnsi" w:hAnsiTheme="minorHAnsi" w:cstheme="minorHAnsi"/>
          <w:szCs w:val="24"/>
          <w:lang w:eastAsia="zh-CN"/>
        </w:rPr>
        <w:t xml:space="preserve">iš kurių </w:t>
      </w:r>
      <w:r w:rsidR="00A46B3F" w:rsidRPr="00096D83">
        <w:rPr>
          <w:rFonts w:asciiTheme="minorHAnsi" w:hAnsiTheme="minorHAnsi" w:cstheme="minorHAnsi"/>
          <w:szCs w:val="24"/>
          <w:lang w:eastAsia="zh-CN"/>
        </w:rPr>
        <w:t>81,6 tūkst. eurų – Savivaldybės užimtumo didinimo</w:t>
      </w:r>
      <w:r w:rsidR="00A46B3F" w:rsidRPr="00096D83">
        <w:rPr>
          <w:rFonts w:asciiTheme="minorHAnsi" w:hAnsiTheme="minorHAnsi" w:cstheme="minorHAnsi"/>
          <w:color w:val="FF0000"/>
          <w:szCs w:val="24"/>
          <w:lang w:eastAsia="zh-CN"/>
        </w:rPr>
        <w:t xml:space="preserve"> </w:t>
      </w:r>
      <w:r w:rsidR="00A46B3F" w:rsidRPr="00096D83">
        <w:rPr>
          <w:rFonts w:asciiTheme="minorHAnsi" w:hAnsiTheme="minorHAnsi" w:cstheme="minorHAnsi"/>
          <w:szCs w:val="24"/>
          <w:lang w:eastAsia="zh-CN"/>
        </w:rPr>
        <w:t xml:space="preserve">programai įgyvendinti, 61,7 tūkst. eurų – socialinei paramai mokinimas mokėti, </w:t>
      </w:r>
      <w:r w:rsidR="00020C11" w:rsidRPr="00096D83">
        <w:rPr>
          <w:rFonts w:asciiTheme="minorHAnsi" w:hAnsiTheme="minorHAnsi" w:cstheme="minorHAnsi"/>
          <w:szCs w:val="24"/>
          <w:lang w:eastAsia="zh-CN"/>
        </w:rPr>
        <w:t xml:space="preserve">6,6 tūkst. eurų – paramai mirties atveju mokėti, 4,2 tūkst. eurų – būsto nuomos mokesčio dalies kompensavimui, 2,9 tūkst. eurų – kompensacijoms nepriklausomybės gynėjams, 0,3 tūkst. eurų </w:t>
      </w:r>
      <w:r w:rsidR="00786FAC" w:rsidRPr="00096D83">
        <w:rPr>
          <w:rFonts w:asciiTheme="minorHAnsi" w:hAnsiTheme="minorHAnsi" w:cstheme="minorHAnsi"/>
          <w:szCs w:val="24"/>
          <w:lang w:eastAsia="zh-CN"/>
        </w:rPr>
        <w:t xml:space="preserve">– socialinėms paslaugoms. </w:t>
      </w:r>
      <w:r w:rsidR="00D24EC5" w:rsidRPr="00096D83">
        <w:rPr>
          <w:rFonts w:asciiTheme="minorHAnsi" w:hAnsiTheme="minorHAnsi" w:cstheme="minorHAnsi"/>
          <w:szCs w:val="24"/>
          <w:lang w:eastAsia="zh-CN"/>
        </w:rPr>
        <w:t>Kitų valstybės dotacijų planas 6</w:t>
      </w:r>
      <w:r w:rsidR="00456512" w:rsidRPr="00096D83">
        <w:rPr>
          <w:rFonts w:asciiTheme="minorHAnsi" w:hAnsiTheme="minorHAnsi" w:cstheme="minorHAnsi"/>
          <w:szCs w:val="24"/>
          <w:lang w:eastAsia="zh-CN"/>
        </w:rPr>
        <w:t xml:space="preserve"> </w:t>
      </w:r>
      <w:r w:rsidR="00D24EC5" w:rsidRPr="00096D83">
        <w:rPr>
          <w:rFonts w:asciiTheme="minorHAnsi" w:hAnsiTheme="minorHAnsi" w:cstheme="minorHAnsi"/>
          <w:szCs w:val="24"/>
          <w:lang w:eastAsia="zh-CN"/>
        </w:rPr>
        <w:t>152,2 tūkst. eurų įvykdytas 5</w:t>
      </w:r>
      <w:r w:rsidR="00456512" w:rsidRPr="00096D83">
        <w:rPr>
          <w:rFonts w:asciiTheme="minorHAnsi" w:hAnsiTheme="minorHAnsi" w:cstheme="minorHAnsi"/>
          <w:szCs w:val="24"/>
          <w:lang w:eastAsia="zh-CN"/>
        </w:rPr>
        <w:t xml:space="preserve"> </w:t>
      </w:r>
      <w:r w:rsidR="00D24EC5" w:rsidRPr="00096D83">
        <w:rPr>
          <w:rFonts w:asciiTheme="minorHAnsi" w:hAnsiTheme="minorHAnsi" w:cstheme="minorHAnsi"/>
          <w:szCs w:val="24"/>
          <w:lang w:eastAsia="zh-CN"/>
        </w:rPr>
        <w:t>857,6 tūkst. eurų arba 95,2 tūkst. eurų. Ataskaitinio laikotarpio pabaigai liko nepanaudota 10</w:t>
      </w:r>
      <w:r w:rsidR="00B23275" w:rsidRPr="00096D83">
        <w:rPr>
          <w:rFonts w:asciiTheme="minorHAnsi" w:hAnsiTheme="minorHAnsi" w:cstheme="minorHAnsi"/>
          <w:szCs w:val="24"/>
          <w:lang w:eastAsia="zh-CN"/>
        </w:rPr>
        <w:t>2,5</w:t>
      </w:r>
      <w:r w:rsidR="00D24EC5" w:rsidRPr="00096D83">
        <w:rPr>
          <w:rFonts w:asciiTheme="minorHAnsi" w:hAnsiTheme="minorHAnsi" w:cstheme="minorHAnsi"/>
          <w:szCs w:val="24"/>
          <w:lang w:eastAsia="zh-CN"/>
        </w:rPr>
        <w:t xml:space="preserve"> tūkst. eurų – būstų pritaikymui </w:t>
      </w:r>
      <w:r w:rsidR="00B23275" w:rsidRPr="00096D83">
        <w:rPr>
          <w:rFonts w:asciiTheme="minorHAnsi" w:hAnsiTheme="minorHAnsi" w:cstheme="minorHAnsi"/>
          <w:szCs w:val="24"/>
          <w:lang w:eastAsia="zh-CN"/>
        </w:rPr>
        <w:t xml:space="preserve">asmenims su negalia, 62,5 tūkst. eurų – </w:t>
      </w:r>
      <w:r w:rsidR="00D05567" w:rsidRPr="00096D83">
        <w:rPr>
          <w:rFonts w:asciiTheme="minorHAnsi" w:hAnsiTheme="minorHAnsi" w:cstheme="minorHAnsi"/>
          <w:szCs w:val="24"/>
          <w:lang w:eastAsia="zh-CN"/>
        </w:rPr>
        <w:t xml:space="preserve">akredituotai socialinei reabilitacijai asmenims su negalia bendruomenėje, 61,3 tūkst. eurų – </w:t>
      </w:r>
      <w:r w:rsidR="00F67E15" w:rsidRPr="00096D83">
        <w:rPr>
          <w:rFonts w:asciiTheme="minorHAnsi" w:hAnsiTheme="minorHAnsi" w:cstheme="minorHAnsi"/>
          <w:szCs w:val="24"/>
          <w:lang w:eastAsia="zh-CN"/>
        </w:rPr>
        <w:t xml:space="preserve">laikino atokvėpio paslaugai teikti ir administruoti, </w:t>
      </w:r>
      <w:r w:rsidR="0036268B" w:rsidRPr="00096D83">
        <w:rPr>
          <w:rFonts w:asciiTheme="minorHAnsi" w:hAnsiTheme="minorHAnsi" w:cstheme="minorHAnsi"/>
          <w:szCs w:val="24"/>
          <w:lang w:eastAsia="zh-CN"/>
        </w:rPr>
        <w:br/>
      </w:r>
      <w:r w:rsidR="004F5090" w:rsidRPr="00096D83">
        <w:rPr>
          <w:rFonts w:asciiTheme="minorHAnsi" w:hAnsiTheme="minorHAnsi" w:cstheme="minorHAnsi"/>
          <w:szCs w:val="24"/>
          <w:lang w:eastAsia="zh-CN"/>
        </w:rPr>
        <w:t>39,3</w:t>
      </w:r>
      <w:r w:rsidR="00F67E15" w:rsidRPr="00096D83">
        <w:rPr>
          <w:rFonts w:asciiTheme="minorHAnsi" w:hAnsiTheme="minorHAnsi" w:cstheme="minorHAnsi"/>
          <w:szCs w:val="24"/>
          <w:lang w:eastAsia="zh-CN"/>
        </w:rPr>
        <w:t xml:space="preserve"> tūkst. eurų – </w:t>
      </w:r>
      <w:r w:rsidR="004F5090" w:rsidRPr="00096D83">
        <w:rPr>
          <w:rFonts w:asciiTheme="minorHAnsi" w:hAnsiTheme="minorHAnsi" w:cstheme="minorHAnsi"/>
          <w:szCs w:val="24"/>
          <w:lang w:eastAsia="zh-CN"/>
        </w:rPr>
        <w:t>akredituotai vaikų dienos socialinei priežiūrai, 12,3 tūkst. eurų – a</w:t>
      </w:r>
      <w:r w:rsidR="00BC32C0" w:rsidRPr="00096D83">
        <w:rPr>
          <w:rFonts w:asciiTheme="minorHAnsi" w:hAnsiTheme="minorHAnsi" w:cstheme="minorHAnsi"/>
          <w:szCs w:val="24"/>
          <w:lang w:eastAsia="zh-CN"/>
        </w:rPr>
        <w:t>smeninės pagalbos</w:t>
      </w:r>
      <w:r w:rsidR="004F5090" w:rsidRPr="00096D83">
        <w:rPr>
          <w:rFonts w:asciiTheme="minorHAnsi" w:hAnsiTheme="minorHAnsi" w:cstheme="minorHAnsi"/>
          <w:szCs w:val="24"/>
          <w:lang w:eastAsia="zh-CN"/>
        </w:rPr>
        <w:t xml:space="preserve"> teikimui, 5,7 tūkst. eurų – asmenų su negalia koordinavimo funkcijai atlikti, 5,6 tūkst. eurų – vaikų, atvykusių iš Ukrainos institucinei socialinei globai, 2,6 tūkst. eurų – socialinių paslaugų srities darbuotojų darbo užmokesčio didinimui, 1,6 tūkst. eurų – vaikų dienos socialinei globai, 1,1 tūkst. eurų – bendruomeninės veiklos stiprinimui.</w:t>
      </w:r>
    </w:p>
    <w:p w:rsidR="00F67E15" w:rsidRPr="00096D83" w:rsidRDefault="00F67E15" w:rsidP="00E46A51">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Europos Sąjungos finansinės paramos ir bendrojo finansavimo lėš</w:t>
      </w:r>
      <w:r w:rsidRPr="00096D83">
        <w:rPr>
          <w:rFonts w:asciiTheme="minorHAnsi" w:hAnsiTheme="minorHAnsi" w:cstheme="minorHAnsi"/>
          <w:szCs w:val="24"/>
          <w:lang w:eastAsia="zh-CN"/>
        </w:rPr>
        <w:t xml:space="preserve">os – </w:t>
      </w:r>
      <w:r w:rsidR="00E11AEB" w:rsidRPr="00096D83">
        <w:rPr>
          <w:rFonts w:asciiTheme="minorHAnsi" w:hAnsiTheme="minorHAnsi" w:cstheme="minorHAnsi"/>
          <w:szCs w:val="24"/>
          <w:lang w:eastAsia="zh-CN"/>
        </w:rPr>
        <w:t>428,6</w:t>
      </w:r>
      <w:r w:rsidRPr="00096D83">
        <w:rPr>
          <w:rFonts w:asciiTheme="minorHAnsi" w:hAnsiTheme="minorHAnsi" w:cstheme="minorHAnsi"/>
          <w:szCs w:val="24"/>
          <w:lang w:eastAsia="zh-CN"/>
        </w:rPr>
        <w:t xml:space="preserve"> tūkst. eurų </w:t>
      </w:r>
      <w:r w:rsidR="000A2B80" w:rsidRPr="00096D83">
        <w:rPr>
          <w:rFonts w:asciiTheme="minorHAnsi" w:hAnsiTheme="minorHAnsi" w:cstheme="minorHAnsi"/>
          <w:szCs w:val="24"/>
          <w:lang w:eastAsia="zh-CN"/>
        </w:rPr>
        <w:t>skirtos</w:t>
      </w:r>
      <w:r w:rsidRPr="00096D83">
        <w:rPr>
          <w:rFonts w:asciiTheme="minorHAnsi" w:hAnsiTheme="minorHAnsi" w:cstheme="minorHAnsi"/>
          <w:szCs w:val="24"/>
          <w:lang w:eastAsia="zh-CN"/>
        </w:rPr>
        <w:t xml:space="preserve"> vykdomiems projektams finansuoti, iš jų </w:t>
      </w:r>
      <w:r w:rsidR="00E11AEB" w:rsidRPr="00096D83">
        <w:rPr>
          <w:rFonts w:asciiTheme="minorHAnsi" w:hAnsiTheme="minorHAnsi" w:cstheme="minorHAnsi"/>
          <w:szCs w:val="24"/>
          <w:lang w:eastAsia="zh-CN"/>
        </w:rPr>
        <w:t>219,</w:t>
      </w:r>
      <w:r w:rsidR="00283B54" w:rsidRPr="00096D83">
        <w:rPr>
          <w:rFonts w:asciiTheme="minorHAnsi" w:hAnsiTheme="minorHAnsi" w:cstheme="minorHAnsi"/>
          <w:szCs w:val="24"/>
          <w:lang w:eastAsia="zh-CN"/>
        </w:rPr>
        <w:t>3</w:t>
      </w:r>
      <w:r w:rsidR="00E11AEB" w:rsidRPr="00096D83">
        <w:rPr>
          <w:rFonts w:asciiTheme="minorHAnsi" w:hAnsiTheme="minorHAnsi" w:cstheme="minorHAnsi"/>
          <w:szCs w:val="24"/>
          <w:lang w:eastAsia="zh-CN"/>
        </w:rPr>
        <w:t xml:space="preserve"> tūkst. eurų – </w:t>
      </w:r>
      <w:r w:rsidR="00E46A51" w:rsidRPr="00096D83">
        <w:rPr>
          <w:rFonts w:asciiTheme="minorHAnsi" w:hAnsiTheme="minorHAnsi" w:cstheme="minorHAnsi"/>
          <w:szCs w:val="24"/>
          <w:lang w:eastAsia="zh-CN"/>
        </w:rPr>
        <w:t>„</w:t>
      </w:r>
      <w:r w:rsidR="00E11AEB" w:rsidRPr="00096D83">
        <w:rPr>
          <w:rFonts w:asciiTheme="minorHAnsi" w:hAnsiTheme="minorHAnsi" w:cstheme="minorHAnsi"/>
          <w:szCs w:val="24"/>
          <w:lang w:eastAsia="zh-CN"/>
        </w:rPr>
        <w:t>Paslaugų, skatinančių ir efektyviai palaikančių globą šeimos aplinkoje, vystymas“, 125,7 tūkst. eurų – „Perėjimas nuo institucinės globos prie bendruomeninių paslaugų Sostinės regione, Vidurio ir vakarų Lietuvos regione įgyvendinimas teikiant atvejo vadybininko paslaugas“, 81,4</w:t>
      </w:r>
      <w:r w:rsidRPr="00096D83">
        <w:rPr>
          <w:rFonts w:asciiTheme="minorHAnsi" w:hAnsiTheme="minorHAnsi" w:cstheme="minorHAnsi"/>
          <w:szCs w:val="24"/>
          <w:lang w:eastAsia="zh-CN"/>
        </w:rPr>
        <w:t xml:space="preserve"> tūkst. eurų – </w:t>
      </w:r>
      <w:r w:rsidR="00E46A51" w:rsidRPr="00096D83">
        <w:rPr>
          <w:rFonts w:asciiTheme="minorHAnsi" w:hAnsiTheme="minorHAnsi" w:cstheme="minorHAnsi"/>
          <w:szCs w:val="24"/>
          <w:lang w:eastAsia="zh-CN"/>
        </w:rPr>
        <w:t>„</w:t>
      </w:r>
      <w:r w:rsidRPr="00096D83">
        <w:rPr>
          <w:rFonts w:asciiTheme="minorHAnsi" w:hAnsiTheme="minorHAnsi" w:cstheme="minorHAnsi"/>
          <w:szCs w:val="24"/>
          <w:lang w:eastAsia="zh-CN"/>
        </w:rPr>
        <w:t>SOC taškas – skaitmeninė platforma integracijai ir socialinei atskirčiai mažinti, priartinant socialinių paslaugų ir socialinės paramos prieinamumą Kauno mieste ir Telšių rajone“</w:t>
      </w:r>
      <w:r w:rsidR="00E11AEB" w:rsidRPr="00096D83">
        <w:rPr>
          <w:rFonts w:asciiTheme="minorHAnsi" w:hAnsiTheme="minorHAnsi" w:cstheme="minorHAnsi"/>
          <w:szCs w:val="24"/>
          <w:lang w:eastAsia="zh-CN"/>
        </w:rPr>
        <w:t xml:space="preserve"> ir 2,2 tūkst</w:t>
      </w:r>
      <w:r w:rsidRPr="00096D83">
        <w:rPr>
          <w:rFonts w:asciiTheme="minorHAnsi" w:hAnsiTheme="minorHAnsi" w:cstheme="minorHAnsi"/>
          <w:szCs w:val="24"/>
          <w:lang w:eastAsia="zh-CN"/>
        </w:rPr>
        <w:t>.</w:t>
      </w:r>
      <w:r w:rsidR="00E11AEB" w:rsidRPr="00096D83">
        <w:rPr>
          <w:rFonts w:asciiTheme="minorHAnsi" w:hAnsiTheme="minorHAnsi" w:cstheme="minorHAnsi"/>
          <w:szCs w:val="24"/>
          <w:lang w:eastAsia="zh-CN"/>
        </w:rPr>
        <w:t xml:space="preserve"> eurų – </w:t>
      </w:r>
      <w:r w:rsidR="00E46A51" w:rsidRPr="00096D83">
        <w:rPr>
          <w:rFonts w:asciiTheme="minorHAnsi" w:hAnsiTheme="minorHAnsi" w:cstheme="minorHAnsi"/>
          <w:szCs w:val="24"/>
          <w:lang w:eastAsia="zh-CN"/>
        </w:rPr>
        <w:t>„</w:t>
      </w:r>
      <w:r w:rsidR="00E11AEB" w:rsidRPr="00096D83">
        <w:rPr>
          <w:rFonts w:asciiTheme="minorHAnsi" w:hAnsiTheme="minorHAnsi" w:cstheme="minorHAnsi"/>
          <w:szCs w:val="24"/>
          <w:lang w:eastAsia="zh-CN"/>
        </w:rPr>
        <w:t>Jaunuolių palydėjimas į savarankišką gyvenimą“.</w:t>
      </w:r>
      <w:r w:rsidRPr="00096D83">
        <w:rPr>
          <w:rFonts w:asciiTheme="minorHAnsi" w:hAnsiTheme="minorHAnsi" w:cstheme="minorHAnsi"/>
          <w:szCs w:val="24"/>
          <w:lang w:eastAsia="zh-CN"/>
        </w:rPr>
        <w:t xml:space="preserve"> </w:t>
      </w:r>
    </w:p>
    <w:p w:rsidR="009E7D57" w:rsidRDefault="00F67E15" w:rsidP="000F6D39">
      <w:pPr>
        <w:suppressAutoHyphens/>
        <w:spacing w:line="360" w:lineRule="auto"/>
        <w:ind w:firstLine="851"/>
        <w:contextualSpacing/>
        <w:jc w:val="both"/>
        <w:rPr>
          <w:rFonts w:asciiTheme="minorHAnsi" w:hAnsiTheme="minorHAnsi" w:cstheme="minorHAnsi"/>
          <w:szCs w:val="24"/>
          <w:lang w:eastAsia="zh-CN"/>
        </w:rPr>
      </w:pPr>
      <w:r w:rsidRPr="00096D83">
        <w:rPr>
          <w:rFonts w:asciiTheme="minorHAnsi" w:hAnsiTheme="minorHAnsi" w:cstheme="minorHAnsi"/>
          <w:i/>
          <w:szCs w:val="24"/>
          <w:lang w:eastAsia="zh-CN"/>
        </w:rPr>
        <w:t>Savivaldybės savarankiškosioms funkcijoms</w:t>
      </w:r>
      <w:r w:rsidRPr="00096D83">
        <w:rPr>
          <w:rFonts w:asciiTheme="minorHAnsi" w:hAnsiTheme="minorHAnsi" w:cstheme="minorHAnsi"/>
          <w:szCs w:val="24"/>
          <w:lang w:eastAsia="zh-CN"/>
        </w:rPr>
        <w:t xml:space="preserve"> vykdyti iš skirtų </w:t>
      </w:r>
      <w:r w:rsidR="00860AF6" w:rsidRPr="00096D83">
        <w:rPr>
          <w:rFonts w:asciiTheme="minorHAnsi" w:hAnsiTheme="minorHAnsi" w:cstheme="minorHAnsi"/>
          <w:szCs w:val="24"/>
          <w:lang w:eastAsia="zh-CN"/>
        </w:rPr>
        <w:t>60 624,5</w:t>
      </w:r>
      <w:r w:rsidRPr="00096D83">
        <w:rPr>
          <w:rFonts w:asciiTheme="minorHAnsi" w:hAnsiTheme="minorHAnsi" w:cstheme="minorHAnsi"/>
          <w:szCs w:val="24"/>
          <w:lang w:eastAsia="zh-CN"/>
        </w:rPr>
        <w:t xml:space="preserve"> tūkst. eurų liko nepanaudota </w:t>
      </w:r>
      <w:r w:rsidR="001901A0" w:rsidRPr="00096D83">
        <w:rPr>
          <w:rFonts w:asciiTheme="minorHAnsi" w:hAnsiTheme="minorHAnsi" w:cstheme="minorHAnsi"/>
          <w:szCs w:val="24"/>
          <w:lang w:eastAsia="zh-CN"/>
        </w:rPr>
        <w:t>1 786,2</w:t>
      </w:r>
      <w:r w:rsidRPr="00096D83">
        <w:rPr>
          <w:rFonts w:asciiTheme="minorHAnsi" w:hAnsiTheme="minorHAnsi" w:cstheme="minorHAnsi"/>
          <w:szCs w:val="24"/>
          <w:lang w:eastAsia="zh-CN"/>
        </w:rPr>
        <w:t xml:space="preserve"> tūkst. eurų, iš jų daugiausiai – </w:t>
      </w:r>
      <w:r w:rsidR="00AB7909" w:rsidRPr="00096D83">
        <w:rPr>
          <w:rFonts w:asciiTheme="minorHAnsi" w:hAnsiTheme="minorHAnsi" w:cstheme="minorHAnsi"/>
          <w:szCs w:val="24"/>
          <w:lang w:eastAsia="zh-CN"/>
        </w:rPr>
        <w:t>725 tūkst. eurų socialinėms paslaugoms (socialinės priežiūros ir socialinės globos paslaugoms) dėl</w:t>
      </w:r>
      <w:r w:rsidR="0039582E" w:rsidRPr="00096D83">
        <w:rPr>
          <w:rFonts w:asciiTheme="minorHAnsi" w:hAnsiTheme="minorHAnsi" w:cstheme="minorHAnsi"/>
          <w:szCs w:val="24"/>
          <w:lang w:eastAsia="zh-CN"/>
        </w:rPr>
        <w:t xml:space="preserve"> didesnio</w:t>
      </w:r>
      <w:r w:rsidR="009D6F5C">
        <w:rPr>
          <w:rFonts w:asciiTheme="minorHAnsi" w:hAnsiTheme="minorHAnsi" w:cstheme="minorHAnsi"/>
          <w:szCs w:val="24"/>
          <w:lang w:eastAsia="zh-CN"/>
        </w:rPr>
        <w:t>,</w:t>
      </w:r>
      <w:r w:rsidR="0039582E" w:rsidRPr="00096D83">
        <w:rPr>
          <w:rFonts w:asciiTheme="minorHAnsi" w:hAnsiTheme="minorHAnsi" w:cstheme="minorHAnsi"/>
          <w:szCs w:val="24"/>
          <w:lang w:eastAsia="zh-CN"/>
        </w:rPr>
        <w:t xml:space="preserve"> </w:t>
      </w:r>
      <w:r w:rsidR="009D6F5C">
        <w:rPr>
          <w:rFonts w:asciiTheme="minorHAnsi" w:hAnsiTheme="minorHAnsi" w:cstheme="minorHAnsi"/>
          <w:szCs w:val="24"/>
          <w:lang w:eastAsia="zh-CN"/>
        </w:rPr>
        <w:t xml:space="preserve">nei faktinis poreikis, </w:t>
      </w:r>
      <w:r w:rsidR="0039582E" w:rsidRPr="00096D83">
        <w:rPr>
          <w:rFonts w:asciiTheme="minorHAnsi" w:hAnsiTheme="minorHAnsi" w:cstheme="minorHAnsi"/>
          <w:szCs w:val="24"/>
          <w:lang w:eastAsia="zh-CN"/>
        </w:rPr>
        <w:t xml:space="preserve">lėšų </w:t>
      </w:r>
      <w:r w:rsidR="009D6F5C">
        <w:rPr>
          <w:rFonts w:asciiTheme="minorHAnsi" w:hAnsiTheme="minorHAnsi" w:cstheme="minorHAnsi"/>
          <w:szCs w:val="24"/>
          <w:lang w:eastAsia="zh-CN"/>
        </w:rPr>
        <w:t xml:space="preserve">skyrimo </w:t>
      </w:r>
      <w:r w:rsidR="0039582E" w:rsidRPr="00096D83">
        <w:rPr>
          <w:rFonts w:asciiTheme="minorHAnsi" w:hAnsiTheme="minorHAnsi" w:cstheme="minorHAnsi"/>
          <w:szCs w:val="24"/>
          <w:lang w:eastAsia="zh-CN"/>
        </w:rPr>
        <w:t xml:space="preserve">iš Savivaldybės biudžeto, </w:t>
      </w:r>
      <w:r w:rsidR="00324C96" w:rsidRPr="00096D83">
        <w:rPr>
          <w:rFonts w:asciiTheme="minorHAnsi" w:hAnsiTheme="minorHAnsi" w:cstheme="minorHAnsi"/>
          <w:szCs w:val="24"/>
          <w:lang w:eastAsia="zh-CN"/>
        </w:rPr>
        <w:t>260,7</w:t>
      </w:r>
      <w:r w:rsidRPr="00096D83">
        <w:rPr>
          <w:rFonts w:asciiTheme="minorHAnsi" w:hAnsiTheme="minorHAnsi" w:cstheme="minorHAnsi"/>
          <w:szCs w:val="24"/>
          <w:lang w:eastAsia="zh-CN"/>
        </w:rPr>
        <w:t xml:space="preserve"> tūkst. eurų socialinei pašalpai Kauno miesto nepasiturintiems gyventojams mokėti ir </w:t>
      </w:r>
      <w:r w:rsidR="00324C96" w:rsidRPr="00096D83">
        <w:rPr>
          <w:rFonts w:asciiTheme="minorHAnsi" w:hAnsiTheme="minorHAnsi" w:cstheme="minorHAnsi"/>
          <w:szCs w:val="24"/>
          <w:lang w:eastAsia="zh-CN"/>
        </w:rPr>
        <w:t>269,3</w:t>
      </w:r>
      <w:r w:rsidRPr="00096D83">
        <w:rPr>
          <w:rFonts w:asciiTheme="minorHAnsi" w:hAnsiTheme="minorHAnsi" w:cstheme="minorHAnsi"/>
          <w:szCs w:val="24"/>
          <w:lang w:eastAsia="zh-CN"/>
        </w:rPr>
        <w:t xml:space="preserve"> tūkst. eurų – kompensacijoms nepasiturintiems gyventojams už šiluminę energiją, dėl sumažėjusio kompensacijų gavėjų skaičiaus.</w:t>
      </w:r>
      <w:r w:rsidR="000F6D39">
        <w:rPr>
          <w:rFonts w:asciiTheme="minorHAnsi" w:hAnsiTheme="minorHAnsi" w:cstheme="minorHAnsi"/>
          <w:szCs w:val="24"/>
          <w:lang w:eastAsia="zh-CN"/>
        </w:rPr>
        <w:t xml:space="preserve"> </w:t>
      </w:r>
    </w:p>
    <w:p w:rsidR="000F6D39" w:rsidRDefault="000F6D39">
      <w:pPr>
        <w:tabs>
          <w:tab w:val="left" w:pos="540"/>
        </w:tabs>
        <w:jc w:val="center"/>
        <w:rPr>
          <w:rFonts w:asciiTheme="minorHAnsi" w:hAnsiTheme="minorHAnsi" w:cstheme="minorHAnsi"/>
          <w:b/>
          <w:bCs/>
          <w:szCs w:val="24"/>
          <w:lang w:eastAsia="lt-LT"/>
        </w:rPr>
      </w:pPr>
    </w:p>
    <w:p w:rsidR="009E7D57" w:rsidRPr="00096D83" w:rsidRDefault="008F0DBC">
      <w:pPr>
        <w:tabs>
          <w:tab w:val="left" w:pos="540"/>
        </w:tabs>
        <w:jc w:val="center"/>
        <w:rPr>
          <w:rFonts w:asciiTheme="minorHAnsi" w:hAnsiTheme="minorHAnsi" w:cstheme="minorHAnsi"/>
          <w:b/>
          <w:bCs/>
          <w:szCs w:val="24"/>
          <w:lang w:eastAsia="lt-LT"/>
        </w:rPr>
      </w:pPr>
      <w:r w:rsidRPr="00096D83">
        <w:rPr>
          <w:rFonts w:asciiTheme="minorHAnsi" w:hAnsiTheme="minorHAnsi" w:cstheme="minorHAnsi"/>
          <w:b/>
          <w:bCs/>
          <w:szCs w:val="24"/>
          <w:lang w:eastAsia="lt-LT"/>
        </w:rPr>
        <w:t>V SKYRIUS</w:t>
      </w:r>
    </w:p>
    <w:p w:rsidR="009E7D57" w:rsidRPr="00096D83" w:rsidRDefault="008F0DBC">
      <w:pPr>
        <w:tabs>
          <w:tab w:val="left" w:pos="540"/>
        </w:tabs>
        <w:jc w:val="center"/>
        <w:rPr>
          <w:rFonts w:asciiTheme="minorHAnsi" w:hAnsiTheme="minorHAnsi" w:cstheme="minorHAnsi"/>
          <w:b/>
          <w:bCs/>
          <w:szCs w:val="24"/>
          <w:lang w:eastAsia="lt-LT"/>
        </w:rPr>
      </w:pPr>
      <w:r w:rsidRPr="00096D83">
        <w:rPr>
          <w:rFonts w:asciiTheme="minorHAnsi" w:hAnsiTheme="minorHAnsi" w:cstheme="minorHAnsi"/>
          <w:b/>
          <w:bCs/>
          <w:szCs w:val="24"/>
          <w:lang w:eastAsia="lt-LT"/>
        </w:rPr>
        <w:t>KITA INFORMACIJA</w:t>
      </w:r>
    </w:p>
    <w:p w:rsidR="00F67E15" w:rsidRPr="00096D83" w:rsidRDefault="00F67E15">
      <w:pPr>
        <w:tabs>
          <w:tab w:val="left" w:pos="540"/>
        </w:tabs>
        <w:jc w:val="center"/>
        <w:rPr>
          <w:rFonts w:asciiTheme="minorHAnsi" w:hAnsiTheme="minorHAnsi" w:cstheme="minorHAnsi"/>
          <w:b/>
          <w:bCs/>
          <w:szCs w:val="24"/>
          <w:lang w:eastAsia="lt-LT"/>
        </w:rPr>
      </w:pPr>
    </w:p>
    <w:p w:rsidR="000F6D39" w:rsidRDefault="00F67E15" w:rsidP="00F67E15">
      <w:pPr>
        <w:tabs>
          <w:tab w:val="left" w:pos="1134"/>
        </w:tabs>
        <w:suppressAutoHyphens/>
        <w:spacing w:line="360" w:lineRule="auto"/>
        <w:ind w:firstLine="851"/>
        <w:jc w:val="both"/>
        <w:rPr>
          <w:rFonts w:asciiTheme="minorHAnsi" w:hAnsiTheme="minorHAnsi" w:cstheme="minorHAnsi"/>
          <w:szCs w:val="24"/>
          <w:lang w:eastAsia="zh-CN"/>
        </w:rPr>
      </w:pPr>
      <w:r w:rsidRPr="00B27AD5">
        <w:rPr>
          <w:rFonts w:asciiTheme="minorHAnsi" w:hAnsiTheme="minorHAnsi" w:cstheme="minorHAnsi"/>
          <w:szCs w:val="24"/>
          <w:lang w:eastAsia="zh-CN"/>
        </w:rPr>
        <w:t>Savivaldybės biudžeto lėšų mokėtina suma, kartu su išlaidomis dėl finansinių įsipareigojimų vykdymo, 202</w:t>
      </w:r>
      <w:r w:rsidR="00C6491B" w:rsidRPr="00B27AD5">
        <w:rPr>
          <w:rFonts w:asciiTheme="minorHAnsi" w:hAnsiTheme="minorHAnsi" w:cstheme="minorHAnsi"/>
          <w:szCs w:val="24"/>
          <w:lang w:eastAsia="zh-CN"/>
        </w:rPr>
        <w:t>5</w:t>
      </w:r>
      <w:r w:rsidRPr="00B27AD5">
        <w:rPr>
          <w:rFonts w:asciiTheme="minorHAnsi" w:hAnsiTheme="minorHAnsi" w:cstheme="minorHAnsi"/>
          <w:szCs w:val="24"/>
          <w:lang w:eastAsia="zh-CN"/>
        </w:rPr>
        <w:t xml:space="preserve"> m. gruodžio 31 d. sudarė </w:t>
      </w:r>
      <w:r w:rsidR="00BE370F" w:rsidRPr="00B27AD5">
        <w:rPr>
          <w:rFonts w:asciiTheme="minorHAnsi" w:hAnsiTheme="minorHAnsi" w:cstheme="minorHAnsi"/>
          <w:szCs w:val="24"/>
          <w:lang w:eastAsia="zh-CN"/>
        </w:rPr>
        <w:t>89 142,1</w:t>
      </w:r>
      <w:r w:rsidRPr="00B27AD5">
        <w:rPr>
          <w:rFonts w:asciiTheme="minorHAnsi" w:hAnsiTheme="minorHAnsi" w:cstheme="minorHAnsi"/>
          <w:szCs w:val="24"/>
          <w:lang w:eastAsia="zh-CN"/>
        </w:rPr>
        <w:t xml:space="preserve"> tūkst. eurų ir palyginus su 202</w:t>
      </w:r>
      <w:r w:rsidR="00C6491B" w:rsidRPr="00B27AD5">
        <w:rPr>
          <w:rFonts w:asciiTheme="minorHAnsi" w:hAnsiTheme="minorHAnsi" w:cstheme="minorHAnsi"/>
          <w:szCs w:val="24"/>
          <w:lang w:eastAsia="zh-CN"/>
        </w:rPr>
        <w:t>4</w:t>
      </w:r>
      <w:r w:rsidRPr="00B27AD5">
        <w:rPr>
          <w:rFonts w:asciiTheme="minorHAnsi" w:hAnsiTheme="minorHAnsi" w:cstheme="minorHAnsi"/>
          <w:szCs w:val="24"/>
          <w:lang w:eastAsia="zh-CN"/>
        </w:rPr>
        <w:t xml:space="preserve"> m. gruodžio           31 d. padidėjo </w:t>
      </w:r>
      <w:r w:rsidR="00BE370F" w:rsidRPr="00B27AD5">
        <w:rPr>
          <w:rFonts w:asciiTheme="minorHAnsi" w:hAnsiTheme="minorHAnsi" w:cstheme="minorHAnsi"/>
          <w:szCs w:val="24"/>
          <w:lang w:eastAsia="zh-CN"/>
        </w:rPr>
        <w:t>8 948,6</w:t>
      </w:r>
      <w:r w:rsidRPr="00B27AD5">
        <w:rPr>
          <w:rFonts w:asciiTheme="minorHAnsi" w:hAnsiTheme="minorHAnsi" w:cstheme="minorHAnsi"/>
          <w:szCs w:val="24"/>
          <w:lang w:eastAsia="zh-CN"/>
        </w:rPr>
        <w:t xml:space="preserve"> tūkst. eurų, arba </w:t>
      </w:r>
      <w:r w:rsidR="00BE370F" w:rsidRPr="00B27AD5">
        <w:rPr>
          <w:rFonts w:asciiTheme="minorHAnsi" w:hAnsiTheme="minorHAnsi" w:cstheme="minorHAnsi"/>
          <w:szCs w:val="24"/>
          <w:lang w:eastAsia="zh-CN"/>
        </w:rPr>
        <w:t>11,2</w:t>
      </w:r>
      <w:r w:rsidRPr="00B27AD5">
        <w:rPr>
          <w:rFonts w:asciiTheme="minorHAnsi" w:hAnsiTheme="minorHAnsi" w:cstheme="minorHAnsi"/>
          <w:szCs w:val="24"/>
          <w:lang w:eastAsia="zh-CN"/>
        </w:rPr>
        <w:t xml:space="preserve"> proc. Trumpalaikė mokėtina suma padidėjo </w:t>
      </w:r>
      <w:r w:rsidR="00BE370F" w:rsidRPr="00B27AD5">
        <w:rPr>
          <w:rFonts w:asciiTheme="minorHAnsi" w:hAnsiTheme="minorHAnsi" w:cstheme="minorHAnsi"/>
          <w:szCs w:val="24"/>
          <w:lang w:eastAsia="zh-CN"/>
        </w:rPr>
        <w:t>3161,8</w:t>
      </w:r>
      <w:r w:rsidRPr="00B27AD5">
        <w:rPr>
          <w:rFonts w:asciiTheme="minorHAnsi" w:hAnsiTheme="minorHAnsi" w:cstheme="minorHAnsi"/>
          <w:szCs w:val="24"/>
          <w:lang w:eastAsia="zh-CN"/>
        </w:rPr>
        <w:t xml:space="preserve"> tūkst. eurų</w:t>
      </w:r>
      <w:r w:rsidR="00BE370F" w:rsidRPr="00B27AD5">
        <w:rPr>
          <w:rFonts w:asciiTheme="minorHAnsi" w:hAnsiTheme="minorHAnsi" w:cstheme="minorHAnsi"/>
          <w:szCs w:val="24"/>
          <w:lang w:eastAsia="zh-CN"/>
        </w:rPr>
        <w:t>.</w:t>
      </w:r>
      <w:r w:rsidRPr="00B27AD5">
        <w:rPr>
          <w:rFonts w:asciiTheme="minorHAnsi" w:hAnsiTheme="minorHAnsi" w:cstheme="minorHAnsi"/>
          <w:szCs w:val="24"/>
          <w:lang w:eastAsia="zh-CN"/>
        </w:rPr>
        <w:t xml:space="preserve"> Finansinių įsipareigojimų vykdymo išlaidos padidėjo </w:t>
      </w:r>
      <w:r w:rsidR="00E7283A" w:rsidRPr="00B27AD5">
        <w:rPr>
          <w:rFonts w:asciiTheme="minorHAnsi" w:hAnsiTheme="minorHAnsi" w:cstheme="minorHAnsi"/>
          <w:szCs w:val="24"/>
          <w:lang w:eastAsia="zh-CN"/>
        </w:rPr>
        <w:t>5 786,8</w:t>
      </w:r>
      <w:r w:rsidRPr="00B27AD5">
        <w:rPr>
          <w:rFonts w:asciiTheme="minorHAnsi" w:hAnsiTheme="minorHAnsi" w:cstheme="minorHAnsi"/>
          <w:szCs w:val="24"/>
          <w:lang w:eastAsia="zh-CN"/>
        </w:rPr>
        <w:t xml:space="preserve"> tūkst. eurų, nes 202</w:t>
      </w:r>
      <w:r w:rsidR="00C6491B" w:rsidRPr="00B27AD5">
        <w:rPr>
          <w:rFonts w:asciiTheme="minorHAnsi" w:hAnsiTheme="minorHAnsi" w:cstheme="minorHAnsi"/>
          <w:szCs w:val="24"/>
          <w:lang w:eastAsia="zh-CN"/>
        </w:rPr>
        <w:t>5</w:t>
      </w:r>
      <w:r w:rsidRPr="00B27AD5">
        <w:rPr>
          <w:rFonts w:asciiTheme="minorHAnsi" w:hAnsiTheme="minorHAnsi" w:cstheme="minorHAnsi"/>
          <w:szCs w:val="24"/>
          <w:lang w:eastAsia="zh-CN"/>
        </w:rPr>
        <w:t xml:space="preserve"> metais buvo gauta 1</w:t>
      </w:r>
      <w:r w:rsidR="00C6491B" w:rsidRPr="00B27AD5">
        <w:rPr>
          <w:rFonts w:asciiTheme="minorHAnsi" w:hAnsiTheme="minorHAnsi" w:cstheme="minorHAnsi"/>
          <w:szCs w:val="24"/>
          <w:lang w:eastAsia="zh-CN"/>
        </w:rPr>
        <w:t>3</w:t>
      </w:r>
      <w:r w:rsidR="00AB66AC" w:rsidRPr="00B27AD5">
        <w:rPr>
          <w:rFonts w:asciiTheme="minorHAnsi" w:hAnsiTheme="minorHAnsi" w:cstheme="minorHAnsi"/>
          <w:szCs w:val="24"/>
          <w:lang w:eastAsia="zh-CN"/>
        </w:rPr>
        <w:t xml:space="preserve"> </w:t>
      </w:r>
      <w:r w:rsidR="00C6491B" w:rsidRPr="00B27AD5">
        <w:rPr>
          <w:rFonts w:asciiTheme="minorHAnsi" w:hAnsiTheme="minorHAnsi" w:cstheme="minorHAnsi"/>
          <w:szCs w:val="24"/>
          <w:lang w:eastAsia="zh-CN"/>
        </w:rPr>
        <w:t>000</w:t>
      </w:r>
      <w:r w:rsidRPr="00B27AD5">
        <w:rPr>
          <w:rFonts w:asciiTheme="minorHAnsi" w:hAnsiTheme="minorHAnsi" w:cstheme="minorHAnsi"/>
          <w:szCs w:val="24"/>
          <w:lang w:eastAsia="zh-CN"/>
        </w:rPr>
        <w:t xml:space="preserve"> tūkst. eurų ilgalaikė paskola iš Europos</w:t>
      </w:r>
      <w:r w:rsidRPr="00096D83">
        <w:rPr>
          <w:rFonts w:asciiTheme="minorHAnsi" w:hAnsiTheme="minorHAnsi" w:cstheme="minorHAnsi"/>
          <w:szCs w:val="24"/>
          <w:lang w:eastAsia="zh-CN"/>
        </w:rPr>
        <w:t xml:space="preserve"> Tarybos vystymo banko</w:t>
      </w:r>
      <w:r w:rsidR="00AB66AC" w:rsidRPr="00096D83">
        <w:rPr>
          <w:rFonts w:asciiTheme="minorHAnsi" w:hAnsiTheme="minorHAnsi" w:cstheme="minorHAnsi"/>
          <w:szCs w:val="24"/>
          <w:lang w:eastAsia="zh-CN"/>
        </w:rPr>
        <w:t xml:space="preserve"> </w:t>
      </w:r>
      <w:r w:rsidR="00E7283A" w:rsidRPr="00096D83">
        <w:rPr>
          <w:rFonts w:asciiTheme="minorHAnsi" w:hAnsiTheme="minorHAnsi" w:cstheme="minorHAnsi"/>
          <w:szCs w:val="24"/>
          <w:lang w:eastAsia="zh-CN"/>
        </w:rPr>
        <w:t>baseinų infrastruktūros gerinimo bei Rotušės aikštės rekonstravimo darbams finansuoti</w:t>
      </w:r>
      <w:r w:rsidR="00C6491B" w:rsidRPr="00096D83">
        <w:rPr>
          <w:rFonts w:asciiTheme="minorHAnsi" w:hAnsiTheme="minorHAnsi" w:cstheme="minorHAnsi"/>
          <w:szCs w:val="24"/>
          <w:lang w:eastAsia="zh-CN"/>
        </w:rPr>
        <w:t>, o p</w:t>
      </w:r>
      <w:r w:rsidRPr="00096D83">
        <w:rPr>
          <w:rFonts w:asciiTheme="minorHAnsi" w:hAnsiTheme="minorHAnsi" w:cstheme="minorHAnsi"/>
          <w:szCs w:val="24"/>
          <w:lang w:eastAsia="zh-CN"/>
        </w:rPr>
        <w:t>agal su kredito įstaigomis</w:t>
      </w:r>
      <w:r w:rsidR="00E7283A" w:rsidRPr="00096D83">
        <w:rPr>
          <w:rFonts w:asciiTheme="minorHAnsi" w:hAnsiTheme="minorHAnsi" w:cstheme="minorHAnsi"/>
          <w:szCs w:val="24"/>
          <w:lang w:eastAsia="zh-CN"/>
        </w:rPr>
        <w:t xml:space="preserve"> pasirašytas</w:t>
      </w:r>
      <w:r w:rsidRPr="00096D83">
        <w:rPr>
          <w:rFonts w:asciiTheme="minorHAnsi" w:hAnsiTheme="minorHAnsi" w:cstheme="minorHAnsi"/>
          <w:szCs w:val="24"/>
          <w:lang w:eastAsia="zh-CN"/>
        </w:rPr>
        <w:t xml:space="preserve"> ilgalaikių paskolų sutartis grąžinta </w:t>
      </w:r>
      <w:r w:rsidR="00C6491B" w:rsidRPr="00096D83">
        <w:rPr>
          <w:rFonts w:asciiTheme="minorHAnsi" w:hAnsiTheme="minorHAnsi" w:cstheme="minorHAnsi"/>
          <w:szCs w:val="24"/>
          <w:lang w:eastAsia="zh-CN"/>
        </w:rPr>
        <w:t>7 213,2</w:t>
      </w:r>
      <w:r w:rsidRPr="00096D83">
        <w:rPr>
          <w:rFonts w:asciiTheme="minorHAnsi" w:hAnsiTheme="minorHAnsi" w:cstheme="minorHAnsi"/>
          <w:szCs w:val="24"/>
          <w:lang w:eastAsia="zh-CN"/>
        </w:rPr>
        <w:t xml:space="preserve"> tūkst. eurų. Mokėtinų sumų iš skolintų lėšų 202</w:t>
      </w:r>
      <w:r w:rsidR="00C6491B" w:rsidRPr="00096D83">
        <w:rPr>
          <w:rFonts w:asciiTheme="minorHAnsi" w:hAnsiTheme="minorHAnsi" w:cstheme="minorHAnsi"/>
          <w:szCs w:val="24"/>
          <w:lang w:eastAsia="zh-CN"/>
        </w:rPr>
        <w:t>5</w:t>
      </w:r>
      <w:r w:rsidRPr="00096D83">
        <w:rPr>
          <w:rFonts w:asciiTheme="minorHAnsi" w:hAnsiTheme="minorHAnsi" w:cstheme="minorHAnsi"/>
          <w:szCs w:val="24"/>
          <w:lang w:eastAsia="zh-CN"/>
        </w:rPr>
        <w:t xml:space="preserve"> m. gruodžio 31 d. nebuvo.</w:t>
      </w:r>
    </w:p>
    <w:p w:rsidR="000F6D39" w:rsidRDefault="000F6D39" w:rsidP="000F6D39">
      <w:pPr>
        <w:tabs>
          <w:tab w:val="left" w:pos="1134"/>
        </w:tabs>
        <w:suppressAutoHyphens/>
        <w:spacing w:line="360" w:lineRule="auto"/>
        <w:jc w:val="both"/>
        <w:rPr>
          <w:rFonts w:asciiTheme="minorHAnsi" w:hAnsiTheme="minorHAnsi" w:cstheme="minorHAnsi"/>
          <w:szCs w:val="24"/>
          <w:lang w:eastAsia="zh-CN"/>
        </w:rPr>
      </w:pPr>
    </w:p>
    <w:p w:rsidR="002445D4" w:rsidRDefault="002445D4" w:rsidP="000F6D39">
      <w:pPr>
        <w:tabs>
          <w:tab w:val="left" w:pos="1134"/>
        </w:tabs>
        <w:suppressAutoHyphens/>
        <w:spacing w:line="360" w:lineRule="auto"/>
        <w:jc w:val="both"/>
        <w:rPr>
          <w:rFonts w:asciiTheme="minorHAnsi" w:hAnsiTheme="minorHAnsi" w:cstheme="minorHAnsi"/>
          <w:szCs w:val="24"/>
          <w:lang w:eastAsia="zh-CN"/>
        </w:rPr>
      </w:pPr>
      <w:r>
        <w:rPr>
          <w:rFonts w:asciiTheme="minorHAnsi" w:hAnsiTheme="minorHAnsi" w:cstheme="minorHAnsi"/>
          <w:szCs w:val="24"/>
          <w:lang w:eastAsia="zh-CN"/>
        </w:rPr>
        <w:t>Savivaldybės meras</w:t>
      </w:r>
      <w:r>
        <w:rPr>
          <w:rFonts w:asciiTheme="minorHAnsi" w:hAnsiTheme="minorHAnsi" w:cstheme="minorHAnsi"/>
          <w:szCs w:val="24"/>
          <w:lang w:eastAsia="zh-CN"/>
        </w:rPr>
        <w:tab/>
      </w:r>
      <w:r>
        <w:rPr>
          <w:rFonts w:asciiTheme="minorHAnsi" w:hAnsiTheme="minorHAnsi" w:cstheme="minorHAnsi"/>
          <w:szCs w:val="24"/>
          <w:lang w:eastAsia="zh-CN"/>
        </w:rPr>
        <w:tab/>
      </w:r>
      <w:r>
        <w:rPr>
          <w:rFonts w:asciiTheme="minorHAnsi" w:hAnsiTheme="minorHAnsi" w:cstheme="minorHAnsi"/>
          <w:szCs w:val="24"/>
          <w:lang w:eastAsia="zh-CN"/>
        </w:rPr>
        <w:tab/>
      </w:r>
      <w:r>
        <w:rPr>
          <w:rFonts w:asciiTheme="minorHAnsi" w:hAnsiTheme="minorHAnsi" w:cstheme="minorHAnsi"/>
          <w:szCs w:val="24"/>
          <w:lang w:eastAsia="zh-CN"/>
        </w:rPr>
        <w:tab/>
        <w:t>Visvaldas Matijošaitis</w:t>
      </w:r>
    </w:p>
    <w:p w:rsidR="002445D4" w:rsidRDefault="002445D4" w:rsidP="000F6D39">
      <w:pPr>
        <w:tabs>
          <w:tab w:val="left" w:pos="1134"/>
        </w:tabs>
        <w:suppressAutoHyphens/>
        <w:spacing w:line="360" w:lineRule="auto"/>
        <w:jc w:val="both"/>
        <w:rPr>
          <w:rFonts w:asciiTheme="minorHAnsi" w:hAnsiTheme="minorHAnsi" w:cstheme="minorHAnsi"/>
          <w:szCs w:val="24"/>
          <w:lang w:eastAsia="zh-CN"/>
        </w:rPr>
      </w:pPr>
    </w:p>
    <w:p w:rsidR="002445D4" w:rsidRDefault="002445D4" w:rsidP="00F711D5">
      <w:pPr>
        <w:tabs>
          <w:tab w:val="left" w:pos="1134"/>
        </w:tabs>
        <w:suppressAutoHyphens/>
        <w:spacing w:line="276" w:lineRule="auto"/>
        <w:jc w:val="both"/>
        <w:rPr>
          <w:rFonts w:asciiTheme="minorHAnsi" w:hAnsiTheme="minorHAnsi" w:cstheme="minorHAnsi"/>
          <w:szCs w:val="24"/>
          <w:lang w:eastAsia="zh-CN"/>
        </w:rPr>
      </w:pPr>
      <w:r>
        <w:rPr>
          <w:rFonts w:asciiTheme="minorHAnsi" w:hAnsiTheme="minorHAnsi" w:cstheme="minorHAnsi"/>
          <w:szCs w:val="24"/>
          <w:lang w:eastAsia="zh-CN"/>
        </w:rPr>
        <w:t>Savivaldybės administracijos</w:t>
      </w:r>
    </w:p>
    <w:p w:rsidR="002445D4" w:rsidRDefault="002445D4" w:rsidP="00F711D5">
      <w:pPr>
        <w:tabs>
          <w:tab w:val="left" w:pos="1134"/>
        </w:tabs>
        <w:suppressAutoHyphens/>
        <w:spacing w:line="276" w:lineRule="auto"/>
        <w:jc w:val="both"/>
        <w:rPr>
          <w:rFonts w:asciiTheme="minorHAnsi" w:hAnsiTheme="minorHAnsi" w:cstheme="minorHAnsi"/>
          <w:szCs w:val="24"/>
          <w:lang w:eastAsia="zh-CN"/>
        </w:rPr>
      </w:pPr>
      <w:r>
        <w:rPr>
          <w:rFonts w:asciiTheme="minorHAnsi" w:hAnsiTheme="minorHAnsi" w:cstheme="minorHAnsi"/>
          <w:szCs w:val="24"/>
          <w:lang w:eastAsia="zh-CN"/>
        </w:rPr>
        <w:t>Finansų ir ekonomikos skyriaus vedėja</w:t>
      </w:r>
      <w:r>
        <w:rPr>
          <w:rFonts w:asciiTheme="minorHAnsi" w:hAnsiTheme="minorHAnsi" w:cstheme="minorHAnsi"/>
          <w:szCs w:val="24"/>
          <w:lang w:eastAsia="zh-CN"/>
        </w:rPr>
        <w:tab/>
      </w:r>
      <w:r>
        <w:rPr>
          <w:rFonts w:asciiTheme="minorHAnsi" w:hAnsiTheme="minorHAnsi" w:cstheme="minorHAnsi"/>
          <w:szCs w:val="24"/>
          <w:lang w:eastAsia="zh-CN"/>
        </w:rPr>
        <w:tab/>
      </w:r>
      <w:r>
        <w:rPr>
          <w:rFonts w:asciiTheme="minorHAnsi" w:hAnsiTheme="minorHAnsi" w:cstheme="minorHAnsi"/>
          <w:szCs w:val="24"/>
          <w:lang w:eastAsia="zh-CN"/>
        </w:rPr>
        <w:tab/>
        <w:t>Roma Vosylienė</w:t>
      </w:r>
    </w:p>
    <w:p w:rsidR="002445D4" w:rsidRDefault="002445D4" w:rsidP="000F6D39">
      <w:pPr>
        <w:tabs>
          <w:tab w:val="left" w:pos="1134"/>
        </w:tabs>
        <w:suppressAutoHyphens/>
        <w:spacing w:line="360" w:lineRule="auto"/>
        <w:jc w:val="both"/>
        <w:rPr>
          <w:rFonts w:asciiTheme="minorHAnsi" w:hAnsiTheme="minorHAnsi" w:cstheme="minorHAnsi"/>
          <w:szCs w:val="24"/>
          <w:lang w:eastAsia="zh-CN"/>
        </w:rPr>
      </w:pPr>
    </w:p>
    <w:p w:rsidR="002445D4" w:rsidRDefault="002445D4" w:rsidP="00F711D5">
      <w:pPr>
        <w:tabs>
          <w:tab w:val="left" w:pos="1134"/>
        </w:tabs>
        <w:suppressAutoHyphens/>
        <w:spacing w:line="276" w:lineRule="auto"/>
        <w:jc w:val="both"/>
        <w:rPr>
          <w:rFonts w:asciiTheme="minorHAnsi" w:hAnsiTheme="minorHAnsi" w:cstheme="minorHAnsi"/>
          <w:szCs w:val="24"/>
          <w:lang w:eastAsia="zh-CN"/>
        </w:rPr>
      </w:pPr>
      <w:r>
        <w:rPr>
          <w:rFonts w:asciiTheme="minorHAnsi" w:hAnsiTheme="minorHAnsi" w:cstheme="minorHAnsi"/>
          <w:szCs w:val="24"/>
          <w:lang w:eastAsia="zh-CN"/>
        </w:rPr>
        <w:t>Savivaldybės administracijos</w:t>
      </w:r>
    </w:p>
    <w:p w:rsidR="009E7D57" w:rsidRPr="00096D83" w:rsidRDefault="002445D4" w:rsidP="00F711D5">
      <w:pPr>
        <w:tabs>
          <w:tab w:val="left" w:pos="1134"/>
        </w:tabs>
        <w:suppressAutoHyphens/>
        <w:spacing w:line="276" w:lineRule="auto"/>
        <w:jc w:val="both"/>
        <w:rPr>
          <w:rFonts w:asciiTheme="minorHAnsi" w:hAnsiTheme="minorHAnsi" w:cstheme="minorHAnsi"/>
          <w:caps/>
          <w:szCs w:val="24"/>
          <w:lang w:eastAsia="lt-LT"/>
        </w:rPr>
      </w:pPr>
      <w:r>
        <w:rPr>
          <w:rFonts w:asciiTheme="minorHAnsi" w:hAnsiTheme="minorHAnsi" w:cstheme="minorHAnsi"/>
          <w:szCs w:val="24"/>
          <w:lang w:eastAsia="zh-CN"/>
        </w:rPr>
        <w:t>Centrinio apskaitos skyriaus vedėja</w:t>
      </w:r>
      <w:r>
        <w:rPr>
          <w:rFonts w:asciiTheme="minorHAnsi" w:hAnsiTheme="minorHAnsi" w:cstheme="minorHAnsi"/>
          <w:szCs w:val="24"/>
          <w:lang w:eastAsia="zh-CN"/>
        </w:rPr>
        <w:tab/>
      </w:r>
      <w:r>
        <w:rPr>
          <w:rFonts w:asciiTheme="minorHAnsi" w:hAnsiTheme="minorHAnsi" w:cstheme="minorHAnsi"/>
          <w:szCs w:val="24"/>
          <w:lang w:eastAsia="zh-CN"/>
        </w:rPr>
        <w:tab/>
      </w:r>
      <w:r>
        <w:rPr>
          <w:rFonts w:asciiTheme="minorHAnsi" w:hAnsiTheme="minorHAnsi" w:cstheme="minorHAnsi"/>
          <w:szCs w:val="24"/>
          <w:lang w:eastAsia="zh-CN"/>
        </w:rPr>
        <w:tab/>
        <w:t>Jolanta Brazaitienė</w:t>
      </w:r>
    </w:p>
    <w:sectPr w:rsidR="009E7D57" w:rsidRPr="00096D83">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1D5" w:rsidRDefault="001401D5">
      <w:pPr>
        <w:rPr>
          <w:color w:val="000000"/>
          <w:szCs w:val="24"/>
          <w:lang w:eastAsia="lt-LT"/>
        </w:rPr>
      </w:pPr>
      <w:r>
        <w:rPr>
          <w:color w:val="000000"/>
          <w:szCs w:val="24"/>
          <w:lang w:eastAsia="lt-LT"/>
        </w:rPr>
        <w:separator/>
      </w:r>
    </w:p>
  </w:endnote>
  <w:endnote w:type="continuationSeparator" w:id="0">
    <w:p w:rsidR="001401D5" w:rsidRDefault="001401D5">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9E7D57">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9E7D57">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9E7D57">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1D5" w:rsidRDefault="001401D5">
      <w:pPr>
        <w:rPr>
          <w:color w:val="000000"/>
          <w:szCs w:val="24"/>
          <w:lang w:eastAsia="lt-LT"/>
        </w:rPr>
      </w:pPr>
      <w:r>
        <w:rPr>
          <w:color w:val="000000"/>
          <w:szCs w:val="24"/>
          <w:lang w:eastAsia="lt-LT"/>
        </w:rPr>
        <w:separator/>
      </w:r>
    </w:p>
  </w:footnote>
  <w:footnote w:type="continuationSeparator" w:id="0">
    <w:p w:rsidR="001401D5" w:rsidRDefault="001401D5">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8F0DBC">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rsidR="009E7D57" w:rsidRDefault="009E7D57">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8F0DBC">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separate"/>
    </w:r>
    <w:r>
      <w:rPr>
        <w:color w:val="000000"/>
        <w:szCs w:val="24"/>
        <w:lang w:eastAsia="lt-LT"/>
      </w:rPr>
      <w:t>2</w:t>
    </w:r>
    <w:r>
      <w:rPr>
        <w:color w:val="000000"/>
        <w:szCs w:val="24"/>
        <w:lang w:eastAsia="lt-LT"/>
      </w:rPr>
      <w:fldChar w:fldCharType="end"/>
    </w:r>
  </w:p>
  <w:p w:rsidR="009E7D57" w:rsidRDefault="009E7D57">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D57" w:rsidRDefault="009E7D5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A1F"/>
    <w:multiLevelType w:val="hybridMultilevel"/>
    <w:tmpl w:val="D97869CA"/>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A9A6B7C"/>
    <w:multiLevelType w:val="multilevel"/>
    <w:tmpl w:val="7CF4F9A0"/>
    <w:lvl w:ilvl="0">
      <w:start w:val="2"/>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750607A"/>
    <w:multiLevelType w:val="hybridMultilevel"/>
    <w:tmpl w:val="3D844EBA"/>
    <w:lvl w:ilvl="0" w:tplc="D0A4CA32">
      <w:start w:val="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B34D9C"/>
    <w:multiLevelType w:val="hybridMultilevel"/>
    <w:tmpl w:val="14926BC6"/>
    <w:lvl w:ilvl="0" w:tplc="0F9E6F82">
      <w:start w:val="2025"/>
      <w:numFmt w:val="bullet"/>
      <w:lvlText w:val="–"/>
      <w:lvlJc w:val="left"/>
      <w:pPr>
        <w:ind w:left="1691" w:hanging="360"/>
      </w:pPr>
      <w:rPr>
        <w:rFonts w:ascii="Calibri" w:eastAsia="Times New Roman" w:hAnsi="Calibri" w:cs="Calibri" w:hint="default"/>
        <w:b w:val="0"/>
        <w:bCs w:val="0"/>
      </w:rPr>
    </w:lvl>
    <w:lvl w:ilvl="1" w:tplc="04270003" w:tentative="1">
      <w:start w:val="1"/>
      <w:numFmt w:val="bullet"/>
      <w:lvlText w:val="o"/>
      <w:lvlJc w:val="left"/>
      <w:pPr>
        <w:ind w:left="2411" w:hanging="360"/>
      </w:pPr>
      <w:rPr>
        <w:rFonts w:ascii="Courier New" w:hAnsi="Courier New" w:cs="Courier New" w:hint="default"/>
      </w:rPr>
    </w:lvl>
    <w:lvl w:ilvl="2" w:tplc="04270005" w:tentative="1">
      <w:start w:val="1"/>
      <w:numFmt w:val="bullet"/>
      <w:lvlText w:val=""/>
      <w:lvlJc w:val="left"/>
      <w:pPr>
        <w:ind w:left="3131" w:hanging="360"/>
      </w:pPr>
      <w:rPr>
        <w:rFonts w:ascii="Wingdings" w:hAnsi="Wingdings" w:hint="default"/>
      </w:rPr>
    </w:lvl>
    <w:lvl w:ilvl="3" w:tplc="04270001" w:tentative="1">
      <w:start w:val="1"/>
      <w:numFmt w:val="bullet"/>
      <w:lvlText w:val=""/>
      <w:lvlJc w:val="left"/>
      <w:pPr>
        <w:ind w:left="3851" w:hanging="360"/>
      </w:pPr>
      <w:rPr>
        <w:rFonts w:ascii="Symbol" w:hAnsi="Symbol" w:hint="default"/>
      </w:rPr>
    </w:lvl>
    <w:lvl w:ilvl="4" w:tplc="04270003" w:tentative="1">
      <w:start w:val="1"/>
      <w:numFmt w:val="bullet"/>
      <w:lvlText w:val="o"/>
      <w:lvlJc w:val="left"/>
      <w:pPr>
        <w:ind w:left="4571" w:hanging="360"/>
      </w:pPr>
      <w:rPr>
        <w:rFonts w:ascii="Courier New" w:hAnsi="Courier New" w:cs="Courier New" w:hint="default"/>
      </w:rPr>
    </w:lvl>
    <w:lvl w:ilvl="5" w:tplc="04270005" w:tentative="1">
      <w:start w:val="1"/>
      <w:numFmt w:val="bullet"/>
      <w:lvlText w:val=""/>
      <w:lvlJc w:val="left"/>
      <w:pPr>
        <w:ind w:left="5291" w:hanging="360"/>
      </w:pPr>
      <w:rPr>
        <w:rFonts w:ascii="Wingdings" w:hAnsi="Wingdings" w:hint="default"/>
      </w:rPr>
    </w:lvl>
    <w:lvl w:ilvl="6" w:tplc="04270001" w:tentative="1">
      <w:start w:val="1"/>
      <w:numFmt w:val="bullet"/>
      <w:lvlText w:val=""/>
      <w:lvlJc w:val="left"/>
      <w:pPr>
        <w:ind w:left="6011" w:hanging="360"/>
      </w:pPr>
      <w:rPr>
        <w:rFonts w:ascii="Symbol" w:hAnsi="Symbol" w:hint="default"/>
      </w:rPr>
    </w:lvl>
    <w:lvl w:ilvl="7" w:tplc="04270003" w:tentative="1">
      <w:start w:val="1"/>
      <w:numFmt w:val="bullet"/>
      <w:lvlText w:val="o"/>
      <w:lvlJc w:val="left"/>
      <w:pPr>
        <w:ind w:left="6731" w:hanging="360"/>
      </w:pPr>
      <w:rPr>
        <w:rFonts w:ascii="Courier New" w:hAnsi="Courier New" w:cs="Courier New" w:hint="default"/>
      </w:rPr>
    </w:lvl>
    <w:lvl w:ilvl="8" w:tplc="04270005" w:tentative="1">
      <w:start w:val="1"/>
      <w:numFmt w:val="bullet"/>
      <w:lvlText w:val=""/>
      <w:lvlJc w:val="left"/>
      <w:pPr>
        <w:ind w:left="7451" w:hanging="360"/>
      </w:pPr>
      <w:rPr>
        <w:rFonts w:ascii="Wingdings" w:hAnsi="Wingdings" w:hint="default"/>
      </w:rPr>
    </w:lvl>
  </w:abstractNum>
  <w:abstractNum w:abstractNumId="4" w15:restartNumberingAfterBreak="0">
    <w:nsid w:val="3B2F367C"/>
    <w:multiLevelType w:val="hybridMultilevel"/>
    <w:tmpl w:val="9AE022EC"/>
    <w:lvl w:ilvl="0" w:tplc="FFFFFFFF">
      <w:start w:val="2"/>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5551958"/>
    <w:multiLevelType w:val="multilevel"/>
    <w:tmpl w:val="1CE02210"/>
    <w:lvl w:ilvl="0">
      <w:start w:val="3"/>
      <w:numFmt w:val="decimal"/>
      <w:lvlText w:val="%1."/>
      <w:lvlJc w:val="left"/>
      <w:pPr>
        <w:ind w:left="1353" w:hanging="360"/>
      </w:pPr>
      <w:rPr>
        <w:rFonts w:hint="default"/>
        <w:strike w:val="0"/>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7817460"/>
    <w:multiLevelType w:val="hybridMultilevel"/>
    <w:tmpl w:val="CC6A9FFC"/>
    <w:lvl w:ilvl="0" w:tplc="0F9E6F82">
      <w:start w:val="2025"/>
      <w:numFmt w:val="bullet"/>
      <w:lvlText w:val="–"/>
      <w:lvlJc w:val="left"/>
      <w:pPr>
        <w:ind w:left="1571" w:hanging="360"/>
      </w:pPr>
      <w:rPr>
        <w:rFonts w:ascii="Calibri" w:eastAsia="Times New Roman" w:hAnsi="Calibri" w:cs="Calibri" w:hint="default"/>
        <w:b w:val="0"/>
        <w:bCs w:val="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1BD7436"/>
    <w:multiLevelType w:val="hybridMultilevel"/>
    <w:tmpl w:val="3B8822CA"/>
    <w:lvl w:ilvl="0" w:tplc="4F4A4764">
      <w:start w:val="2025"/>
      <w:numFmt w:val="bullet"/>
      <w:lvlText w:val="–"/>
      <w:lvlJc w:val="left"/>
      <w:pPr>
        <w:ind w:left="1631" w:hanging="360"/>
      </w:pPr>
      <w:rPr>
        <w:rFonts w:ascii="Calibri" w:eastAsia="Times New Roman" w:hAnsi="Calibri" w:cs="Calibri" w:hint="default"/>
      </w:rPr>
    </w:lvl>
    <w:lvl w:ilvl="1" w:tplc="04270003" w:tentative="1">
      <w:start w:val="1"/>
      <w:numFmt w:val="bullet"/>
      <w:lvlText w:val="o"/>
      <w:lvlJc w:val="left"/>
      <w:pPr>
        <w:ind w:left="2351" w:hanging="360"/>
      </w:pPr>
      <w:rPr>
        <w:rFonts w:ascii="Courier New" w:hAnsi="Courier New" w:cs="Courier New" w:hint="default"/>
      </w:rPr>
    </w:lvl>
    <w:lvl w:ilvl="2" w:tplc="04270005" w:tentative="1">
      <w:start w:val="1"/>
      <w:numFmt w:val="bullet"/>
      <w:lvlText w:val=""/>
      <w:lvlJc w:val="left"/>
      <w:pPr>
        <w:ind w:left="3071" w:hanging="360"/>
      </w:pPr>
      <w:rPr>
        <w:rFonts w:ascii="Wingdings" w:hAnsi="Wingdings" w:hint="default"/>
      </w:rPr>
    </w:lvl>
    <w:lvl w:ilvl="3" w:tplc="04270001" w:tentative="1">
      <w:start w:val="1"/>
      <w:numFmt w:val="bullet"/>
      <w:lvlText w:val=""/>
      <w:lvlJc w:val="left"/>
      <w:pPr>
        <w:ind w:left="3791" w:hanging="360"/>
      </w:pPr>
      <w:rPr>
        <w:rFonts w:ascii="Symbol" w:hAnsi="Symbol" w:hint="default"/>
      </w:rPr>
    </w:lvl>
    <w:lvl w:ilvl="4" w:tplc="04270003" w:tentative="1">
      <w:start w:val="1"/>
      <w:numFmt w:val="bullet"/>
      <w:lvlText w:val="o"/>
      <w:lvlJc w:val="left"/>
      <w:pPr>
        <w:ind w:left="4511" w:hanging="360"/>
      </w:pPr>
      <w:rPr>
        <w:rFonts w:ascii="Courier New" w:hAnsi="Courier New" w:cs="Courier New" w:hint="default"/>
      </w:rPr>
    </w:lvl>
    <w:lvl w:ilvl="5" w:tplc="04270005" w:tentative="1">
      <w:start w:val="1"/>
      <w:numFmt w:val="bullet"/>
      <w:lvlText w:val=""/>
      <w:lvlJc w:val="left"/>
      <w:pPr>
        <w:ind w:left="5231" w:hanging="360"/>
      </w:pPr>
      <w:rPr>
        <w:rFonts w:ascii="Wingdings" w:hAnsi="Wingdings" w:hint="default"/>
      </w:rPr>
    </w:lvl>
    <w:lvl w:ilvl="6" w:tplc="04270001" w:tentative="1">
      <w:start w:val="1"/>
      <w:numFmt w:val="bullet"/>
      <w:lvlText w:val=""/>
      <w:lvlJc w:val="left"/>
      <w:pPr>
        <w:ind w:left="5951" w:hanging="360"/>
      </w:pPr>
      <w:rPr>
        <w:rFonts w:ascii="Symbol" w:hAnsi="Symbol" w:hint="default"/>
      </w:rPr>
    </w:lvl>
    <w:lvl w:ilvl="7" w:tplc="04270003" w:tentative="1">
      <w:start w:val="1"/>
      <w:numFmt w:val="bullet"/>
      <w:lvlText w:val="o"/>
      <w:lvlJc w:val="left"/>
      <w:pPr>
        <w:ind w:left="6671" w:hanging="360"/>
      </w:pPr>
      <w:rPr>
        <w:rFonts w:ascii="Courier New" w:hAnsi="Courier New" w:cs="Courier New" w:hint="default"/>
      </w:rPr>
    </w:lvl>
    <w:lvl w:ilvl="8" w:tplc="04270005" w:tentative="1">
      <w:start w:val="1"/>
      <w:numFmt w:val="bullet"/>
      <w:lvlText w:val=""/>
      <w:lvlJc w:val="left"/>
      <w:pPr>
        <w:ind w:left="7391" w:hanging="360"/>
      </w:pPr>
      <w:rPr>
        <w:rFonts w:ascii="Wingdings" w:hAnsi="Wingdings" w:hint="default"/>
      </w:rPr>
    </w:lvl>
  </w:abstractNum>
  <w:abstractNum w:abstractNumId="8" w15:restartNumberingAfterBreak="0">
    <w:nsid w:val="51FB42A5"/>
    <w:multiLevelType w:val="hybridMultilevel"/>
    <w:tmpl w:val="5372ABB0"/>
    <w:lvl w:ilvl="0" w:tplc="768656DA">
      <w:start w:val="2025"/>
      <w:numFmt w:val="bullet"/>
      <w:lvlText w:val="–"/>
      <w:lvlJc w:val="left"/>
      <w:pPr>
        <w:ind w:left="1631" w:hanging="360"/>
      </w:pPr>
      <w:rPr>
        <w:rFonts w:ascii="Calibri" w:eastAsia="Times New Roman" w:hAnsi="Calibri" w:cs="Calibri" w:hint="default"/>
      </w:rPr>
    </w:lvl>
    <w:lvl w:ilvl="1" w:tplc="04270003" w:tentative="1">
      <w:start w:val="1"/>
      <w:numFmt w:val="bullet"/>
      <w:lvlText w:val="o"/>
      <w:lvlJc w:val="left"/>
      <w:pPr>
        <w:ind w:left="2351" w:hanging="360"/>
      </w:pPr>
      <w:rPr>
        <w:rFonts w:ascii="Courier New" w:hAnsi="Courier New" w:cs="Courier New" w:hint="default"/>
      </w:rPr>
    </w:lvl>
    <w:lvl w:ilvl="2" w:tplc="04270005" w:tentative="1">
      <w:start w:val="1"/>
      <w:numFmt w:val="bullet"/>
      <w:lvlText w:val=""/>
      <w:lvlJc w:val="left"/>
      <w:pPr>
        <w:ind w:left="3071" w:hanging="360"/>
      </w:pPr>
      <w:rPr>
        <w:rFonts w:ascii="Wingdings" w:hAnsi="Wingdings" w:hint="default"/>
      </w:rPr>
    </w:lvl>
    <w:lvl w:ilvl="3" w:tplc="04270001" w:tentative="1">
      <w:start w:val="1"/>
      <w:numFmt w:val="bullet"/>
      <w:lvlText w:val=""/>
      <w:lvlJc w:val="left"/>
      <w:pPr>
        <w:ind w:left="3791" w:hanging="360"/>
      </w:pPr>
      <w:rPr>
        <w:rFonts w:ascii="Symbol" w:hAnsi="Symbol" w:hint="default"/>
      </w:rPr>
    </w:lvl>
    <w:lvl w:ilvl="4" w:tplc="04270003" w:tentative="1">
      <w:start w:val="1"/>
      <w:numFmt w:val="bullet"/>
      <w:lvlText w:val="o"/>
      <w:lvlJc w:val="left"/>
      <w:pPr>
        <w:ind w:left="4511" w:hanging="360"/>
      </w:pPr>
      <w:rPr>
        <w:rFonts w:ascii="Courier New" w:hAnsi="Courier New" w:cs="Courier New" w:hint="default"/>
      </w:rPr>
    </w:lvl>
    <w:lvl w:ilvl="5" w:tplc="04270005" w:tentative="1">
      <w:start w:val="1"/>
      <w:numFmt w:val="bullet"/>
      <w:lvlText w:val=""/>
      <w:lvlJc w:val="left"/>
      <w:pPr>
        <w:ind w:left="5231" w:hanging="360"/>
      </w:pPr>
      <w:rPr>
        <w:rFonts w:ascii="Wingdings" w:hAnsi="Wingdings" w:hint="default"/>
      </w:rPr>
    </w:lvl>
    <w:lvl w:ilvl="6" w:tplc="04270001" w:tentative="1">
      <w:start w:val="1"/>
      <w:numFmt w:val="bullet"/>
      <w:lvlText w:val=""/>
      <w:lvlJc w:val="left"/>
      <w:pPr>
        <w:ind w:left="5951" w:hanging="360"/>
      </w:pPr>
      <w:rPr>
        <w:rFonts w:ascii="Symbol" w:hAnsi="Symbol" w:hint="default"/>
      </w:rPr>
    </w:lvl>
    <w:lvl w:ilvl="7" w:tplc="04270003" w:tentative="1">
      <w:start w:val="1"/>
      <w:numFmt w:val="bullet"/>
      <w:lvlText w:val="o"/>
      <w:lvlJc w:val="left"/>
      <w:pPr>
        <w:ind w:left="6671" w:hanging="360"/>
      </w:pPr>
      <w:rPr>
        <w:rFonts w:ascii="Courier New" w:hAnsi="Courier New" w:cs="Courier New" w:hint="default"/>
      </w:rPr>
    </w:lvl>
    <w:lvl w:ilvl="8" w:tplc="04270005" w:tentative="1">
      <w:start w:val="1"/>
      <w:numFmt w:val="bullet"/>
      <w:lvlText w:val=""/>
      <w:lvlJc w:val="left"/>
      <w:pPr>
        <w:ind w:left="7391" w:hanging="360"/>
      </w:pPr>
      <w:rPr>
        <w:rFonts w:ascii="Wingdings" w:hAnsi="Wingdings" w:hint="default"/>
      </w:rPr>
    </w:lvl>
  </w:abstractNum>
  <w:num w:numId="1" w16cid:durableId="353965929">
    <w:abstractNumId w:val="0"/>
  </w:num>
  <w:num w:numId="2" w16cid:durableId="2110351230">
    <w:abstractNumId w:val="5"/>
  </w:num>
  <w:num w:numId="3" w16cid:durableId="259919444">
    <w:abstractNumId w:val="2"/>
  </w:num>
  <w:num w:numId="4" w16cid:durableId="375354290">
    <w:abstractNumId w:val="1"/>
  </w:num>
  <w:num w:numId="5" w16cid:durableId="2021081127">
    <w:abstractNumId w:val="4"/>
  </w:num>
  <w:num w:numId="6" w16cid:durableId="1368486477">
    <w:abstractNumId w:val="8"/>
  </w:num>
  <w:num w:numId="7" w16cid:durableId="511652561">
    <w:abstractNumId w:val="7"/>
  </w:num>
  <w:num w:numId="8" w16cid:durableId="620915632">
    <w:abstractNumId w:val="3"/>
  </w:num>
  <w:num w:numId="9" w16cid:durableId="70806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NI9FogArMTOURiezDiDRBAmYTjPqfJz/lnGfC2qlZS7GmkfQf5LblfmgZ0zwsKmn7EZYMKmLlQUHBx7/3YiqQ==" w:salt="7SjnOKkYzoOsyU+nwbiGNg=="/>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02F91"/>
    <w:rsid w:val="00005F13"/>
    <w:rsid w:val="000151D5"/>
    <w:rsid w:val="00015489"/>
    <w:rsid w:val="00017E81"/>
    <w:rsid w:val="00020C11"/>
    <w:rsid w:val="00023428"/>
    <w:rsid w:val="00026400"/>
    <w:rsid w:val="000269E4"/>
    <w:rsid w:val="00027BB2"/>
    <w:rsid w:val="00034756"/>
    <w:rsid w:val="0004108E"/>
    <w:rsid w:val="00042498"/>
    <w:rsid w:val="0004399C"/>
    <w:rsid w:val="00073A92"/>
    <w:rsid w:val="00074D47"/>
    <w:rsid w:val="0009575A"/>
    <w:rsid w:val="00096D83"/>
    <w:rsid w:val="000A07CA"/>
    <w:rsid w:val="000A2B80"/>
    <w:rsid w:val="000B12C5"/>
    <w:rsid w:val="000B64BA"/>
    <w:rsid w:val="000B7E03"/>
    <w:rsid w:val="000C1DA9"/>
    <w:rsid w:val="000C32CC"/>
    <w:rsid w:val="000C74B5"/>
    <w:rsid w:val="000D0C35"/>
    <w:rsid w:val="000E3D29"/>
    <w:rsid w:val="000E4EE5"/>
    <w:rsid w:val="000E6DDF"/>
    <w:rsid w:val="000F27C2"/>
    <w:rsid w:val="000F6D39"/>
    <w:rsid w:val="000F71CE"/>
    <w:rsid w:val="00123AAE"/>
    <w:rsid w:val="00125979"/>
    <w:rsid w:val="0012666F"/>
    <w:rsid w:val="00136ABA"/>
    <w:rsid w:val="001401D5"/>
    <w:rsid w:val="00156404"/>
    <w:rsid w:val="00161803"/>
    <w:rsid w:val="00167EC9"/>
    <w:rsid w:val="00174B10"/>
    <w:rsid w:val="00177FBD"/>
    <w:rsid w:val="00185872"/>
    <w:rsid w:val="001901A0"/>
    <w:rsid w:val="00190CC7"/>
    <w:rsid w:val="00190E86"/>
    <w:rsid w:val="001912E0"/>
    <w:rsid w:val="00191D83"/>
    <w:rsid w:val="001A4281"/>
    <w:rsid w:val="001A6394"/>
    <w:rsid w:val="001A7644"/>
    <w:rsid w:val="001B2A26"/>
    <w:rsid w:val="001B4F90"/>
    <w:rsid w:val="001B59EB"/>
    <w:rsid w:val="001B7EDA"/>
    <w:rsid w:val="001C3F53"/>
    <w:rsid w:val="001D276B"/>
    <w:rsid w:val="001E7209"/>
    <w:rsid w:val="001F6206"/>
    <w:rsid w:val="001F79E2"/>
    <w:rsid w:val="001F7EB5"/>
    <w:rsid w:val="00200C42"/>
    <w:rsid w:val="00203651"/>
    <w:rsid w:val="00207F9A"/>
    <w:rsid w:val="0021081B"/>
    <w:rsid w:val="00220743"/>
    <w:rsid w:val="00224AF3"/>
    <w:rsid w:val="00231A9B"/>
    <w:rsid w:val="00241532"/>
    <w:rsid w:val="002445D4"/>
    <w:rsid w:val="00247707"/>
    <w:rsid w:val="00247B03"/>
    <w:rsid w:val="00250114"/>
    <w:rsid w:val="00252415"/>
    <w:rsid w:val="002613FA"/>
    <w:rsid w:val="002707FB"/>
    <w:rsid w:val="00272465"/>
    <w:rsid w:val="00275429"/>
    <w:rsid w:val="00283B54"/>
    <w:rsid w:val="00285DE2"/>
    <w:rsid w:val="00286401"/>
    <w:rsid w:val="00297652"/>
    <w:rsid w:val="002A5540"/>
    <w:rsid w:val="002B72AD"/>
    <w:rsid w:val="002C52D9"/>
    <w:rsid w:val="002C75C0"/>
    <w:rsid w:val="002C76AE"/>
    <w:rsid w:val="002D423A"/>
    <w:rsid w:val="002D49CB"/>
    <w:rsid w:val="002D79D4"/>
    <w:rsid w:val="002E0009"/>
    <w:rsid w:val="002E1075"/>
    <w:rsid w:val="002E3FAB"/>
    <w:rsid w:val="002F1D48"/>
    <w:rsid w:val="00302546"/>
    <w:rsid w:val="00304C54"/>
    <w:rsid w:val="00313195"/>
    <w:rsid w:val="00317501"/>
    <w:rsid w:val="00320C2D"/>
    <w:rsid w:val="00322D00"/>
    <w:rsid w:val="00324C96"/>
    <w:rsid w:val="00341765"/>
    <w:rsid w:val="00341959"/>
    <w:rsid w:val="00345DEB"/>
    <w:rsid w:val="00350814"/>
    <w:rsid w:val="003519AB"/>
    <w:rsid w:val="0036268B"/>
    <w:rsid w:val="00363E07"/>
    <w:rsid w:val="0037059A"/>
    <w:rsid w:val="00377530"/>
    <w:rsid w:val="003837FD"/>
    <w:rsid w:val="00384C9B"/>
    <w:rsid w:val="00384D3F"/>
    <w:rsid w:val="0039582E"/>
    <w:rsid w:val="003C4585"/>
    <w:rsid w:val="003C5F47"/>
    <w:rsid w:val="003D07D3"/>
    <w:rsid w:val="003D0BAC"/>
    <w:rsid w:val="003D144B"/>
    <w:rsid w:val="003D7435"/>
    <w:rsid w:val="003E0C55"/>
    <w:rsid w:val="003E3572"/>
    <w:rsid w:val="003E658F"/>
    <w:rsid w:val="003E6674"/>
    <w:rsid w:val="003F5CBC"/>
    <w:rsid w:val="003F7284"/>
    <w:rsid w:val="004022B1"/>
    <w:rsid w:val="00402E6E"/>
    <w:rsid w:val="004117A6"/>
    <w:rsid w:val="00412DD6"/>
    <w:rsid w:val="0041659E"/>
    <w:rsid w:val="0042167C"/>
    <w:rsid w:val="00431526"/>
    <w:rsid w:val="00456512"/>
    <w:rsid w:val="00464B9B"/>
    <w:rsid w:val="00471EA4"/>
    <w:rsid w:val="0047294B"/>
    <w:rsid w:val="00474A71"/>
    <w:rsid w:val="004761F1"/>
    <w:rsid w:val="00482101"/>
    <w:rsid w:val="004830CE"/>
    <w:rsid w:val="004844BB"/>
    <w:rsid w:val="004850F1"/>
    <w:rsid w:val="004914B0"/>
    <w:rsid w:val="00493BEA"/>
    <w:rsid w:val="004A0265"/>
    <w:rsid w:val="004A502B"/>
    <w:rsid w:val="004A58E8"/>
    <w:rsid w:val="004A5900"/>
    <w:rsid w:val="004A5B1B"/>
    <w:rsid w:val="004B12BD"/>
    <w:rsid w:val="004B1B3B"/>
    <w:rsid w:val="004B1CA3"/>
    <w:rsid w:val="004B306E"/>
    <w:rsid w:val="004C1EBA"/>
    <w:rsid w:val="004C2B85"/>
    <w:rsid w:val="004C4236"/>
    <w:rsid w:val="004D02FA"/>
    <w:rsid w:val="004E13E4"/>
    <w:rsid w:val="004E476C"/>
    <w:rsid w:val="004F5090"/>
    <w:rsid w:val="00513984"/>
    <w:rsid w:val="00515382"/>
    <w:rsid w:val="005244D5"/>
    <w:rsid w:val="005279C3"/>
    <w:rsid w:val="0053788F"/>
    <w:rsid w:val="005443C7"/>
    <w:rsid w:val="0054721E"/>
    <w:rsid w:val="00553FC3"/>
    <w:rsid w:val="00555595"/>
    <w:rsid w:val="005558BA"/>
    <w:rsid w:val="005624B7"/>
    <w:rsid w:val="00565052"/>
    <w:rsid w:val="00570273"/>
    <w:rsid w:val="00575B5E"/>
    <w:rsid w:val="00577BC3"/>
    <w:rsid w:val="00583729"/>
    <w:rsid w:val="005876AB"/>
    <w:rsid w:val="00592FB6"/>
    <w:rsid w:val="00597599"/>
    <w:rsid w:val="005A12B2"/>
    <w:rsid w:val="005A4862"/>
    <w:rsid w:val="005A6711"/>
    <w:rsid w:val="005B3B4E"/>
    <w:rsid w:val="005B49B1"/>
    <w:rsid w:val="005B58BC"/>
    <w:rsid w:val="005C73BA"/>
    <w:rsid w:val="005E240E"/>
    <w:rsid w:val="005E2855"/>
    <w:rsid w:val="005E755E"/>
    <w:rsid w:val="005F5293"/>
    <w:rsid w:val="005F671E"/>
    <w:rsid w:val="005F7195"/>
    <w:rsid w:val="005F7C22"/>
    <w:rsid w:val="006034AA"/>
    <w:rsid w:val="0061241F"/>
    <w:rsid w:val="00626B3C"/>
    <w:rsid w:val="00632BD3"/>
    <w:rsid w:val="00640ECA"/>
    <w:rsid w:val="00643296"/>
    <w:rsid w:val="0064424D"/>
    <w:rsid w:val="0065562E"/>
    <w:rsid w:val="00662FA4"/>
    <w:rsid w:val="00665C93"/>
    <w:rsid w:val="0067676F"/>
    <w:rsid w:val="006833C4"/>
    <w:rsid w:val="0068601D"/>
    <w:rsid w:val="006937A9"/>
    <w:rsid w:val="0069708D"/>
    <w:rsid w:val="006A1325"/>
    <w:rsid w:val="006A191B"/>
    <w:rsid w:val="006A4D27"/>
    <w:rsid w:val="006B6718"/>
    <w:rsid w:val="006C129F"/>
    <w:rsid w:val="006C78C6"/>
    <w:rsid w:val="006D30AA"/>
    <w:rsid w:val="006E05B7"/>
    <w:rsid w:val="006E427B"/>
    <w:rsid w:val="006E483C"/>
    <w:rsid w:val="006E5A8E"/>
    <w:rsid w:val="006F0EED"/>
    <w:rsid w:val="006F24C6"/>
    <w:rsid w:val="007045D1"/>
    <w:rsid w:val="007109A8"/>
    <w:rsid w:val="007117E5"/>
    <w:rsid w:val="007127DE"/>
    <w:rsid w:val="0071340E"/>
    <w:rsid w:val="007137F2"/>
    <w:rsid w:val="00714FA7"/>
    <w:rsid w:val="00723D1C"/>
    <w:rsid w:val="007723CE"/>
    <w:rsid w:val="007757DB"/>
    <w:rsid w:val="00786FAC"/>
    <w:rsid w:val="00792208"/>
    <w:rsid w:val="00792361"/>
    <w:rsid w:val="00795198"/>
    <w:rsid w:val="007953F1"/>
    <w:rsid w:val="007A1A83"/>
    <w:rsid w:val="007A4836"/>
    <w:rsid w:val="007B2345"/>
    <w:rsid w:val="007C135B"/>
    <w:rsid w:val="007C1BB1"/>
    <w:rsid w:val="007C2425"/>
    <w:rsid w:val="007C3CE9"/>
    <w:rsid w:val="007E06C1"/>
    <w:rsid w:val="007E0C5B"/>
    <w:rsid w:val="007E683C"/>
    <w:rsid w:val="007E6954"/>
    <w:rsid w:val="007F1733"/>
    <w:rsid w:val="008061B7"/>
    <w:rsid w:val="0081579E"/>
    <w:rsid w:val="008167CB"/>
    <w:rsid w:val="00823E11"/>
    <w:rsid w:val="008254C6"/>
    <w:rsid w:val="008279E2"/>
    <w:rsid w:val="008323F2"/>
    <w:rsid w:val="00836DAE"/>
    <w:rsid w:val="00837F81"/>
    <w:rsid w:val="00841B69"/>
    <w:rsid w:val="00843C27"/>
    <w:rsid w:val="008450C9"/>
    <w:rsid w:val="0084606D"/>
    <w:rsid w:val="00846A55"/>
    <w:rsid w:val="0085100F"/>
    <w:rsid w:val="0085160F"/>
    <w:rsid w:val="00860AF6"/>
    <w:rsid w:val="0086536E"/>
    <w:rsid w:val="008665E1"/>
    <w:rsid w:val="00881473"/>
    <w:rsid w:val="00881E94"/>
    <w:rsid w:val="00885D46"/>
    <w:rsid w:val="00886D1E"/>
    <w:rsid w:val="00896310"/>
    <w:rsid w:val="008A3694"/>
    <w:rsid w:val="008A5345"/>
    <w:rsid w:val="008A7DA0"/>
    <w:rsid w:val="008C063C"/>
    <w:rsid w:val="008C25D8"/>
    <w:rsid w:val="008D1853"/>
    <w:rsid w:val="008F0DBC"/>
    <w:rsid w:val="008F1735"/>
    <w:rsid w:val="008F47D4"/>
    <w:rsid w:val="008F6781"/>
    <w:rsid w:val="00900173"/>
    <w:rsid w:val="009010B0"/>
    <w:rsid w:val="00903CF1"/>
    <w:rsid w:val="0090521D"/>
    <w:rsid w:val="00905FE2"/>
    <w:rsid w:val="0090670D"/>
    <w:rsid w:val="00906C01"/>
    <w:rsid w:val="009077E6"/>
    <w:rsid w:val="00913163"/>
    <w:rsid w:val="00914DDD"/>
    <w:rsid w:val="00921B78"/>
    <w:rsid w:val="0092518A"/>
    <w:rsid w:val="0092550D"/>
    <w:rsid w:val="009314A6"/>
    <w:rsid w:val="00942BB7"/>
    <w:rsid w:val="0095473E"/>
    <w:rsid w:val="00961E05"/>
    <w:rsid w:val="009632AD"/>
    <w:rsid w:val="0096413D"/>
    <w:rsid w:val="00966126"/>
    <w:rsid w:val="00982E29"/>
    <w:rsid w:val="00982FBE"/>
    <w:rsid w:val="00985876"/>
    <w:rsid w:val="00992930"/>
    <w:rsid w:val="009A195B"/>
    <w:rsid w:val="009A1F01"/>
    <w:rsid w:val="009B5157"/>
    <w:rsid w:val="009B68F3"/>
    <w:rsid w:val="009C52E0"/>
    <w:rsid w:val="009D543C"/>
    <w:rsid w:val="009D621F"/>
    <w:rsid w:val="009D6F5C"/>
    <w:rsid w:val="009E24F3"/>
    <w:rsid w:val="009E3EF4"/>
    <w:rsid w:val="009E7D57"/>
    <w:rsid w:val="009E7EDC"/>
    <w:rsid w:val="009F6650"/>
    <w:rsid w:val="00A03CDE"/>
    <w:rsid w:val="00A060D2"/>
    <w:rsid w:val="00A17BA7"/>
    <w:rsid w:val="00A4597A"/>
    <w:rsid w:val="00A46B3F"/>
    <w:rsid w:val="00A4781D"/>
    <w:rsid w:val="00A47F6E"/>
    <w:rsid w:val="00A53116"/>
    <w:rsid w:val="00A62D00"/>
    <w:rsid w:val="00A67E26"/>
    <w:rsid w:val="00A70B91"/>
    <w:rsid w:val="00A758F6"/>
    <w:rsid w:val="00A80E97"/>
    <w:rsid w:val="00A86ECB"/>
    <w:rsid w:val="00A90CEF"/>
    <w:rsid w:val="00A9576D"/>
    <w:rsid w:val="00A95F66"/>
    <w:rsid w:val="00A965ED"/>
    <w:rsid w:val="00A96AA9"/>
    <w:rsid w:val="00AB0B3C"/>
    <w:rsid w:val="00AB2D82"/>
    <w:rsid w:val="00AB55C7"/>
    <w:rsid w:val="00AB66AC"/>
    <w:rsid w:val="00AB7909"/>
    <w:rsid w:val="00AB7EB1"/>
    <w:rsid w:val="00AC6DDB"/>
    <w:rsid w:val="00AD33EC"/>
    <w:rsid w:val="00AF08D9"/>
    <w:rsid w:val="00AF1233"/>
    <w:rsid w:val="00AF40CF"/>
    <w:rsid w:val="00B00F20"/>
    <w:rsid w:val="00B041D7"/>
    <w:rsid w:val="00B077FA"/>
    <w:rsid w:val="00B07821"/>
    <w:rsid w:val="00B0783A"/>
    <w:rsid w:val="00B113B7"/>
    <w:rsid w:val="00B125FF"/>
    <w:rsid w:val="00B16195"/>
    <w:rsid w:val="00B214D1"/>
    <w:rsid w:val="00B23275"/>
    <w:rsid w:val="00B27AD5"/>
    <w:rsid w:val="00B40B6B"/>
    <w:rsid w:val="00B471D0"/>
    <w:rsid w:val="00B5247F"/>
    <w:rsid w:val="00B55992"/>
    <w:rsid w:val="00B573F9"/>
    <w:rsid w:val="00B579AF"/>
    <w:rsid w:val="00B57BE7"/>
    <w:rsid w:val="00B738BA"/>
    <w:rsid w:val="00B749E7"/>
    <w:rsid w:val="00B86BF8"/>
    <w:rsid w:val="00B87BCF"/>
    <w:rsid w:val="00B90FDB"/>
    <w:rsid w:val="00B962D9"/>
    <w:rsid w:val="00B963C2"/>
    <w:rsid w:val="00B970BA"/>
    <w:rsid w:val="00B97543"/>
    <w:rsid w:val="00BA15F0"/>
    <w:rsid w:val="00BB5E89"/>
    <w:rsid w:val="00BC270A"/>
    <w:rsid w:val="00BC32C0"/>
    <w:rsid w:val="00BC41B2"/>
    <w:rsid w:val="00BD15DA"/>
    <w:rsid w:val="00BD194A"/>
    <w:rsid w:val="00BD50FF"/>
    <w:rsid w:val="00BD758A"/>
    <w:rsid w:val="00BE370F"/>
    <w:rsid w:val="00BE3A9A"/>
    <w:rsid w:val="00BE5CA5"/>
    <w:rsid w:val="00BF4107"/>
    <w:rsid w:val="00C01878"/>
    <w:rsid w:val="00C0799A"/>
    <w:rsid w:val="00C152DF"/>
    <w:rsid w:val="00C208C0"/>
    <w:rsid w:val="00C26622"/>
    <w:rsid w:val="00C31A60"/>
    <w:rsid w:val="00C36221"/>
    <w:rsid w:val="00C4437D"/>
    <w:rsid w:val="00C5277B"/>
    <w:rsid w:val="00C551A8"/>
    <w:rsid w:val="00C6491B"/>
    <w:rsid w:val="00C658BE"/>
    <w:rsid w:val="00C6764B"/>
    <w:rsid w:val="00C77FBB"/>
    <w:rsid w:val="00C80F32"/>
    <w:rsid w:val="00C86747"/>
    <w:rsid w:val="00C86BEF"/>
    <w:rsid w:val="00C90E83"/>
    <w:rsid w:val="00C9311A"/>
    <w:rsid w:val="00C9440C"/>
    <w:rsid w:val="00C94EE5"/>
    <w:rsid w:val="00CA567F"/>
    <w:rsid w:val="00CB70C6"/>
    <w:rsid w:val="00CD11B8"/>
    <w:rsid w:val="00CD40FB"/>
    <w:rsid w:val="00CD69FB"/>
    <w:rsid w:val="00CE3191"/>
    <w:rsid w:val="00CE4951"/>
    <w:rsid w:val="00CE7B79"/>
    <w:rsid w:val="00CF7B93"/>
    <w:rsid w:val="00D0484E"/>
    <w:rsid w:val="00D05567"/>
    <w:rsid w:val="00D1435A"/>
    <w:rsid w:val="00D20F32"/>
    <w:rsid w:val="00D23898"/>
    <w:rsid w:val="00D24EC5"/>
    <w:rsid w:val="00D315FD"/>
    <w:rsid w:val="00D323DE"/>
    <w:rsid w:val="00D4671B"/>
    <w:rsid w:val="00D50E55"/>
    <w:rsid w:val="00D579E5"/>
    <w:rsid w:val="00D61071"/>
    <w:rsid w:val="00D905F8"/>
    <w:rsid w:val="00DA218E"/>
    <w:rsid w:val="00DB22AD"/>
    <w:rsid w:val="00DB3FBA"/>
    <w:rsid w:val="00DC4867"/>
    <w:rsid w:val="00DC55EE"/>
    <w:rsid w:val="00DC7B65"/>
    <w:rsid w:val="00DC7CD3"/>
    <w:rsid w:val="00DD104C"/>
    <w:rsid w:val="00DD1668"/>
    <w:rsid w:val="00DD1FFD"/>
    <w:rsid w:val="00DE78D5"/>
    <w:rsid w:val="00DF5ECB"/>
    <w:rsid w:val="00DF7475"/>
    <w:rsid w:val="00E11922"/>
    <w:rsid w:val="00E11AEB"/>
    <w:rsid w:val="00E17657"/>
    <w:rsid w:val="00E24AE0"/>
    <w:rsid w:val="00E25262"/>
    <w:rsid w:val="00E35C8B"/>
    <w:rsid w:val="00E42830"/>
    <w:rsid w:val="00E4591A"/>
    <w:rsid w:val="00E4598B"/>
    <w:rsid w:val="00E46A51"/>
    <w:rsid w:val="00E4725C"/>
    <w:rsid w:val="00E522FA"/>
    <w:rsid w:val="00E5341B"/>
    <w:rsid w:val="00E61C6D"/>
    <w:rsid w:val="00E64355"/>
    <w:rsid w:val="00E70E3C"/>
    <w:rsid w:val="00E715C3"/>
    <w:rsid w:val="00E7283A"/>
    <w:rsid w:val="00E7654F"/>
    <w:rsid w:val="00E770C1"/>
    <w:rsid w:val="00E82214"/>
    <w:rsid w:val="00E8457C"/>
    <w:rsid w:val="00E85897"/>
    <w:rsid w:val="00E92670"/>
    <w:rsid w:val="00E934DD"/>
    <w:rsid w:val="00E9496C"/>
    <w:rsid w:val="00EA0943"/>
    <w:rsid w:val="00EB13B2"/>
    <w:rsid w:val="00EC3B1D"/>
    <w:rsid w:val="00EC47BD"/>
    <w:rsid w:val="00EC6917"/>
    <w:rsid w:val="00EC6E03"/>
    <w:rsid w:val="00EC78BD"/>
    <w:rsid w:val="00ED270F"/>
    <w:rsid w:val="00ED2D17"/>
    <w:rsid w:val="00ED3250"/>
    <w:rsid w:val="00ED413F"/>
    <w:rsid w:val="00ED6590"/>
    <w:rsid w:val="00EE0E2C"/>
    <w:rsid w:val="00EE71FA"/>
    <w:rsid w:val="00F0676B"/>
    <w:rsid w:val="00F0725E"/>
    <w:rsid w:val="00F2005C"/>
    <w:rsid w:val="00F21C55"/>
    <w:rsid w:val="00F22C60"/>
    <w:rsid w:val="00F2311D"/>
    <w:rsid w:val="00F232CA"/>
    <w:rsid w:val="00F23F71"/>
    <w:rsid w:val="00F373D3"/>
    <w:rsid w:val="00F42BCA"/>
    <w:rsid w:val="00F464D4"/>
    <w:rsid w:val="00F50F72"/>
    <w:rsid w:val="00F525BA"/>
    <w:rsid w:val="00F645F2"/>
    <w:rsid w:val="00F65B19"/>
    <w:rsid w:val="00F67E15"/>
    <w:rsid w:val="00F708EA"/>
    <w:rsid w:val="00F711D5"/>
    <w:rsid w:val="00F7324A"/>
    <w:rsid w:val="00F7787A"/>
    <w:rsid w:val="00F77F16"/>
    <w:rsid w:val="00F84B3B"/>
    <w:rsid w:val="00F85328"/>
    <w:rsid w:val="00F93357"/>
    <w:rsid w:val="00FA132E"/>
    <w:rsid w:val="00FA25E4"/>
    <w:rsid w:val="00FA2CAE"/>
    <w:rsid w:val="00FA3FC4"/>
    <w:rsid w:val="00FB5170"/>
    <w:rsid w:val="00FB7E9A"/>
    <w:rsid w:val="00FC41D1"/>
    <w:rsid w:val="00FD1B4A"/>
    <w:rsid w:val="00FE6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51D5"/>
    <w:pPr>
      <w:ind w:left="720"/>
      <w:contextualSpacing/>
    </w:pPr>
  </w:style>
  <w:style w:type="paragraph" w:styleId="Pagrindinistekstas">
    <w:name w:val="Body Text"/>
    <w:basedOn w:val="prastasis"/>
    <w:link w:val="PagrindinistekstasDiagrama"/>
    <w:rsid w:val="00F67E15"/>
    <w:pPr>
      <w:spacing w:line="360" w:lineRule="auto"/>
      <w:ind w:firstLine="1298"/>
    </w:pPr>
    <w:rPr>
      <w:rFonts w:ascii="Calibri" w:hAnsi="Calibri" w:cs="Calibri"/>
      <w:lang w:eastAsia="lt-LT"/>
    </w:rPr>
  </w:style>
  <w:style w:type="character" w:customStyle="1" w:styleId="PagrindinistekstasDiagrama">
    <w:name w:val="Pagrindinis tekstas Diagrama"/>
    <w:basedOn w:val="Numatytasispastraiposriftas"/>
    <w:link w:val="Pagrindinistekstas"/>
    <w:rsid w:val="00F67E15"/>
    <w:rPr>
      <w:rFonts w:ascii="Calibri" w:hAnsi="Calibri" w:cs="Calibri"/>
      <w:lang w:eastAsia="lt-LT"/>
    </w:rPr>
  </w:style>
  <w:style w:type="paragraph" w:styleId="Pagrindiniotekstotrauka3">
    <w:name w:val="Body Text Indent 3"/>
    <w:basedOn w:val="prastasis"/>
    <w:link w:val="Pagrindiniotekstotrauka3Diagrama"/>
    <w:semiHidden/>
    <w:unhideWhenUsed/>
    <w:rsid w:val="005F67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5F67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BE282-4DBF-4DAB-834D-FE31C0C8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19285</Words>
  <Characters>10993</Characters>
  <Application>Microsoft Office Word</Application>
  <DocSecurity>8</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30218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c:creator>
  <cp:lastModifiedBy>Linvydas Pilkauskas</cp:lastModifiedBy>
  <cp:revision>1</cp:revision>
  <cp:lastPrinted>2026-02-09T08:38:00Z</cp:lastPrinted>
  <dcterms:created xsi:type="dcterms:W3CDTF">2026-06-18T08:18:00Z</dcterms:created>
  <dcterms:modified xsi:type="dcterms:W3CDTF">2026-06-18T08:18:00Z</dcterms:modified>
</cp:coreProperties>
</file>