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9C7A" w14:textId="77777777" w:rsidR="002E5395" w:rsidRPr="006136A1" w:rsidRDefault="002E5395"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53F084B7"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4C6613">
        <w:rPr>
          <w:rFonts w:asciiTheme="minorHAnsi" w:hAnsiTheme="minorHAnsi" w:cstheme="minorHAnsi"/>
          <w:sz w:val="24"/>
          <w:szCs w:val="24"/>
        </w:rPr>
        <w:t>6</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4A5344A3" w14:textId="41FFEB90" w:rsidR="00A607FB" w:rsidRPr="00C80BD0" w:rsidRDefault="000C6AF2" w:rsidP="000C6AF2">
      <w:pPr>
        <w:spacing w:after="0" w:line="312" w:lineRule="auto"/>
        <w:jc w:val="center"/>
        <w:rPr>
          <w:rFonts w:asciiTheme="minorHAnsi" w:hAnsiTheme="minorHAnsi" w:cstheme="minorHAnsi"/>
          <w:sz w:val="24"/>
          <w:szCs w:val="24"/>
        </w:rPr>
      </w:pPr>
      <w:r w:rsidRPr="00CF0FBF">
        <w:rPr>
          <w:rFonts w:cs="Calibri"/>
          <w:b/>
          <w:sz w:val="24"/>
          <w:szCs w:val="24"/>
        </w:rPr>
        <w:t>ŽEMĖS SKLYP</w:t>
      </w:r>
      <w:r w:rsidR="007578D2">
        <w:rPr>
          <w:rFonts w:cs="Calibri"/>
          <w:b/>
          <w:sz w:val="24"/>
          <w:szCs w:val="24"/>
        </w:rPr>
        <w:t>O</w:t>
      </w:r>
      <w:r w:rsidRPr="00CF0FBF">
        <w:rPr>
          <w:rFonts w:cs="Calibri"/>
          <w:b/>
          <w:sz w:val="24"/>
          <w:szCs w:val="24"/>
        </w:rPr>
        <w:t xml:space="preserve"> </w:t>
      </w:r>
      <w:r w:rsidR="004C6613">
        <w:rPr>
          <w:b/>
          <w:sz w:val="24"/>
          <w:szCs w:val="24"/>
        </w:rPr>
        <w:t>BIVYLIŲ G. 124</w:t>
      </w:r>
      <w:r w:rsidRPr="006F47EB">
        <w:rPr>
          <w:rFonts w:cs="Calibri"/>
          <w:b/>
          <w:sz w:val="24"/>
          <w:szCs w:val="24"/>
        </w:rPr>
        <w:t>,</w:t>
      </w:r>
      <w:r w:rsidRPr="00CF0FBF">
        <w:rPr>
          <w:rFonts w:cs="Calibri"/>
          <w:b/>
          <w:sz w:val="24"/>
          <w:szCs w:val="24"/>
        </w:rPr>
        <w:t xml:space="preserve"> KAUNE, DETALIOJO PLANO KOREGAVIMO PLANAVIMO DARBŲ PROGRAMA</w:t>
      </w:r>
    </w:p>
    <w:p w14:paraId="3A9AA103" w14:textId="2326029F" w:rsidR="000C6AF2" w:rsidRPr="005A3B7C" w:rsidRDefault="000C6AF2" w:rsidP="004E3503">
      <w:pPr>
        <w:pStyle w:val="Sraopastraipa"/>
        <w:numPr>
          <w:ilvl w:val="0"/>
          <w:numId w:val="2"/>
        </w:numPr>
        <w:tabs>
          <w:tab w:val="left" w:pos="1560"/>
        </w:tabs>
        <w:spacing w:after="0" w:line="312" w:lineRule="auto"/>
        <w:ind w:left="0" w:firstLine="1276"/>
        <w:jc w:val="both"/>
        <w:rPr>
          <w:rFonts w:asciiTheme="minorHAnsi" w:hAnsiTheme="minorHAnsi" w:cstheme="minorHAnsi"/>
          <w:sz w:val="24"/>
          <w:szCs w:val="24"/>
        </w:rPr>
      </w:pPr>
      <w:r w:rsidRPr="005A3B7C">
        <w:rPr>
          <w:rFonts w:asciiTheme="minorHAnsi" w:hAnsiTheme="minorHAnsi" w:cstheme="minorHAnsi"/>
          <w:sz w:val="24"/>
          <w:szCs w:val="24"/>
        </w:rPr>
        <w:t xml:space="preserve">Rengiamas teritorijų planavimo dokumentas, kuriuo koreguojamas detalusis planas, </w:t>
      </w:r>
      <w:r w:rsidR="004E3503" w:rsidRPr="005A3B7C">
        <w:rPr>
          <w:rFonts w:asciiTheme="minorHAnsi" w:hAnsiTheme="minorHAnsi" w:cstheme="minorHAnsi"/>
          <w:sz w:val="24"/>
          <w:szCs w:val="24"/>
        </w:rPr>
        <w:t xml:space="preserve">patvirtintas </w:t>
      </w:r>
      <w:bookmarkStart w:id="0" w:name="_Hlk229400477"/>
      <w:r w:rsidR="004C6613" w:rsidRPr="005A3B7C">
        <w:rPr>
          <w:rFonts w:asciiTheme="minorHAnsi" w:hAnsiTheme="minorHAnsi" w:cstheme="minorHAnsi"/>
          <w:sz w:val="24"/>
          <w:szCs w:val="24"/>
        </w:rPr>
        <w:t xml:space="preserve">Kauno miesto savivaldybės tarybos 2004-07-16 sprendimu Nr.T-455 "Dėl žemės sklypo prie </w:t>
      </w:r>
      <w:proofErr w:type="spellStart"/>
      <w:r w:rsidR="004C6613" w:rsidRPr="005A3B7C">
        <w:rPr>
          <w:rFonts w:asciiTheme="minorHAnsi" w:hAnsiTheme="minorHAnsi" w:cstheme="minorHAnsi"/>
          <w:sz w:val="24"/>
          <w:szCs w:val="24"/>
        </w:rPr>
        <w:t>Bivylių</w:t>
      </w:r>
      <w:proofErr w:type="spellEnd"/>
      <w:r w:rsidR="004C6613" w:rsidRPr="005A3B7C">
        <w:rPr>
          <w:rFonts w:asciiTheme="minorHAnsi" w:hAnsiTheme="minorHAnsi" w:cstheme="minorHAnsi"/>
          <w:sz w:val="24"/>
          <w:szCs w:val="24"/>
        </w:rPr>
        <w:t xml:space="preserve"> g., (kad. Nr.1901/0281:376)padalinimo detaliojo plano patvirtinimo“ (detaliajame plane žemės sklypas 1</w:t>
      </w:r>
      <w:r w:rsidR="00754EC0" w:rsidRPr="005A3B7C">
        <w:rPr>
          <w:rFonts w:asciiTheme="minorHAnsi" w:hAnsiTheme="minorHAnsi" w:cstheme="minorHAnsi"/>
          <w:sz w:val="24"/>
          <w:szCs w:val="24"/>
        </w:rPr>
        <w:t>3</w:t>
      </w:r>
      <w:r w:rsidR="004C6613" w:rsidRPr="005A3B7C">
        <w:rPr>
          <w:rFonts w:asciiTheme="minorHAnsi" w:hAnsiTheme="minorHAnsi" w:cstheme="minorHAnsi"/>
          <w:sz w:val="24"/>
          <w:szCs w:val="24"/>
        </w:rPr>
        <w:t>3 )</w:t>
      </w:r>
      <w:bookmarkEnd w:id="0"/>
      <w:r w:rsidR="004E3503" w:rsidRPr="005A3B7C">
        <w:rPr>
          <w:rFonts w:asciiTheme="minorHAnsi" w:hAnsiTheme="minorHAnsi" w:cstheme="minorHAnsi"/>
          <w:sz w:val="24"/>
          <w:szCs w:val="24"/>
        </w:rPr>
        <w:t xml:space="preserve">, žemės sklype </w:t>
      </w:r>
      <w:proofErr w:type="spellStart"/>
      <w:r w:rsidR="004C6613" w:rsidRPr="005A3B7C">
        <w:rPr>
          <w:rFonts w:asciiTheme="minorHAnsi" w:hAnsiTheme="minorHAnsi" w:cstheme="minorHAnsi"/>
          <w:sz w:val="24"/>
          <w:szCs w:val="24"/>
        </w:rPr>
        <w:t>Bivylių</w:t>
      </w:r>
      <w:proofErr w:type="spellEnd"/>
      <w:r w:rsidR="004C6613" w:rsidRPr="005A3B7C">
        <w:rPr>
          <w:rFonts w:asciiTheme="minorHAnsi" w:hAnsiTheme="minorHAnsi" w:cstheme="minorHAnsi"/>
          <w:sz w:val="24"/>
          <w:szCs w:val="24"/>
        </w:rPr>
        <w:t xml:space="preserve"> g. 124</w:t>
      </w:r>
      <w:r w:rsidR="004E3503" w:rsidRPr="005A3B7C">
        <w:rPr>
          <w:rFonts w:asciiTheme="minorHAnsi" w:hAnsiTheme="minorHAnsi" w:cstheme="minorHAnsi"/>
          <w:sz w:val="24"/>
          <w:szCs w:val="24"/>
        </w:rPr>
        <w:t>, Kaune.</w:t>
      </w:r>
      <w:r w:rsidRPr="005A3B7C">
        <w:rPr>
          <w:rFonts w:asciiTheme="minorHAnsi" w:hAnsiTheme="minorHAnsi" w:cstheme="minorHAnsi"/>
          <w:color w:val="000000"/>
          <w:sz w:val="24"/>
          <w:szCs w:val="24"/>
        </w:rPr>
        <w:t xml:space="preserve"> </w:t>
      </w:r>
    </w:p>
    <w:p w14:paraId="1239486E" w14:textId="4D21BCF5" w:rsidR="00A607FB" w:rsidRPr="005A3B7C" w:rsidRDefault="00085D21" w:rsidP="001F7C8F">
      <w:pPr>
        <w:spacing w:after="0" w:line="312" w:lineRule="auto"/>
        <w:ind w:firstLine="1298"/>
        <w:jc w:val="both"/>
        <w:rPr>
          <w:rFonts w:asciiTheme="minorHAnsi" w:hAnsiTheme="minorHAnsi" w:cstheme="minorHAnsi"/>
          <w:sz w:val="24"/>
          <w:szCs w:val="24"/>
        </w:rPr>
      </w:pPr>
      <w:r w:rsidRPr="005A3B7C">
        <w:rPr>
          <w:rFonts w:asciiTheme="minorHAnsi" w:hAnsiTheme="minorHAnsi" w:cstheme="minorHAnsi"/>
          <w:sz w:val="24"/>
          <w:szCs w:val="24"/>
        </w:rPr>
        <w:t>2</w:t>
      </w:r>
      <w:r w:rsidR="00A607FB" w:rsidRPr="005A3B7C">
        <w:rPr>
          <w:rFonts w:asciiTheme="minorHAnsi" w:hAnsiTheme="minorHAnsi" w:cstheme="minorHAnsi"/>
          <w:sz w:val="24"/>
          <w:szCs w:val="24"/>
        </w:rPr>
        <w:t>. Planuojama teritorija</w:t>
      </w:r>
      <w:r w:rsidR="002E5395" w:rsidRPr="005A3B7C">
        <w:rPr>
          <w:rFonts w:asciiTheme="minorHAnsi" w:hAnsiTheme="minorHAnsi" w:cstheme="minorHAnsi"/>
          <w:sz w:val="24"/>
          <w:szCs w:val="24"/>
        </w:rPr>
        <w:t xml:space="preserve"> –</w:t>
      </w:r>
      <w:r w:rsidR="00366F28" w:rsidRPr="005A3B7C">
        <w:rPr>
          <w:rFonts w:asciiTheme="minorHAnsi" w:hAnsiTheme="minorHAnsi" w:cstheme="minorHAnsi"/>
          <w:sz w:val="24"/>
          <w:szCs w:val="24"/>
        </w:rPr>
        <w:t xml:space="preserve"> </w:t>
      </w:r>
      <w:r w:rsidR="000C6AF2" w:rsidRPr="005A3B7C">
        <w:rPr>
          <w:rFonts w:asciiTheme="minorHAnsi" w:hAnsiTheme="minorHAnsi" w:cstheme="minorHAnsi"/>
          <w:sz w:val="24"/>
          <w:szCs w:val="24"/>
        </w:rPr>
        <w:t xml:space="preserve">žemės sklypas </w:t>
      </w:r>
      <w:bookmarkStart w:id="1" w:name="_Hlk229400495"/>
      <w:proofErr w:type="spellStart"/>
      <w:r w:rsidR="004C6613" w:rsidRPr="005A3B7C">
        <w:rPr>
          <w:rFonts w:asciiTheme="minorHAnsi" w:hAnsiTheme="minorHAnsi" w:cstheme="minorHAnsi"/>
          <w:sz w:val="24"/>
          <w:szCs w:val="24"/>
        </w:rPr>
        <w:t>Bivylių</w:t>
      </w:r>
      <w:proofErr w:type="spellEnd"/>
      <w:r w:rsidR="004C6613" w:rsidRPr="005A3B7C">
        <w:rPr>
          <w:rFonts w:asciiTheme="minorHAnsi" w:hAnsiTheme="minorHAnsi" w:cstheme="minorHAnsi"/>
          <w:sz w:val="24"/>
          <w:szCs w:val="24"/>
        </w:rPr>
        <w:t xml:space="preserve"> g. 124</w:t>
      </w:r>
      <w:bookmarkEnd w:id="1"/>
      <w:r w:rsidR="000C6AF2" w:rsidRPr="005A3B7C">
        <w:rPr>
          <w:rFonts w:asciiTheme="minorHAnsi" w:hAnsiTheme="minorHAnsi" w:cstheme="minorHAnsi"/>
          <w:sz w:val="24"/>
          <w:szCs w:val="24"/>
        </w:rPr>
        <w:t>, Kaune</w:t>
      </w:r>
      <w:r w:rsidR="004E3503" w:rsidRPr="005A3B7C">
        <w:rPr>
          <w:rFonts w:asciiTheme="minorHAnsi" w:hAnsiTheme="minorHAnsi" w:cstheme="minorHAnsi"/>
          <w:sz w:val="24"/>
          <w:szCs w:val="24"/>
        </w:rPr>
        <w:t xml:space="preserve"> (kad. </w:t>
      </w:r>
      <w:r w:rsidR="005E3744" w:rsidRPr="005A3B7C">
        <w:rPr>
          <w:rFonts w:asciiTheme="minorHAnsi" w:hAnsiTheme="minorHAnsi" w:cstheme="minorHAnsi"/>
          <w:sz w:val="24"/>
          <w:szCs w:val="24"/>
        </w:rPr>
        <w:t>Nr.</w:t>
      </w:r>
      <w:r w:rsidR="004E3503" w:rsidRPr="005A3B7C">
        <w:rPr>
          <w:rFonts w:asciiTheme="minorHAnsi" w:hAnsiTheme="minorHAnsi" w:cstheme="minorHAnsi"/>
          <w:sz w:val="24"/>
          <w:szCs w:val="24"/>
        </w:rPr>
        <w:t xml:space="preserve"> </w:t>
      </w:r>
      <w:r w:rsidR="004C6613" w:rsidRPr="005A3B7C">
        <w:rPr>
          <w:rFonts w:asciiTheme="minorHAnsi" w:hAnsiTheme="minorHAnsi" w:cstheme="minorHAnsi"/>
          <w:sz w:val="24"/>
          <w:szCs w:val="24"/>
        </w:rPr>
        <w:t>1901/0281:1017</w:t>
      </w:r>
      <w:r w:rsidR="004E3503" w:rsidRPr="005A3B7C">
        <w:rPr>
          <w:rFonts w:asciiTheme="minorHAnsi" w:hAnsiTheme="minorHAnsi" w:cstheme="minorHAnsi"/>
          <w:sz w:val="24"/>
          <w:szCs w:val="24"/>
        </w:rPr>
        <w:t>)</w:t>
      </w:r>
      <w:r w:rsidR="000C6AF2" w:rsidRPr="005A3B7C">
        <w:rPr>
          <w:rFonts w:asciiTheme="minorHAnsi" w:hAnsiTheme="minorHAnsi" w:cstheme="minorHAnsi"/>
          <w:sz w:val="24"/>
          <w:szCs w:val="24"/>
        </w:rPr>
        <w:t>.</w:t>
      </w:r>
    </w:p>
    <w:p w14:paraId="60970518" w14:textId="71D05FB7" w:rsidR="004E3503" w:rsidRPr="005A3B7C" w:rsidRDefault="00FC4781" w:rsidP="004E3503">
      <w:pPr>
        <w:spacing w:after="0" w:line="312" w:lineRule="auto"/>
        <w:ind w:firstLine="1298"/>
        <w:jc w:val="both"/>
        <w:rPr>
          <w:rFonts w:asciiTheme="minorHAnsi" w:hAnsiTheme="minorHAnsi" w:cstheme="minorHAnsi"/>
          <w:sz w:val="24"/>
          <w:szCs w:val="24"/>
        </w:rPr>
      </w:pPr>
      <w:r w:rsidRPr="005A3B7C">
        <w:rPr>
          <w:rFonts w:asciiTheme="minorHAnsi" w:hAnsiTheme="minorHAnsi" w:cstheme="minorHAnsi"/>
          <w:sz w:val="24"/>
          <w:szCs w:val="24"/>
        </w:rPr>
        <w:t>3</w:t>
      </w:r>
      <w:r w:rsidR="007D467A" w:rsidRPr="005A3B7C">
        <w:rPr>
          <w:rFonts w:asciiTheme="minorHAnsi" w:hAnsiTheme="minorHAnsi" w:cstheme="minorHAnsi"/>
          <w:sz w:val="24"/>
          <w:szCs w:val="24"/>
        </w:rPr>
        <w:t xml:space="preserve">. </w:t>
      </w:r>
      <w:r w:rsidR="004E3503" w:rsidRPr="005A3B7C">
        <w:rPr>
          <w:rFonts w:asciiTheme="minorHAnsi" w:hAnsiTheme="minorHAnsi" w:cstheme="minorHAnsi"/>
          <w:sz w:val="24"/>
          <w:szCs w:val="24"/>
        </w:rPr>
        <w:t xml:space="preserve">Planuojamos teritorijos plotas – </w:t>
      </w:r>
      <w:r w:rsidR="00754EC0" w:rsidRPr="005A3B7C">
        <w:rPr>
          <w:rFonts w:asciiTheme="minorHAnsi" w:hAnsiTheme="minorHAnsi" w:cstheme="minorHAnsi"/>
          <w:sz w:val="24"/>
          <w:szCs w:val="24"/>
        </w:rPr>
        <w:t>1233</w:t>
      </w:r>
      <w:r w:rsidR="004E3503" w:rsidRPr="005A3B7C">
        <w:rPr>
          <w:rFonts w:asciiTheme="minorHAnsi" w:hAnsiTheme="minorHAnsi" w:cstheme="minorHAnsi"/>
          <w:sz w:val="24"/>
          <w:szCs w:val="24"/>
        </w:rPr>
        <w:t xml:space="preserve"> kv. m, nagrinėjamos teritorijos plotas, kvartalo</w:t>
      </w:r>
    </w:p>
    <w:p w14:paraId="52804B71" w14:textId="09EDC421" w:rsidR="00930372" w:rsidRPr="005A3B7C" w:rsidRDefault="004E3503" w:rsidP="004E3503">
      <w:pPr>
        <w:spacing w:after="0" w:line="312" w:lineRule="auto"/>
        <w:ind w:firstLine="1298"/>
        <w:jc w:val="both"/>
        <w:rPr>
          <w:rFonts w:asciiTheme="minorHAnsi" w:hAnsiTheme="minorHAnsi" w:cstheme="minorHAnsi"/>
          <w:sz w:val="24"/>
          <w:szCs w:val="24"/>
        </w:rPr>
      </w:pPr>
      <w:r w:rsidRPr="005A3B7C">
        <w:rPr>
          <w:rFonts w:asciiTheme="minorHAnsi" w:hAnsiTheme="minorHAnsi" w:cstheme="minorHAnsi"/>
          <w:sz w:val="24"/>
          <w:szCs w:val="24"/>
        </w:rPr>
        <w:t xml:space="preserve">ribos – </w:t>
      </w:r>
      <w:r w:rsidR="009B127E">
        <w:rPr>
          <w:rFonts w:asciiTheme="minorHAnsi" w:hAnsiTheme="minorHAnsi" w:cstheme="minorHAnsi"/>
          <w:sz w:val="24"/>
          <w:szCs w:val="24"/>
        </w:rPr>
        <w:t>34564,29</w:t>
      </w:r>
      <w:r w:rsidRPr="005A3B7C">
        <w:rPr>
          <w:rFonts w:asciiTheme="minorHAnsi" w:hAnsiTheme="minorHAnsi" w:cstheme="minorHAnsi"/>
          <w:sz w:val="24"/>
          <w:szCs w:val="24"/>
        </w:rPr>
        <w:t xml:space="preserve"> kv. m.</w:t>
      </w:r>
    </w:p>
    <w:p w14:paraId="6301522C" w14:textId="0BF95327" w:rsidR="005E3744" w:rsidRDefault="009B127E" w:rsidP="00754EC0">
      <w:pPr>
        <w:spacing w:after="0" w:line="312" w:lineRule="auto"/>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012BD692" wp14:editId="6415FBC1">
            <wp:extent cx="5848350" cy="2823970"/>
            <wp:effectExtent l="0" t="0" r="0" b="0"/>
            <wp:docPr id="192058424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060" cy="2826244"/>
                    </a:xfrm>
                    <a:prstGeom prst="rect">
                      <a:avLst/>
                    </a:prstGeom>
                    <a:noFill/>
                    <a:ln>
                      <a:noFill/>
                    </a:ln>
                  </pic:spPr>
                </pic:pic>
              </a:graphicData>
            </a:graphic>
          </wp:inline>
        </w:drawing>
      </w:r>
    </w:p>
    <w:p w14:paraId="6625814F" w14:textId="1182D3BA" w:rsidR="00FC478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4</w:t>
      </w:r>
      <w:r w:rsidR="007D467A" w:rsidRPr="00C80BD0">
        <w:rPr>
          <w:rFonts w:asciiTheme="minorHAnsi" w:hAnsiTheme="minorHAnsi" w:cstheme="minorHAnsi"/>
          <w:sz w:val="24"/>
          <w:szCs w:val="24"/>
        </w:rPr>
        <w:t>. Planavimo organizatorius</w:t>
      </w:r>
      <w:r w:rsidR="00863851" w:rsidRPr="00C80BD0">
        <w:rPr>
          <w:rFonts w:asciiTheme="minorHAnsi" w:hAnsiTheme="minorHAnsi" w:cstheme="minorHAnsi"/>
          <w:sz w:val="24"/>
          <w:szCs w:val="24"/>
        </w:rPr>
        <w:t xml:space="preserve"> –</w:t>
      </w:r>
      <w:r w:rsidRPr="00C80BD0">
        <w:rPr>
          <w:rFonts w:asciiTheme="minorHAnsi" w:hAnsiTheme="minorHAnsi" w:cstheme="minorHAnsi"/>
          <w:sz w:val="24"/>
          <w:szCs w:val="24"/>
        </w:rPr>
        <w:t xml:space="preserve"> Kauno miesto savivaldybės administracijos direktorius, Laisvės</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al.</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 xml:space="preserve">96, 44251 Kaunas, tel. (8 37) 42 26 31, el. paštas </w:t>
      </w:r>
      <w:proofErr w:type="spellStart"/>
      <w:r w:rsidRPr="00C80BD0">
        <w:rPr>
          <w:rFonts w:asciiTheme="minorHAnsi" w:hAnsiTheme="minorHAnsi" w:cstheme="minorHAnsi"/>
          <w:sz w:val="24"/>
          <w:szCs w:val="24"/>
        </w:rPr>
        <w:t>administracijos.direktorius@kaunas.lt</w:t>
      </w:r>
      <w:proofErr w:type="spellEnd"/>
      <w:r w:rsidRPr="00C80BD0">
        <w:rPr>
          <w:rFonts w:asciiTheme="minorHAnsi" w:hAnsiTheme="minorHAnsi" w:cstheme="minorHAnsi"/>
          <w:sz w:val="24"/>
          <w:szCs w:val="24"/>
        </w:rPr>
        <w:t>.</w:t>
      </w:r>
      <w:r w:rsidR="00863851" w:rsidRPr="00C80BD0">
        <w:rPr>
          <w:rFonts w:asciiTheme="minorHAnsi" w:hAnsiTheme="minorHAnsi" w:cstheme="minorHAnsi"/>
          <w:sz w:val="24"/>
          <w:szCs w:val="24"/>
        </w:rPr>
        <w:t xml:space="preserve"> </w:t>
      </w:r>
    </w:p>
    <w:p w14:paraId="47DE9B40" w14:textId="16A57524" w:rsidR="007D467A"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5</w:t>
      </w:r>
      <w:r w:rsidR="007D467A" w:rsidRPr="00C80BD0">
        <w:rPr>
          <w:rFonts w:asciiTheme="minorHAnsi" w:hAnsiTheme="minorHAnsi" w:cstheme="minorHAnsi"/>
          <w:sz w:val="24"/>
          <w:szCs w:val="24"/>
        </w:rPr>
        <w:t>. Planavimo iniciator</w:t>
      </w:r>
      <w:r w:rsidR="00D9508B" w:rsidRPr="00C80BD0">
        <w:rPr>
          <w:rFonts w:asciiTheme="minorHAnsi" w:hAnsiTheme="minorHAnsi" w:cstheme="minorHAnsi"/>
          <w:sz w:val="24"/>
          <w:szCs w:val="24"/>
        </w:rPr>
        <w:t>iai</w:t>
      </w:r>
      <w:r w:rsidR="00DD4F17" w:rsidRPr="00C80BD0">
        <w:rPr>
          <w:rFonts w:asciiTheme="minorHAnsi" w:hAnsiTheme="minorHAnsi" w:cstheme="minorHAnsi"/>
          <w:sz w:val="24"/>
          <w:szCs w:val="24"/>
        </w:rPr>
        <w:t xml:space="preserve"> –</w:t>
      </w:r>
      <w:r w:rsidR="00927C39" w:rsidRPr="00C80BD0">
        <w:rPr>
          <w:rFonts w:asciiTheme="minorHAnsi" w:hAnsiTheme="minorHAnsi" w:cstheme="minorHAnsi"/>
          <w:sz w:val="24"/>
          <w:szCs w:val="24"/>
        </w:rPr>
        <w:t xml:space="preserve"> </w:t>
      </w:r>
      <w:r w:rsidR="00D9508B" w:rsidRPr="00C80BD0">
        <w:rPr>
          <w:rFonts w:asciiTheme="minorHAnsi" w:hAnsiTheme="minorHAnsi" w:cstheme="minorHAnsi"/>
          <w:sz w:val="24"/>
          <w:szCs w:val="24"/>
        </w:rPr>
        <w:t>privatūs asmenys</w:t>
      </w:r>
      <w:r w:rsidR="005E2271" w:rsidRPr="00C80BD0">
        <w:rPr>
          <w:rFonts w:asciiTheme="minorHAnsi" w:hAnsiTheme="minorHAnsi" w:cstheme="minorHAnsi"/>
          <w:sz w:val="24"/>
          <w:szCs w:val="24"/>
        </w:rPr>
        <w:t>.</w:t>
      </w:r>
    </w:p>
    <w:p w14:paraId="325C4238" w14:textId="3FACD03A" w:rsidR="00FC4781" w:rsidRPr="00C80BD0" w:rsidRDefault="00FC4781" w:rsidP="009A136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6</w:t>
      </w:r>
      <w:r w:rsidR="007D467A" w:rsidRPr="00C80BD0">
        <w:rPr>
          <w:rFonts w:asciiTheme="minorHAnsi" w:hAnsiTheme="minorHAnsi" w:cstheme="minorHAnsi"/>
          <w:sz w:val="24"/>
          <w:szCs w:val="24"/>
        </w:rPr>
        <w:t>. Planavimo tiksl</w:t>
      </w:r>
      <w:r w:rsidR="003746C3" w:rsidRPr="00C80BD0">
        <w:rPr>
          <w:rFonts w:asciiTheme="minorHAnsi" w:hAnsiTheme="minorHAnsi" w:cstheme="minorHAnsi"/>
          <w:sz w:val="24"/>
          <w:szCs w:val="24"/>
        </w:rPr>
        <w:t>a</w:t>
      </w:r>
      <w:r w:rsidR="007D467A" w:rsidRPr="00C80BD0">
        <w:rPr>
          <w:rFonts w:asciiTheme="minorHAnsi" w:hAnsiTheme="minorHAnsi" w:cstheme="minorHAnsi"/>
          <w:sz w:val="24"/>
          <w:szCs w:val="24"/>
        </w:rPr>
        <w:t>i:</w:t>
      </w:r>
      <w:r w:rsidR="00863851" w:rsidRPr="00C80BD0">
        <w:rPr>
          <w:rFonts w:asciiTheme="minorHAnsi" w:hAnsiTheme="minorHAnsi" w:cstheme="minorHAnsi"/>
          <w:sz w:val="24"/>
          <w:szCs w:val="24"/>
        </w:rPr>
        <w:t xml:space="preserve"> </w:t>
      </w:r>
    </w:p>
    <w:p w14:paraId="11D82327" w14:textId="68CE72AC" w:rsidR="006F47EB" w:rsidRDefault="00FC4781" w:rsidP="006F47EB">
      <w:pPr>
        <w:pStyle w:val="Pagrindinistekstas"/>
        <w:spacing w:line="276" w:lineRule="auto"/>
        <w:ind w:firstLine="1276"/>
        <w:jc w:val="both"/>
      </w:pPr>
      <w:r w:rsidRPr="00930372">
        <w:rPr>
          <w:rFonts w:asciiTheme="minorHAnsi" w:hAnsiTheme="minorHAnsi" w:cstheme="minorHAnsi"/>
          <w:szCs w:val="24"/>
        </w:rPr>
        <w:t>6.</w:t>
      </w:r>
      <w:r w:rsidR="006F47EB">
        <w:rPr>
          <w:rFonts w:asciiTheme="minorHAnsi" w:hAnsiTheme="minorHAnsi" w:cstheme="minorHAnsi"/>
          <w:szCs w:val="24"/>
        </w:rPr>
        <w:t>1</w:t>
      </w:r>
      <w:r w:rsidR="006F47EB" w:rsidRPr="007B42FE">
        <w:rPr>
          <w:spacing w:val="-4"/>
        </w:rPr>
        <w:t xml:space="preserve">.  </w:t>
      </w:r>
      <w:r w:rsidR="00754EC0" w:rsidRPr="00236436">
        <w:rPr>
          <w:spacing w:val="-4"/>
          <w:szCs w:val="24"/>
        </w:rPr>
        <w:t xml:space="preserve">padalinti </w:t>
      </w:r>
      <w:r w:rsidR="00754EC0" w:rsidRPr="00236436">
        <w:rPr>
          <w:szCs w:val="24"/>
        </w:rPr>
        <w:t xml:space="preserve">žemės sklypą </w:t>
      </w:r>
      <w:proofErr w:type="spellStart"/>
      <w:r w:rsidR="00754EC0" w:rsidRPr="00D21535">
        <w:rPr>
          <w:szCs w:val="24"/>
        </w:rPr>
        <w:t>Bivylių</w:t>
      </w:r>
      <w:proofErr w:type="spellEnd"/>
      <w:r w:rsidR="00754EC0" w:rsidRPr="00D21535">
        <w:rPr>
          <w:szCs w:val="24"/>
        </w:rPr>
        <w:t xml:space="preserve"> g. 124</w:t>
      </w:r>
      <w:r w:rsidR="00754EC0" w:rsidRPr="00236436">
        <w:rPr>
          <w:szCs w:val="24"/>
        </w:rPr>
        <w:t xml:space="preserve">, </w:t>
      </w:r>
      <w:bookmarkStart w:id="2" w:name="_Hlk229400519"/>
      <w:r w:rsidR="00754EC0" w:rsidRPr="00236436">
        <w:rPr>
          <w:szCs w:val="24"/>
        </w:rPr>
        <w:t xml:space="preserve">Kaune į </w:t>
      </w:r>
      <w:r w:rsidR="00754EC0" w:rsidRPr="00D21535">
        <w:rPr>
          <w:szCs w:val="24"/>
        </w:rPr>
        <w:t>du ar daugiau žemės sklypų</w:t>
      </w:r>
      <w:bookmarkEnd w:id="2"/>
      <w:r w:rsidR="005E3744">
        <w:rPr>
          <w:szCs w:val="24"/>
        </w:rPr>
        <w:t>;</w:t>
      </w:r>
    </w:p>
    <w:p w14:paraId="2BC950CF" w14:textId="5F94C3AD" w:rsidR="006F47EB" w:rsidRDefault="006F47EB" w:rsidP="006F47EB">
      <w:pPr>
        <w:pStyle w:val="Pagrindinistekstas"/>
        <w:spacing w:line="276" w:lineRule="auto"/>
        <w:ind w:firstLine="1276"/>
        <w:jc w:val="both"/>
      </w:pPr>
      <w:r>
        <w:t>6.2.  nustatyti papildomus detaliojo plano sprendinius;</w:t>
      </w:r>
    </w:p>
    <w:p w14:paraId="652DCD2B" w14:textId="485EB3E8" w:rsidR="006F47EB" w:rsidRDefault="006F47EB" w:rsidP="006F47EB">
      <w:pPr>
        <w:pStyle w:val="Pagrindinistekstas"/>
        <w:spacing w:line="276" w:lineRule="auto"/>
        <w:ind w:firstLine="1276"/>
        <w:jc w:val="both"/>
      </w:pPr>
      <w:r>
        <w:t>6.3. kurti sveiką, saugią, darnią, klimato kaitos padariniams atsparią gyvenamąją aplinką ir visavertes gyvenimo sąlygas gyvenamojoje vietovėje.</w:t>
      </w:r>
    </w:p>
    <w:p w14:paraId="553C29A4" w14:textId="2924DEC3" w:rsidR="007D467A" w:rsidRPr="00C80BD0" w:rsidRDefault="00FC4781" w:rsidP="006F47EB">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7D467A" w:rsidRPr="00C80BD0">
        <w:rPr>
          <w:rFonts w:asciiTheme="minorHAnsi" w:hAnsiTheme="minorHAnsi" w:cstheme="minorHAnsi"/>
          <w:sz w:val="24"/>
          <w:szCs w:val="24"/>
        </w:rPr>
        <w:t>. Planavimo uždaviniai:</w:t>
      </w:r>
      <w:r w:rsidR="002E5395" w:rsidRPr="00C80BD0">
        <w:rPr>
          <w:rFonts w:asciiTheme="minorHAnsi" w:hAnsiTheme="minorHAnsi" w:cstheme="minorHAnsi"/>
          <w:sz w:val="24"/>
          <w:szCs w:val="24"/>
        </w:rPr>
        <w:t xml:space="preserve"> </w:t>
      </w:r>
    </w:p>
    <w:p w14:paraId="00165711"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.1. detalizuojant Kauno miesto savivaldybės teritorijos bendrajame plane nustatytus teritorijos naudojimo privalomuosius reikalavimus, nustatyti teritorijos naudojimo reglamentus</w:t>
      </w:r>
      <w:r w:rsidR="002E5395" w:rsidRPr="00C80BD0">
        <w:rPr>
          <w:rFonts w:asciiTheme="minorHAnsi" w:hAnsiTheme="minorHAnsi" w:cstheme="minorHAnsi"/>
          <w:sz w:val="24"/>
          <w:szCs w:val="24"/>
        </w:rPr>
        <w:t xml:space="preserve">; </w:t>
      </w:r>
    </w:p>
    <w:p w14:paraId="7416DC86"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.2. suformuoti o</w:t>
      </w:r>
      <w:r w:rsidR="00C721F3" w:rsidRPr="00C80BD0">
        <w:rPr>
          <w:rFonts w:asciiTheme="minorHAnsi" w:hAnsiTheme="minorHAnsi" w:cstheme="minorHAnsi"/>
          <w:sz w:val="24"/>
          <w:szCs w:val="24"/>
        </w:rPr>
        <w:t>ptimalią urbanistinę struktūrą;</w:t>
      </w:r>
    </w:p>
    <w:p w14:paraId="2C16E71C"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lastRenderedPageBreak/>
        <w:t>7</w:t>
      </w:r>
      <w:r w:rsidR="00085D21" w:rsidRPr="00C80BD0">
        <w:rPr>
          <w:rFonts w:asciiTheme="minorHAnsi" w:hAnsiTheme="minorHAnsi" w:cstheme="minorHAnsi"/>
          <w:sz w:val="24"/>
          <w:szCs w:val="24"/>
        </w:rPr>
        <w:t>.3. įvertinti pėsčiųjų, dviračių takų sistemą, kitas susisiekimo komunikacijas ir joms funkcionuoti reikalingų servitutų poreikį</w:t>
      </w:r>
      <w:r w:rsidR="002E5395" w:rsidRPr="00C80BD0">
        <w:rPr>
          <w:rFonts w:asciiTheme="minorHAnsi" w:hAnsiTheme="minorHAnsi" w:cstheme="minorHAnsi"/>
          <w:sz w:val="24"/>
          <w:szCs w:val="24"/>
        </w:rPr>
        <w:t xml:space="preserve">; </w:t>
      </w:r>
    </w:p>
    <w:p w14:paraId="05ACE9FA" w14:textId="77777777" w:rsidR="00D91075"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.4. nurodyti urbanistinių struktūrų, urbanistinių erdvių formavim</w:t>
      </w:r>
      <w:r w:rsidR="006A24C3" w:rsidRPr="00C80BD0">
        <w:rPr>
          <w:rFonts w:asciiTheme="minorHAnsi" w:hAnsiTheme="minorHAnsi" w:cstheme="minorHAnsi"/>
          <w:sz w:val="24"/>
          <w:szCs w:val="24"/>
        </w:rPr>
        <w:t>o reikalavimus.</w:t>
      </w:r>
    </w:p>
    <w:p w14:paraId="5598D643"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8. Tyrimai, galimybių studijos ir pan.</w:t>
      </w:r>
      <w:r w:rsidR="002E5395" w:rsidRPr="00C80BD0">
        <w:rPr>
          <w:rFonts w:asciiTheme="minorHAnsi" w:hAnsiTheme="minorHAnsi" w:cstheme="minorHAnsi"/>
          <w:sz w:val="24"/>
          <w:szCs w:val="24"/>
        </w:rPr>
        <w:t xml:space="preserve"> </w:t>
      </w:r>
      <w:r w:rsidRPr="00C80BD0">
        <w:rPr>
          <w:rFonts w:asciiTheme="minorHAnsi" w:hAnsiTheme="minorHAnsi" w:cstheme="minorHAnsi"/>
          <w:sz w:val="24"/>
          <w:szCs w:val="24"/>
        </w:rPr>
        <w:t>neatliekami.</w:t>
      </w:r>
      <w:r w:rsidR="002E5395" w:rsidRPr="00C80BD0">
        <w:rPr>
          <w:rFonts w:asciiTheme="minorHAnsi" w:hAnsiTheme="minorHAnsi" w:cstheme="minorHAnsi"/>
          <w:sz w:val="24"/>
          <w:szCs w:val="24"/>
        </w:rPr>
        <w:t xml:space="preserve"> </w:t>
      </w:r>
    </w:p>
    <w:p w14:paraId="6360BC41" w14:textId="69E3A486" w:rsidR="003746C3"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9</w:t>
      </w:r>
      <w:r w:rsidR="003746C3" w:rsidRPr="00C80BD0">
        <w:rPr>
          <w:rFonts w:asciiTheme="minorHAnsi" w:hAnsiTheme="minorHAnsi" w:cstheme="minorHAnsi"/>
          <w:sz w:val="24"/>
          <w:szCs w:val="24"/>
        </w:rPr>
        <w:t xml:space="preserve">. Strateginis pasekmių aplinkai vertinimas </w:t>
      </w:r>
      <w:r w:rsidR="001F50B3">
        <w:rPr>
          <w:rFonts w:asciiTheme="minorHAnsi" w:hAnsiTheme="minorHAnsi" w:cstheme="minorHAnsi"/>
          <w:sz w:val="24"/>
          <w:szCs w:val="24"/>
        </w:rPr>
        <w:t xml:space="preserve">(toliau – SPAV) - </w:t>
      </w:r>
      <w:r w:rsidR="001F50B3"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 SPAV atranka ir SPAV atliekamas, jei planuojama ūkinė veikla atitinka Lietuvos Respublikos planuojamos ūkinės veiklos poveikio aplinkai vertinimo įstatymo 1 ir 2 prieduose nurodytas veiklas.</w:t>
      </w:r>
    </w:p>
    <w:p w14:paraId="1122E361"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10. Atvir</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konkurs</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geriausiai urbanistinei idėjai atrinkti nerengiamas.</w:t>
      </w:r>
      <w:r w:rsidR="002E5395" w:rsidRPr="00C80BD0">
        <w:rPr>
          <w:rFonts w:asciiTheme="minorHAnsi" w:hAnsiTheme="minorHAnsi" w:cstheme="minorHAnsi"/>
          <w:sz w:val="24"/>
          <w:szCs w:val="24"/>
        </w:rPr>
        <w:t xml:space="preserve"> </w:t>
      </w:r>
    </w:p>
    <w:p w14:paraId="0279CAF2" w14:textId="77777777" w:rsidR="003341E9" w:rsidRPr="00C80BD0" w:rsidRDefault="003341E9"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11. Preliminarių sprendinių nepriklausomas profesinis vertinimas neatliekamas.</w:t>
      </w:r>
      <w:r w:rsidR="002E5395" w:rsidRPr="00C80BD0">
        <w:rPr>
          <w:rFonts w:asciiTheme="minorHAnsi" w:hAnsiTheme="minorHAnsi" w:cstheme="minorHAnsi"/>
          <w:sz w:val="24"/>
          <w:szCs w:val="24"/>
        </w:rPr>
        <w:t xml:space="preserve"> </w:t>
      </w:r>
    </w:p>
    <w:p w14:paraId="482B613F" w14:textId="314E6915" w:rsidR="00835EDA" w:rsidRDefault="003746C3" w:rsidP="00835EDA">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3341E9" w:rsidRPr="00C80BD0">
        <w:rPr>
          <w:rFonts w:asciiTheme="minorHAnsi" w:hAnsiTheme="minorHAnsi" w:cstheme="minorHAnsi"/>
          <w:sz w:val="24"/>
          <w:szCs w:val="24"/>
        </w:rPr>
        <w:t>2</w:t>
      </w:r>
      <w:r w:rsidRPr="00C80BD0">
        <w:rPr>
          <w:rFonts w:asciiTheme="minorHAnsi" w:hAnsiTheme="minorHAnsi" w:cstheme="minorHAnsi"/>
          <w:sz w:val="24"/>
          <w:szCs w:val="24"/>
        </w:rPr>
        <w:t xml:space="preserve">. </w:t>
      </w:r>
      <w:r w:rsidR="001F50B3" w:rsidRPr="001F50B3">
        <w:rPr>
          <w:rFonts w:asciiTheme="minorHAnsi" w:hAnsiTheme="minorHAnsi" w:cstheme="minorHAnsi"/>
          <w:sz w:val="24"/>
          <w:szCs w:val="24"/>
        </w:rPr>
        <w:t>Koncepcijos rengimas ir jos nepriklausomas profesinis vertinimas – koncepcija nerengiama, vertinimas neatliekamas</w:t>
      </w:r>
      <w:r w:rsidR="001F50B3">
        <w:rPr>
          <w:rFonts w:asciiTheme="minorHAnsi" w:hAnsiTheme="minorHAnsi" w:cstheme="minorHAnsi"/>
          <w:sz w:val="24"/>
          <w:szCs w:val="24"/>
        </w:rPr>
        <w:t>.</w:t>
      </w:r>
    </w:p>
    <w:p w14:paraId="2C9E73E7" w14:textId="6A2AD1AB"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w:t>
      </w:r>
      <w:r w:rsidR="000C6AF2" w:rsidRPr="001F50B3">
        <w:rPr>
          <w:rFonts w:asciiTheme="minorHAnsi" w:hAnsiTheme="minorHAnsi" w:cstheme="minorHAnsi"/>
          <w:sz w:val="24"/>
          <w:szCs w:val="24"/>
        </w:rPr>
        <w:t>neatliekamas</w:t>
      </w:r>
      <w:r w:rsidR="000C6AF2">
        <w:rPr>
          <w:rFonts w:asciiTheme="minorHAnsi" w:hAnsiTheme="minorHAnsi" w:cstheme="minorHAnsi"/>
          <w:sz w:val="24"/>
          <w:szCs w:val="24"/>
        </w:rPr>
        <w:t>.</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FD4BD9">
            <w:pPr>
              <w:spacing w:after="0"/>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FD4BD9">
            <w:pPr>
              <w:spacing w:after="0"/>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FD4BD9">
            <w:pPr>
              <w:spacing w:after="0"/>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FD4BD9">
            <w:pPr>
              <w:spacing w:after="0"/>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FD4BD9">
            <w:pPr>
              <w:spacing w:after="0"/>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FD4BD9">
            <w:pPr>
              <w:spacing w:after="0"/>
              <w:rPr>
                <w:rFonts w:asciiTheme="minorHAnsi" w:hAnsiTheme="minorHAnsi" w:cstheme="minorHAnsi"/>
                <w:sz w:val="24"/>
                <w:szCs w:val="24"/>
              </w:rPr>
            </w:pPr>
          </w:p>
        </w:tc>
        <w:tc>
          <w:tcPr>
            <w:tcW w:w="4535" w:type="dxa"/>
          </w:tcPr>
          <w:p w14:paraId="566CCE5D" w14:textId="77777777" w:rsidR="00C721F3" w:rsidRPr="00C80BD0" w:rsidRDefault="00AC679A" w:rsidP="00FD4BD9">
            <w:pPr>
              <w:spacing w:after="0"/>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3ADEDDAA" w:rsidR="00AC679A" w:rsidRPr="00930372" w:rsidRDefault="00754EC0" w:rsidP="00FD4BD9">
            <w:pPr>
              <w:spacing w:after="0"/>
              <w:jc w:val="center"/>
              <w:rPr>
                <w:rFonts w:asciiTheme="minorHAnsi" w:hAnsiTheme="minorHAnsi" w:cstheme="minorHAnsi"/>
                <w:sz w:val="24"/>
                <w:szCs w:val="24"/>
              </w:rPr>
            </w:pPr>
            <w:r w:rsidRPr="000C6AF2">
              <w:rPr>
                <w:rFonts w:asciiTheme="minorHAnsi" w:hAnsiTheme="minorHAnsi" w:cstheme="minorHAnsi"/>
                <w:sz w:val="24"/>
                <w:szCs w:val="24"/>
              </w:rPr>
              <w:t>2026 m. I</w:t>
            </w:r>
            <w:r>
              <w:rPr>
                <w:rFonts w:asciiTheme="minorHAnsi" w:hAnsiTheme="minorHAnsi" w:cstheme="minorHAnsi"/>
                <w:sz w:val="24"/>
                <w:szCs w:val="24"/>
              </w:rPr>
              <w:t>I</w:t>
            </w:r>
            <w:r w:rsidRPr="000C6AF2">
              <w:rPr>
                <w:rFonts w:asciiTheme="minorHAnsi" w:hAnsiTheme="minorHAnsi" w:cstheme="minorHAnsi"/>
                <w:sz w:val="24"/>
                <w:szCs w:val="24"/>
              </w:rPr>
              <w:t> ketvirtis</w:t>
            </w:r>
          </w:p>
        </w:tc>
      </w:tr>
      <w:tr w:rsidR="00662D5D" w:rsidRPr="00C80BD0" w14:paraId="71E20761" w14:textId="77777777" w:rsidTr="003341E9">
        <w:trPr>
          <w:trHeight w:val="1440"/>
        </w:trPr>
        <w:tc>
          <w:tcPr>
            <w:tcW w:w="1701" w:type="dxa"/>
            <w:vMerge w:val="restart"/>
          </w:tcPr>
          <w:p w14:paraId="30E33A7D" w14:textId="77777777" w:rsidR="00662D5D" w:rsidRPr="00C80BD0" w:rsidRDefault="00662D5D" w:rsidP="00FD4BD9">
            <w:pPr>
              <w:spacing w:after="0"/>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FD4BD9">
            <w:pPr>
              <w:spacing w:after="0"/>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FD4BD9">
            <w:pPr>
              <w:spacing w:after="0"/>
              <w:jc w:val="both"/>
              <w:rPr>
                <w:rFonts w:asciiTheme="minorHAnsi" w:hAnsiTheme="minorHAnsi" w:cstheme="minorHAnsi"/>
                <w:sz w:val="24"/>
                <w:szCs w:val="24"/>
              </w:rPr>
            </w:pPr>
            <w:r w:rsidRPr="00C80BD0">
              <w:rPr>
                <w:rFonts w:asciiTheme="minorHAnsi" w:hAnsiTheme="minorHAnsi" w:cstheme="minorHAns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4B75830D" w:rsidR="00662D5D" w:rsidRPr="00930372" w:rsidRDefault="005E3744" w:rsidP="00FD4BD9">
            <w:pPr>
              <w:spacing w:after="0"/>
              <w:jc w:val="center"/>
              <w:rPr>
                <w:rFonts w:asciiTheme="minorHAnsi" w:hAnsiTheme="minorHAnsi" w:cstheme="minorHAnsi"/>
                <w:sz w:val="24"/>
                <w:szCs w:val="24"/>
              </w:rPr>
            </w:pPr>
            <w:r w:rsidRPr="000C6AF2">
              <w:rPr>
                <w:rFonts w:asciiTheme="minorHAnsi" w:hAnsiTheme="minorHAnsi" w:cstheme="minorHAnsi"/>
                <w:sz w:val="24"/>
                <w:szCs w:val="24"/>
              </w:rPr>
              <w:t>2026 m. I</w:t>
            </w:r>
            <w:r w:rsidR="00754EC0">
              <w:rPr>
                <w:rFonts w:asciiTheme="minorHAnsi" w:hAnsiTheme="minorHAnsi" w:cstheme="minorHAnsi"/>
                <w:sz w:val="24"/>
                <w:szCs w:val="24"/>
              </w:rPr>
              <w:t>II</w:t>
            </w:r>
            <w:r w:rsidRPr="000C6AF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FD4BD9">
            <w:pPr>
              <w:spacing w:after="0"/>
              <w:jc w:val="both"/>
              <w:rPr>
                <w:rFonts w:asciiTheme="minorHAnsi" w:hAnsiTheme="minorHAnsi" w:cstheme="minorHAnsi"/>
                <w:sz w:val="24"/>
                <w:szCs w:val="24"/>
              </w:rPr>
            </w:pPr>
          </w:p>
        </w:tc>
        <w:tc>
          <w:tcPr>
            <w:tcW w:w="1843" w:type="dxa"/>
          </w:tcPr>
          <w:p w14:paraId="09205287" w14:textId="77777777" w:rsidR="00662D5D" w:rsidRPr="00C80BD0" w:rsidRDefault="00662D5D" w:rsidP="00FD4BD9">
            <w:pPr>
              <w:spacing w:after="0"/>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FD4BD9">
            <w:pPr>
              <w:spacing w:after="0"/>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5E5B2D47" w:rsidR="00662D5D" w:rsidRPr="00930372" w:rsidRDefault="005E3744" w:rsidP="00FD4BD9">
            <w:pPr>
              <w:spacing w:after="0"/>
              <w:jc w:val="center"/>
              <w:rPr>
                <w:rFonts w:asciiTheme="minorHAnsi" w:hAnsiTheme="minorHAnsi" w:cstheme="minorHAnsi"/>
                <w:sz w:val="24"/>
                <w:szCs w:val="24"/>
              </w:rPr>
            </w:pPr>
            <w:r w:rsidRPr="000C6AF2">
              <w:rPr>
                <w:rFonts w:asciiTheme="minorHAnsi" w:hAnsiTheme="minorHAnsi" w:cstheme="minorHAnsi"/>
                <w:sz w:val="24"/>
                <w:szCs w:val="24"/>
              </w:rPr>
              <w:t>2026 m. I</w:t>
            </w:r>
            <w:r w:rsidR="00754EC0">
              <w:rPr>
                <w:rFonts w:asciiTheme="minorHAnsi" w:hAnsiTheme="minorHAnsi" w:cstheme="minorHAnsi"/>
                <w:sz w:val="24"/>
                <w:szCs w:val="24"/>
              </w:rPr>
              <w:t>II</w:t>
            </w:r>
            <w:r w:rsidRPr="000C6AF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FD4BD9">
            <w:pPr>
              <w:spacing w:after="0"/>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FD4BD9">
            <w:pPr>
              <w:spacing w:after="0"/>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0C6AF2" w:rsidRDefault="00662D5D" w:rsidP="00FD4BD9">
            <w:pPr>
              <w:spacing w:after="0"/>
              <w:jc w:val="both"/>
              <w:rPr>
                <w:rFonts w:asciiTheme="minorHAnsi" w:hAnsiTheme="minorHAnsi" w:cstheme="minorHAnsi"/>
                <w:sz w:val="24"/>
                <w:szCs w:val="24"/>
              </w:rPr>
            </w:pPr>
            <w:r w:rsidRPr="000C6AF2">
              <w:rPr>
                <w:rFonts w:asciiTheme="minorHAnsi" w:hAnsiTheme="minorHAnsi" w:cstheme="minorHAnsi"/>
                <w:sz w:val="24"/>
                <w:szCs w:val="24"/>
              </w:rPr>
              <w:t>Parengiami konkretūs sprendiniai, nustatant privalomu</w:t>
            </w:r>
            <w:r w:rsidR="008E3E26" w:rsidRPr="000C6AF2">
              <w:rPr>
                <w:rFonts w:asciiTheme="minorHAnsi" w:hAnsiTheme="minorHAnsi" w:cstheme="minorHAnsi"/>
                <w:sz w:val="24"/>
                <w:szCs w:val="24"/>
              </w:rPr>
              <w:t>osiu</w:t>
            </w:r>
            <w:r w:rsidRPr="000C6AF2">
              <w:rPr>
                <w:rFonts w:asciiTheme="minorHAnsi" w:hAnsiTheme="minorHAnsi" w:cstheme="minorHAnsi"/>
                <w:sz w:val="24"/>
                <w:szCs w:val="24"/>
              </w:rPr>
              <w:t xml:space="preserve">s teritorijos naudojimo reglamentus: </w:t>
            </w:r>
            <w:r w:rsidR="00217081" w:rsidRPr="000C6AF2">
              <w:rPr>
                <w:rFonts w:asciiTheme="minorHAnsi" w:hAnsiTheme="minorHAnsi" w:cstheme="minorHAnsi"/>
                <w:sz w:val="24"/>
                <w:szCs w:val="24"/>
              </w:rPr>
              <w:t>nustatomas</w:t>
            </w:r>
            <w:r w:rsidR="008E3E26" w:rsidRPr="000C6AF2">
              <w:rPr>
                <w:rFonts w:asciiTheme="minorHAnsi" w:hAnsiTheme="minorHAnsi" w:cstheme="minorHAnsi"/>
                <w:sz w:val="24"/>
                <w:szCs w:val="24"/>
              </w:rPr>
              <w:t xml:space="preserve"> (-i)</w:t>
            </w:r>
            <w:r w:rsidRPr="000C6AF2">
              <w:rPr>
                <w:rFonts w:asciiTheme="minorHAnsi" w:hAnsiTheme="minorHAnsi" w:cstheme="minorHAnsi"/>
                <w:sz w:val="24"/>
                <w:szCs w:val="24"/>
              </w:rPr>
              <w:t xml:space="preserve"> </w:t>
            </w:r>
            <w:r w:rsidR="00217081" w:rsidRPr="000C6AF2">
              <w:rPr>
                <w:rFonts w:asciiTheme="minorHAnsi" w:hAnsiTheme="minorHAnsi" w:cstheme="minorHAnsi"/>
                <w:sz w:val="24"/>
                <w:szCs w:val="24"/>
              </w:rPr>
              <w:t>teritorijos naudojimo būdas</w:t>
            </w:r>
            <w:r w:rsidR="001950A0" w:rsidRPr="000C6AF2">
              <w:rPr>
                <w:rFonts w:asciiTheme="minorHAnsi" w:hAnsiTheme="minorHAnsi" w:cstheme="minorHAnsi"/>
                <w:sz w:val="24"/>
                <w:szCs w:val="24"/>
              </w:rPr>
              <w:t xml:space="preserve"> (-</w:t>
            </w:r>
            <w:r w:rsidR="008E3E26" w:rsidRPr="000C6AF2">
              <w:rPr>
                <w:rFonts w:asciiTheme="minorHAnsi" w:hAnsiTheme="minorHAnsi" w:cstheme="minorHAnsi"/>
                <w:sz w:val="24"/>
                <w:szCs w:val="24"/>
              </w:rPr>
              <w:t>ai</w:t>
            </w:r>
            <w:r w:rsidR="00217081" w:rsidRPr="000C6AF2">
              <w:rPr>
                <w:rFonts w:asciiTheme="minorHAnsi" w:hAnsiTheme="minorHAnsi" w:cstheme="minorHAnsi"/>
                <w:sz w:val="24"/>
                <w:szCs w:val="24"/>
              </w:rPr>
              <w:t>), numatomos</w:t>
            </w:r>
            <w:r w:rsidRPr="000C6AF2">
              <w:rPr>
                <w:rFonts w:asciiTheme="minorHAnsi" w:hAnsiTheme="minorHAnsi" w:cstheme="minorHAnsi"/>
                <w:sz w:val="24"/>
                <w:szCs w:val="24"/>
              </w:rPr>
              <w:t xml:space="preserve"> </w:t>
            </w:r>
            <w:r w:rsidRPr="000C6AF2">
              <w:rPr>
                <w:rFonts w:asciiTheme="minorHAnsi" w:hAnsiTheme="minorHAnsi" w:cstheme="minorHAnsi"/>
                <w:sz w:val="24"/>
                <w:szCs w:val="24"/>
              </w:rPr>
              <w:lastRenderedPageBreak/>
              <w:t>teritorijo</w:t>
            </w:r>
            <w:r w:rsidR="00217081" w:rsidRPr="000C6AF2">
              <w:rPr>
                <w:rFonts w:asciiTheme="minorHAnsi" w:hAnsiTheme="minorHAnsi" w:cstheme="minorHAnsi"/>
                <w:sz w:val="24"/>
                <w:szCs w:val="24"/>
              </w:rPr>
              <w:t>s naudojimo ir apsaugos priemonė</w:t>
            </w:r>
            <w:r w:rsidRPr="000C6AF2">
              <w:rPr>
                <w:rFonts w:asciiTheme="minorHAnsi" w:hAnsiTheme="minorHAnsi" w:cstheme="minorHAnsi"/>
                <w:sz w:val="24"/>
                <w:szCs w:val="24"/>
              </w:rPr>
              <w:t>s, statyb</w:t>
            </w:r>
            <w:r w:rsidR="00217081" w:rsidRPr="000C6AF2">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6B0D33DD" w:rsidR="00662D5D" w:rsidRPr="000C6AF2" w:rsidRDefault="00E07154" w:rsidP="00FD4BD9">
            <w:pPr>
              <w:spacing w:after="0"/>
              <w:jc w:val="center"/>
              <w:rPr>
                <w:rFonts w:asciiTheme="minorHAnsi" w:hAnsiTheme="minorHAnsi" w:cstheme="minorHAnsi"/>
                <w:sz w:val="24"/>
                <w:szCs w:val="24"/>
              </w:rPr>
            </w:pPr>
            <w:r w:rsidRPr="000C6AF2">
              <w:rPr>
                <w:rFonts w:asciiTheme="minorHAnsi" w:hAnsiTheme="minorHAnsi" w:cstheme="minorHAnsi"/>
                <w:sz w:val="24"/>
                <w:szCs w:val="24"/>
              </w:rPr>
              <w:lastRenderedPageBreak/>
              <w:t>202</w:t>
            </w:r>
            <w:r w:rsidR="00930372" w:rsidRPr="000C6AF2">
              <w:rPr>
                <w:rFonts w:asciiTheme="minorHAnsi" w:hAnsiTheme="minorHAnsi" w:cstheme="minorHAnsi"/>
                <w:sz w:val="24"/>
                <w:szCs w:val="24"/>
              </w:rPr>
              <w:t>6</w:t>
            </w:r>
            <w:r w:rsidR="00662D5D" w:rsidRPr="000C6AF2">
              <w:rPr>
                <w:rFonts w:asciiTheme="minorHAnsi" w:hAnsiTheme="minorHAnsi" w:cstheme="minorHAnsi"/>
                <w:sz w:val="24"/>
                <w:szCs w:val="24"/>
              </w:rPr>
              <w:t> </w:t>
            </w:r>
            <w:r w:rsidRPr="000C6AF2">
              <w:rPr>
                <w:rFonts w:asciiTheme="minorHAnsi" w:hAnsiTheme="minorHAnsi" w:cstheme="minorHAnsi"/>
                <w:sz w:val="24"/>
                <w:szCs w:val="24"/>
              </w:rPr>
              <w:t>m. I</w:t>
            </w:r>
            <w:r w:rsidR="00754EC0">
              <w:rPr>
                <w:rFonts w:asciiTheme="minorHAnsi" w:hAnsiTheme="minorHAnsi" w:cstheme="minorHAnsi"/>
                <w:sz w:val="24"/>
                <w:szCs w:val="24"/>
              </w:rPr>
              <w:t>V</w:t>
            </w:r>
            <w:r w:rsidR="00662D5D" w:rsidRPr="000C6AF2">
              <w:rPr>
                <w:rFonts w:asciiTheme="minorHAnsi" w:hAnsiTheme="minorHAnsi" w:cstheme="minorHAnsi"/>
                <w:sz w:val="24"/>
                <w:szCs w:val="24"/>
              </w:rPr>
              <w:t> ketvirtis</w:t>
            </w:r>
          </w:p>
        </w:tc>
      </w:tr>
      <w:tr w:rsidR="00662D5D" w:rsidRPr="00BB71AE" w14:paraId="22C24F8C" w14:textId="77777777" w:rsidTr="00DD19FB">
        <w:trPr>
          <w:trHeight w:val="132"/>
        </w:trPr>
        <w:tc>
          <w:tcPr>
            <w:tcW w:w="1701" w:type="dxa"/>
            <w:vMerge w:val="restart"/>
          </w:tcPr>
          <w:p w14:paraId="4FB86BB3" w14:textId="77777777" w:rsidR="00662D5D" w:rsidRPr="00C80BD0" w:rsidRDefault="00662D5D" w:rsidP="00FD4BD9">
            <w:pPr>
              <w:spacing w:after="0"/>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FD4BD9">
            <w:pPr>
              <w:spacing w:after="0"/>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FD4BD9">
            <w:pPr>
              <w:spacing w:after="0"/>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27C3B2EC" w:rsidR="00662D5D" w:rsidRPr="00BB71AE" w:rsidRDefault="00E07154" w:rsidP="00FD4BD9">
            <w:pPr>
              <w:spacing w:after="0"/>
              <w:jc w:val="center"/>
              <w:rPr>
                <w:rFonts w:asciiTheme="minorHAnsi" w:hAnsiTheme="minorHAnsi" w:cstheme="minorHAnsi"/>
                <w:sz w:val="24"/>
                <w:szCs w:val="24"/>
                <w:highlight w:val="yellow"/>
              </w:rPr>
            </w:pPr>
            <w:r w:rsidRPr="000C6AF2">
              <w:rPr>
                <w:rFonts w:asciiTheme="minorHAnsi" w:hAnsiTheme="minorHAnsi" w:cstheme="minorHAnsi"/>
                <w:sz w:val="24"/>
                <w:szCs w:val="24"/>
              </w:rPr>
              <w:t>202</w:t>
            </w:r>
            <w:r w:rsidR="00930372" w:rsidRPr="000C6AF2">
              <w:rPr>
                <w:rFonts w:asciiTheme="minorHAnsi" w:hAnsiTheme="minorHAnsi" w:cstheme="minorHAnsi"/>
                <w:sz w:val="24"/>
                <w:szCs w:val="24"/>
              </w:rPr>
              <w:t>6</w:t>
            </w:r>
            <w:r w:rsidR="00662D5D" w:rsidRPr="000C6AF2">
              <w:rPr>
                <w:rFonts w:asciiTheme="minorHAnsi" w:hAnsiTheme="minorHAnsi" w:cstheme="minorHAnsi"/>
                <w:sz w:val="24"/>
                <w:szCs w:val="24"/>
              </w:rPr>
              <w:t> </w:t>
            </w:r>
            <w:r w:rsidR="00D9508B" w:rsidRPr="000C6AF2">
              <w:rPr>
                <w:rFonts w:asciiTheme="minorHAnsi" w:hAnsiTheme="minorHAnsi" w:cstheme="minorHAnsi"/>
                <w:sz w:val="24"/>
                <w:szCs w:val="24"/>
              </w:rPr>
              <w:t>m. I</w:t>
            </w:r>
            <w:r w:rsidR="00754EC0">
              <w:rPr>
                <w:rFonts w:asciiTheme="minorHAnsi" w:hAnsiTheme="minorHAnsi" w:cstheme="minorHAnsi"/>
                <w:sz w:val="24"/>
                <w:szCs w:val="24"/>
              </w:rPr>
              <w:t>V</w:t>
            </w:r>
            <w:r w:rsidR="00662D5D" w:rsidRPr="000C6AF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FD4BD9">
            <w:pPr>
              <w:spacing w:after="0"/>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FD4BD9">
            <w:pPr>
              <w:spacing w:after="0"/>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FD4BD9">
            <w:pPr>
              <w:spacing w:after="0"/>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2F147B79" w:rsidR="00662D5D" w:rsidRPr="00930372" w:rsidRDefault="00FB4BF8" w:rsidP="00FD4BD9">
            <w:pPr>
              <w:spacing w:after="0"/>
              <w:jc w:val="center"/>
              <w:rPr>
                <w:rFonts w:asciiTheme="minorHAnsi" w:hAnsiTheme="minorHAnsi" w:cstheme="minorHAnsi"/>
                <w:sz w:val="24"/>
                <w:szCs w:val="24"/>
              </w:rPr>
            </w:pPr>
            <w:r w:rsidRPr="000C6AF2">
              <w:rPr>
                <w:rFonts w:asciiTheme="minorHAnsi" w:hAnsiTheme="minorHAnsi" w:cstheme="minorHAnsi"/>
                <w:sz w:val="24"/>
                <w:szCs w:val="24"/>
              </w:rPr>
              <w:t>202</w:t>
            </w:r>
            <w:r w:rsidR="00754EC0">
              <w:rPr>
                <w:rFonts w:asciiTheme="minorHAnsi" w:hAnsiTheme="minorHAnsi" w:cstheme="minorHAnsi"/>
                <w:sz w:val="24"/>
                <w:szCs w:val="24"/>
              </w:rPr>
              <w:t>7</w:t>
            </w:r>
            <w:r w:rsidR="00662D5D" w:rsidRPr="000C6AF2">
              <w:rPr>
                <w:rFonts w:asciiTheme="minorHAnsi" w:hAnsiTheme="minorHAnsi" w:cstheme="minorHAnsi"/>
                <w:sz w:val="24"/>
                <w:szCs w:val="24"/>
              </w:rPr>
              <w:t> </w:t>
            </w:r>
            <w:r w:rsidRPr="000C6AF2">
              <w:rPr>
                <w:rFonts w:asciiTheme="minorHAnsi" w:hAnsiTheme="minorHAnsi" w:cstheme="minorHAnsi"/>
                <w:sz w:val="24"/>
                <w:szCs w:val="24"/>
              </w:rPr>
              <w:t xml:space="preserve">m. </w:t>
            </w:r>
            <w:r w:rsidR="00F425F7" w:rsidRPr="000C6AF2">
              <w:rPr>
                <w:rFonts w:asciiTheme="minorHAnsi" w:hAnsiTheme="minorHAnsi" w:cstheme="minorHAnsi"/>
                <w:sz w:val="24"/>
                <w:szCs w:val="24"/>
              </w:rPr>
              <w:t xml:space="preserve"> </w:t>
            </w:r>
            <w:r w:rsidR="005E3744">
              <w:rPr>
                <w:rFonts w:asciiTheme="minorHAnsi" w:hAnsiTheme="minorHAnsi" w:cstheme="minorHAnsi"/>
                <w:sz w:val="24"/>
                <w:szCs w:val="24"/>
              </w:rPr>
              <w:t>I</w:t>
            </w:r>
            <w:r w:rsidR="001950A0" w:rsidRPr="000C6AF2">
              <w:rPr>
                <w:rFonts w:asciiTheme="minorHAnsi" w:hAnsiTheme="minorHAnsi" w:cstheme="minorHAnsi"/>
                <w:sz w:val="24"/>
                <w:szCs w:val="24"/>
              </w:rPr>
              <w:t> </w:t>
            </w:r>
            <w:r w:rsidR="00662D5D" w:rsidRPr="000C6AF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1C1D" w14:textId="77777777" w:rsidR="00134FE2" w:rsidRDefault="00134FE2" w:rsidP="002E5395">
      <w:pPr>
        <w:spacing w:after="0" w:line="240" w:lineRule="auto"/>
      </w:pPr>
      <w:r>
        <w:separator/>
      </w:r>
    </w:p>
  </w:endnote>
  <w:endnote w:type="continuationSeparator" w:id="0">
    <w:p w14:paraId="37E71C4D" w14:textId="77777777" w:rsidR="00134FE2" w:rsidRDefault="00134FE2"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5D3C" w14:textId="77777777" w:rsidR="00134FE2" w:rsidRDefault="00134FE2" w:rsidP="002E5395">
      <w:pPr>
        <w:spacing w:after="0" w:line="240" w:lineRule="auto"/>
      </w:pPr>
      <w:r>
        <w:separator/>
      </w:r>
    </w:p>
  </w:footnote>
  <w:footnote w:type="continuationSeparator" w:id="0">
    <w:p w14:paraId="64595CDF" w14:textId="77777777" w:rsidR="00134FE2" w:rsidRDefault="00134FE2"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29321"/>
      <w:docPartObj>
        <w:docPartGallery w:val="Page Numbers (Top of Page)"/>
        <w:docPartUnique/>
      </w:docPartObj>
    </w:sdtPr>
    <w:sdtContent>
      <w:p w14:paraId="50977E83" w14:textId="77D5AA39" w:rsidR="002E5395" w:rsidRDefault="002E5395">
        <w:pPr>
          <w:pStyle w:val="Antrats"/>
          <w:jc w:val="center"/>
        </w:pPr>
        <w:r>
          <w:fldChar w:fldCharType="begin"/>
        </w:r>
        <w:r>
          <w:instrText>PAGE   \* MERGEFORMAT</w:instrText>
        </w:r>
        <w:r>
          <w:fldChar w:fldCharType="separate"/>
        </w:r>
        <w:r w:rsidR="001950A0" w:rsidRPr="001950A0">
          <w:rPr>
            <w:noProof/>
            <w:lang w:val="lt-LT"/>
          </w:rPr>
          <w:t>3</w:t>
        </w:r>
        <w: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975336961">
    <w:abstractNumId w:val="1"/>
  </w:num>
  <w:num w:numId="2" w16cid:durableId="120390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FD"/>
    <w:rsid w:val="000437D8"/>
    <w:rsid w:val="00046A9B"/>
    <w:rsid w:val="000669E6"/>
    <w:rsid w:val="00084F0A"/>
    <w:rsid w:val="00085D21"/>
    <w:rsid w:val="0009643D"/>
    <w:rsid w:val="000C1F2A"/>
    <w:rsid w:val="000C6AF2"/>
    <w:rsid w:val="00110B98"/>
    <w:rsid w:val="001120E3"/>
    <w:rsid w:val="00133285"/>
    <w:rsid w:val="00134FE2"/>
    <w:rsid w:val="00144C9C"/>
    <w:rsid w:val="001603FC"/>
    <w:rsid w:val="00175BE9"/>
    <w:rsid w:val="001950A0"/>
    <w:rsid w:val="001A4634"/>
    <w:rsid w:val="001A53D1"/>
    <w:rsid w:val="001B07DF"/>
    <w:rsid w:val="001B2A6D"/>
    <w:rsid w:val="001B4914"/>
    <w:rsid w:val="001B496F"/>
    <w:rsid w:val="001B4EA8"/>
    <w:rsid w:val="001B6B74"/>
    <w:rsid w:val="001D32A0"/>
    <w:rsid w:val="001D59A5"/>
    <w:rsid w:val="001F144E"/>
    <w:rsid w:val="001F50B3"/>
    <w:rsid w:val="001F7C8F"/>
    <w:rsid w:val="00201540"/>
    <w:rsid w:val="00210029"/>
    <w:rsid w:val="00217081"/>
    <w:rsid w:val="00231A09"/>
    <w:rsid w:val="002449FD"/>
    <w:rsid w:val="002614AD"/>
    <w:rsid w:val="00273011"/>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341E9"/>
    <w:rsid w:val="00366F28"/>
    <w:rsid w:val="003746C3"/>
    <w:rsid w:val="003B3631"/>
    <w:rsid w:val="003B5CD3"/>
    <w:rsid w:val="003B62FE"/>
    <w:rsid w:val="003D6CAA"/>
    <w:rsid w:val="003F0107"/>
    <w:rsid w:val="00402F68"/>
    <w:rsid w:val="004033DF"/>
    <w:rsid w:val="00405388"/>
    <w:rsid w:val="004145F0"/>
    <w:rsid w:val="00417DCA"/>
    <w:rsid w:val="00423237"/>
    <w:rsid w:val="00430FF3"/>
    <w:rsid w:val="0044087F"/>
    <w:rsid w:val="00465307"/>
    <w:rsid w:val="00470909"/>
    <w:rsid w:val="00476E78"/>
    <w:rsid w:val="0049452A"/>
    <w:rsid w:val="004952EA"/>
    <w:rsid w:val="004A79CD"/>
    <w:rsid w:val="004C22E2"/>
    <w:rsid w:val="004C6613"/>
    <w:rsid w:val="004D00EB"/>
    <w:rsid w:val="004D6CD4"/>
    <w:rsid w:val="004E3503"/>
    <w:rsid w:val="00506ED7"/>
    <w:rsid w:val="00532C4C"/>
    <w:rsid w:val="00541623"/>
    <w:rsid w:val="00544913"/>
    <w:rsid w:val="00556FF6"/>
    <w:rsid w:val="0056688F"/>
    <w:rsid w:val="00566CD5"/>
    <w:rsid w:val="00582AD6"/>
    <w:rsid w:val="00586A19"/>
    <w:rsid w:val="00587425"/>
    <w:rsid w:val="0059082D"/>
    <w:rsid w:val="00596BDE"/>
    <w:rsid w:val="005A3B7C"/>
    <w:rsid w:val="005A6A21"/>
    <w:rsid w:val="005C7431"/>
    <w:rsid w:val="005D2FE0"/>
    <w:rsid w:val="005E2271"/>
    <w:rsid w:val="005E3744"/>
    <w:rsid w:val="005E6AA3"/>
    <w:rsid w:val="00603AC4"/>
    <w:rsid w:val="006136A1"/>
    <w:rsid w:val="00641ABB"/>
    <w:rsid w:val="006625EA"/>
    <w:rsid w:val="00662D5D"/>
    <w:rsid w:val="00671EE4"/>
    <w:rsid w:val="00677101"/>
    <w:rsid w:val="00681624"/>
    <w:rsid w:val="00692975"/>
    <w:rsid w:val="006949AB"/>
    <w:rsid w:val="006A24C3"/>
    <w:rsid w:val="006B2348"/>
    <w:rsid w:val="006B5FDF"/>
    <w:rsid w:val="006B70A7"/>
    <w:rsid w:val="006C3D49"/>
    <w:rsid w:val="006E20D4"/>
    <w:rsid w:val="006F47EB"/>
    <w:rsid w:val="00700FA3"/>
    <w:rsid w:val="007078A2"/>
    <w:rsid w:val="0075231F"/>
    <w:rsid w:val="00754B05"/>
    <w:rsid w:val="00754EC0"/>
    <w:rsid w:val="007578D2"/>
    <w:rsid w:val="007606A3"/>
    <w:rsid w:val="00783E64"/>
    <w:rsid w:val="00795F64"/>
    <w:rsid w:val="00797044"/>
    <w:rsid w:val="007A1742"/>
    <w:rsid w:val="007C010D"/>
    <w:rsid w:val="007D467A"/>
    <w:rsid w:val="007F0E0D"/>
    <w:rsid w:val="0080279A"/>
    <w:rsid w:val="008124C6"/>
    <w:rsid w:val="00817DBC"/>
    <w:rsid w:val="0082240E"/>
    <w:rsid w:val="00835EDA"/>
    <w:rsid w:val="00863851"/>
    <w:rsid w:val="008648CE"/>
    <w:rsid w:val="00865444"/>
    <w:rsid w:val="00865CEE"/>
    <w:rsid w:val="00870960"/>
    <w:rsid w:val="008763C5"/>
    <w:rsid w:val="00876B44"/>
    <w:rsid w:val="0088189E"/>
    <w:rsid w:val="008818F1"/>
    <w:rsid w:val="008827E1"/>
    <w:rsid w:val="00887891"/>
    <w:rsid w:val="00890654"/>
    <w:rsid w:val="00894DC5"/>
    <w:rsid w:val="008B0C2D"/>
    <w:rsid w:val="008C1862"/>
    <w:rsid w:val="008E3E26"/>
    <w:rsid w:val="00924D53"/>
    <w:rsid w:val="00927C39"/>
    <w:rsid w:val="00930372"/>
    <w:rsid w:val="00966362"/>
    <w:rsid w:val="00967A39"/>
    <w:rsid w:val="0097181D"/>
    <w:rsid w:val="00980816"/>
    <w:rsid w:val="00981F13"/>
    <w:rsid w:val="00990852"/>
    <w:rsid w:val="00992A1C"/>
    <w:rsid w:val="009A136D"/>
    <w:rsid w:val="009B127E"/>
    <w:rsid w:val="009F078D"/>
    <w:rsid w:val="00A10ADE"/>
    <w:rsid w:val="00A37A1C"/>
    <w:rsid w:val="00A44424"/>
    <w:rsid w:val="00A53921"/>
    <w:rsid w:val="00A607FB"/>
    <w:rsid w:val="00A63992"/>
    <w:rsid w:val="00A70B59"/>
    <w:rsid w:val="00A75873"/>
    <w:rsid w:val="00A935B7"/>
    <w:rsid w:val="00AB0494"/>
    <w:rsid w:val="00AC45FD"/>
    <w:rsid w:val="00AC679A"/>
    <w:rsid w:val="00AE2C3E"/>
    <w:rsid w:val="00AF3DD8"/>
    <w:rsid w:val="00AF520D"/>
    <w:rsid w:val="00B17534"/>
    <w:rsid w:val="00B20C30"/>
    <w:rsid w:val="00B229DE"/>
    <w:rsid w:val="00B547F7"/>
    <w:rsid w:val="00B65FE4"/>
    <w:rsid w:val="00B74CF0"/>
    <w:rsid w:val="00B822F9"/>
    <w:rsid w:val="00B9131B"/>
    <w:rsid w:val="00B96C0C"/>
    <w:rsid w:val="00BB3BA2"/>
    <w:rsid w:val="00BB71AE"/>
    <w:rsid w:val="00BC3886"/>
    <w:rsid w:val="00BC4287"/>
    <w:rsid w:val="00BC47A2"/>
    <w:rsid w:val="00BC6905"/>
    <w:rsid w:val="00BD0AF5"/>
    <w:rsid w:val="00BD1075"/>
    <w:rsid w:val="00BD1E5B"/>
    <w:rsid w:val="00BE101B"/>
    <w:rsid w:val="00BF54C7"/>
    <w:rsid w:val="00C044D4"/>
    <w:rsid w:val="00C05A3C"/>
    <w:rsid w:val="00C24C8F"/>
    <w:rsid w:val="00C4292F"/>
    <w:rsid w:val="00C43878"/>
    <w:rsid w:val="00C47BC8"/>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55FA"/>
    <w:rsid w:val="00D35DD3"/>
    <w:rsid w:val="00D7435E"/>
    <w:rsid w:val="00D7689A"/>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42624"/>
    <w:rsid w:val="00E67135"/>
    <w:rsid w:val="00E84181"/>
    <w:rsid w:val="00E901B0"/>
    <w:rsid w:val="00EA3F80"/>
    <w:rsid w:val="00EC4517"/>
    <w:rsid w:val="00EE1F5B"/>
    <w:rsid w:val="00EE35BC"/>
    <w:rsid w:val="00EE6196"/>
    <w:rsid w:val="00EF408B"/>
    <w:rsid w:val="00F01B3E"/>
    <w:rsid w:val="00F047E4"/>
    <w:rsid w:val="00F16CEF"/>
    <w:rsid w:val="00F2085C"/>
    <w:rsid w:val="00F425F7"/>
    <w:rsid w:val="00F61D2C"/>
    <w:rsid w:val="00F70C67"/>
    <w:rsid w:val="00F76681"/>
    <w:rsid w:val="00F83EC6"/>
    <w:rsid w:val="00F84A81"/>
    <w:rsid w:val="00F852AA"/>
    <w:rsid w:val="00FB4BF8"/>
    <w:rsid w:val="00FC4781"/>
    <w:rsid w:val="00FC6B78"/>
    <w:rsid w:val="00FD4BD9"/>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E4BD-588D-4BDE-B4E8-DF6F0C69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511</Words>
  <Characters>4028</Characters>
  <Application>Microsoft Office Word</Application>
  <DocSecurity>0</DocSecurity>
  <Lines>125</Lines>
  <Paragraphs>58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Vaida Venskūnė</cp:lastModifiedBy>
  <cp:revision>22</cp:revision>
  <cp:lastPrinted>2023-08-17T12:08:00Z</cp:lastPrinted>
  <dcterms:created xsi:type="dcterms:W3CDTF">2025-05-14T07:43:00Z</dcterms:created>
  <dcterms:modified xsi:type="dcterms:W3CDTF">2026-05-11T11:03:00Z</dcterms:modified>
</cp:coreProperties>
</file>