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7588" w14:textId="77777777" w:rsidR="002D7306" w:rsidRPr="00616EF4" w:rsidRDefault="002D7306" w:rsidP="00EB6DB6">
      <w:pPr>
        <w:spacing w:after="0" w:line="240" w:lineRule="auto"/>
        <w:ind w:left="11057"/>
        <w:jc w:val="both"/>
        <w:rPr>
          <w:rFonts w:ascii="Times New Roman" w:eastAsia="Times New Roman" w:hAnsi="Times New Roman" w:cs="Times New Roman"/>
          <w:sz w:val="24"/>
          <w:szCs w:val="20"/>
        </w:rPr>
      </w:pPr>
      <w:r w:rsidRPr="00616EF4">
        <w:rPr>
          <w:rFonts w:ascii="Times New Roman" w:eastAsia="Times New Roman" w:hAnsi="Times New Roman" w:cs="Times New Roman"/>
          <w:sz w:val="24"/>
          <w:szCs w:val="20"/>
        </w:rPr>
        <w:t xml:space="preserve">Kauno miesto savivaldybės </w:t>
      </w:r>
      <w:r w:rsidR="00B5478B">
        <w:rPr>
          <w:rFonts w:ascii="Times New Roman" w:eastAsia="Times New Roman" w:hAnsi="Times New Roman" w:cs="Times New Roman"/>
          <w:sz w:val="24"/>
          <w:szCs w:val="20"/>
        </w:rPr>
        <w:t>mero</w:t>
      </w:r>
      <w:r w:rsidR="006B183E">
        <w:rPr>
          <w:rFonts w:ascii="Times New Roman" w:eastAsia="Times New Roman" w:hAnsi="Times New Roman" w:cs="Times New Roman"/>
          <w:sz w:val="24"/>
          <w:szCs w:val="20"/>
        </w:rPr>
        <w:t xml:space="preserve"> </w:t>
      </w:r>
    </w:p>
    <w:p w14:paraId="4741B02F" w14:textId="77777777" w:rsidR="002D7306" w:rsidRPr="0068574B" w:rsidRDefault="0068574B" w:rsidP="00EB6DB6">
      <w:pPr>
        <w:spacing w:after="0" w:line="240" w:lineRule="auto"/>
        <w:ind w:left="11057"/>
        <w:jc w:val="both"/>
        <w:rPr>
          <w:rFonts w:ascii="Times New Roman" w:eastAsia="Times New Roman" w:hAnsi="Times New Roman" w:cs="Times New Roman"/>
          <w:sz w:val="24"/>
          <w:szCs w:val="24"/>
        </w:rPr>
      </w:pPr>
      <w:r w:rsidRPr="0068574B">
        <w:rPr>
          <w:rFonts w:ascii="Times New Roman" w:hAnsi="Times New Roman" w:cs="Times New Roman"/>
          <w:sz w:val="24"/>
          <w:szCs w:val="24"/>
        </w:rPr>
        <w:t>2023 m. gruodžio 29 d.</w:t>
      </w:r>
    </w:p>
    <w:p w14:paraId="3E10C361" w14:textId="56DF1882" w:rsidR="002D7306" w:rsidRPr="0068574B" w:rsidRDefault="00B5478B" w:rsidP="00EB6DB6">
      <w:pPr>
        <w:spacing w:after="0" w:line="240" w:lineRule="auto"/>
        <w:ind w:left="11057"/>
        <w:jc w:val="both"/>
        <w:rPr>
          <w:rFonts w:ascii="Times New Roman" w:eastAsia="Times New Roman" w:hAnsi="Times New Roman" w:cs="Times New Roman"/>
          <w:sz w:val="24"/>
          <w:szCs w:val="24"/>
        </w:rPr>
      </w:pPr>
      <w:r w:rsidRPr="0068574B">
        <w:rPr>
          <w:rFonts w:ascii="Times New Roman" w:eastAsia="Times New Roman" w:hAnsi="Times New Roman" w:cs="Times New Roman"/>
          <w:sz w:val="24"/>
          <w:szCs w:val="24"/>
        </w:rPr>
        <w:t xml:space="preserve">potvarkio Nr. </w:t>
      </w:r>
      <w:hyperlink r:id="rId7" w:history="1">
        <w:r w:rsidR="0068574B" w:rsidRPr="002F75C4">
          <w:rPr>
            <w:rStyle w:val="Hipersaitas"/>
            <w:rFonts w:ascii="Times New Roman" w:hAnsi="Times New Roman" w:cs="Times New Roman"/>
            <w:noProof/>
            <w:sz w:val="24"/>
            <w:szCs w:val="24"/>
          </w:rPr>
          <w:t>M-984</w:t>
        </w:r>
      </w:hyperlink>
    </w:p>
    <w:p w14:paraId="242444F2" w14:textId="77777777" w:rsidR="00406D39" w:rsidRPr="0002651F" w:rsidRDefault="002D7306" w:rsidP="00EB6DB6">
      <w:pPr>
        <w:spacing w:after="0" w:line="240" w:lineRule="auto"/>
        <w:ind w:left="11057"/>
        <w:rPr>
          <w:rFonts w:ascii="Times New Roman" w:eastAsia="Times New Roman" w:hAnsi="Times New Roman" w:cs="Times New Roman"/>
          <w:sz w:val="24"/>
          <w:szCs w:val="20"/>
        </w:rPr>
      </w:pPr>
      <w:r w:rsidRPr="0002651F">
        <w:rPr>
          <w:rFonts w:ascii="Times New Roman" w:eastAsia="Times New Roman" w:hAnsi="Times New Roman" w:cs="Times New Roman"/>
          <w:sz w:val="24"/>
          <w:szCs w:val="20"/>
        </w:rPr>
        <w:t>priedas</w:t>
      </w:r>
    </w:p>
    <w:p w14:paraId="1E75B030" w14:textId="77777777" w:rsidR="00C91E0A" w:rsidRDefault="00C91E0A" w:rsidP="00EB6DB6">
      <w:pPr>
        <w:spacing w:after="0" w:line="240" w:lineRule="auto"/>
        <w:rPr>
          <w:rFonts w:ascii="Times New Roman" w:hAnsi="Times New Roman" w:cs="Times New Roman"/>
          <w:b/>
          <w:caps/>
          <w:sz w:val="24"/>
          <w:szCs w:val="24"/>
        </w:rPr>
      </w:pPr>
    </w:p>
    <w:p w14:paraId="23F4E4BA" w14:textId="77777777" w:rsidR="00A85202" w:rsidRDefault="00B5478B" w:rsidP="00EB6DB6">
      <w:pPr>
        <w:spacing w:after="0" w:line="240" w:lineRule="auto"/>
        <w:jc w:val="center"/>
        <w:rPr>
          <w:rFonts w:ascii="Times New Roman" w:hAnsi="Times New Roman" w:cs="Times New Roman"/>
          <w:b/>
          <w:caps/>
          <w:sz w:val="24"/>
          <w:szCs w:val="24"/>
        </w:rPr>
      </w:pPr>
      <w:r w:rsidRPr="00B5478B">
        <w:rPr>
          <w:rFonts w:ascii="Times New Roman" w:hAnsi="Times New Roman" w:cs="Times New Roman"/>
          <w:b/>
          <w:caps/>
          <w:sz w:val="24"/>
          <w:szCs w:val="24"/>
        </w:rPr>
        <w:t xml:space="preserve">VEIKLOS RODIKLIAI IR (ARBA) NUMATYTOS </w:t>
      </w:r>
      <w:r w:rsidRPr="00C72630">
        <w:rPr>
          <w:rFonts w:ascii="Times New Roman" w:hAnsi="Times New Roman" w:cs="Times New Roman"/>
          <w:b/>
          <w:caps/>
          <w:sz w:val="24"/>
          <w:szCs w:val="24"/>
        </w:rPr>
        <w:t xml:space="preserve">UŽDUOTYS </w:t>
      </w:r>
      <w:r w:rsidR="00B37909" w:rsidRPr="00C72630">
        <w:rPr>
          <w:rFonts w:ascii="Times New Roman" w:hAnsi="Times New Roman" w:cs="Times New Roman"/>
          <w:b/>
          <w:caps/>
          <w:sz w:val="24"/>
          <w:szCs w:val="24"/>
        </w:rPr>
        <w:t xml:space="preserve">KAUNO MIESTO </w:t>
      </w:r>
      <w:r w:rsidR="00721DA4" w:rsidRPr="00C72630">
        <w:rPr>
          <w:rFonts w:ascii="Times New Roman" w:hAnsi="Times New Roman" w:cs="Times New Roman"/>
          <w:b/>
          <w:caps/>
          <w:sz w:val="24"/>
          <w:szCs w:val="24"/>
        </w:rPr>
        <w:t>Savivaldybės</w:t>
      </w:r>
      <w:r w:rsidR="00721DA4" w:rsidRPr="00616EF4">
        <w:rPr>
          <w:rFonts w:ascii="Times New Roman" w:hAnsi="Times New Roman" w:cs="Times New Roman"/>
          <w:b/>
          <w:caps/>
          <w:sz w:val="24"/>
          <w:szCs w:val="24"/>
        </w:rPr>
        <w:t xml:space="preserve"> </w:t>
      </w:r>
      <w:r w:rsidR="002E2E03">
        <w:rPr>
          <w:rFonts w:ascii="Times New Roman" w:hAnsi="Times New Roman" w:cs="Times New Roman"/>
          <w:b/>
          <w:caps/>
          <w:sz w:val="24"/>
          <w:szCs w:val="24"/>
        </w:rPr>
        <w:t>VALDOMŲ</w:t>
      </w:r>
      <w:r w:rsidR="00BF14FC" w:rsidRPr="00616EF4">
        <w:rPr>
          <w:rFonts w:ascii="Times New Roman" w:hAnsi="Times New Roman" w:cs="Times New Roman"/>
          <w:b/>
          <w:caps/>
          <w:sz w:val="24"/>
          <w:szCs w:val="24"/>
        </w:rPr>
        <w:t xml:space="preserve"> </w:t>
      </w:r>
      <w:r w:rsidR="00572E10">
        <w:rPr>
          <w:rFonts w:ascii="Times New Roman" w:hAnsi="Times New Roman" w:cs="Times New Roman"/>
          <w:b/>
          <w:caps/>
          <w:sz w:val="24"/>
          <w:szCs w:val="24"/>
        </w:rPr>
        <w:t>BENDROVIŲ</w:t>
      </w:r>
      <w:r w:rsidR="00721DA4" w:rsidRPr="00616EF4">
        <w:rPr>
          <w:rFonts w:ascii="Times New Roman" w:hAnsi="Times New Roman" w:cs="Times New Roman"/>
          <w:b/>
          <w:caps/>
          <w:sz w:val="24"/>
          <w:szCs w:val="24"/>
        </w:rPr>
        <w:t xml:space="preserve"> </w:t>
      </w:r>
      <w:r>
        <w:rPr>
          <w:rFonts w:ascii="Times New Roman" w:hAnsi="Times New Roman" w:cs="Times New Roman"/>
          <w:b/>
          <w:caps/>
          <w:sz w:val="24"/>
          <w:szCs w:val="24"/>
        </w:rPr>
        <w:t xml:space="preserve">Vadovams ir </w:t>
      </w:r>
      <w:r w:rsidR="00721DA4" w:rsidRPr="00616EF4">
        <w:rPr>
          <w:rFonts w:ascii="Times New Roman" w:hAnsi="Times New Roman" w:cs="Times New Roman"/>
          <w:b/>
          <w:caps/>
          <w:sz w:val="24"/>
          <w:szCs w:val="24"/>
        </w:rPr>
        <w:t>jų įvertinimas</w:t>
      </w:r>
      <w:r w:rsidR="006B183E">
        <w:rPr>
          <w:rFonts w:ascii="Times New Roman" w:hAnsi="Times New Roman" w:cs="Times New Roman"/>
          <w:b/>
          <w:caps/>
          <w:sz w:val="24"/>
          <w:szCs w:val="24"/>
        </w:rPr>
        <w:t xml:space="preserve"> </w:t>
      </w:r>
    </w:p>
    <w:p w14:paraId="04F76B65" w14:textId="77777777" w:rsidR="005E62E9" w:rsidRPr="00856F17" w:rsidRDefault="005E62E9" w:rsidP="006725C4">
      <w:pPr>
        <w:spacing w:after="0" w:line="360" w:lineRule="auto"/>
        <w:jc w:val="center"/>
        <w:rPr>
          <w:rFonts w:ascii="Times New Roman" w:hAnsi="Times New Roman" w:cs="Times New Roman"/>
          <w:b/>
          <w:caps/>
        </w:rPr>
      </w:pPr>
    </w:p>
    <w:tbl>
      <w:tblPr>
        <w:tblStyle w:val="Lentelstinklelis"/>
        <w:tblW w:w="14029" w:type="dxa"/>
        <w:jc w:val="center"/>
        <w:tblLayout w:type="fixed"/>
        <w:tblCellMar>
          <w:left w:w="0" w:type="dxa"/>
          <w:right w:w="0" w:type="dxa"/>
        </w:tblCellMar>
        <w:tblLook w:val="04A0" w:firstRow="1" w:lastRow="0" w:firstColumn="1" w:lastColumn="0" w:noHBand="0" w:noVBand="1"/>
      </w:tblPr>
      <w:tblGrid>
        <w:gridCol w:w="475"/>
        <w:gridCol w:w="1647"/>
        <w:gridCol w:w="9072"/>
        <w:gridCol w:w="1134"/>
        <w:gridCol w:w="1701"/>
      </w:tblGrid>
      <w:tr w:rsidR="002A033F" w:rsidRPr="006A16E2" w14:paraId="295AC230" w14:textId="77777777" w:rsidTr="00641926">
        <w:trPr>
          <w:tblHeader/>
          <w:jc w:val="center"/>
        </w:trPr>
        <w:tc>
          <w:tcPr>
            <w:tcW w:w="475" w:type="dxa"/>
            <w:vAlign w:val="center"/>
          </w:tcPr>
          <w:p w14:paraId="22DFC188" w14:textId="77777777" w:rsidR="002A033F" w:rsidRPr="006A16E2" w:rsidRDefault="002A033F" w:rsidP="002A033F">
            <w:pPr>
              <w:jc w:val="center"/>
              <w:rPr>
                <w:sz w:val="24"/>
                <w:szCs w:val="24"/>
              </w:rPr>
            </w:pPr>
            <w:r w:rsidRPr="006A16E2">
              <w:rPr>
                <w:sz w:val="24"/>
                <w:szCs w:val="24"/>
              </w:rPr>
              <w:t>Eil. Nr.</w:t>
            </w:r>
          </w:p>
        </w:tc>
        <w:tc>
          <w:tcPr>
            <w:tcW w:w="1647" w:type="dxa"/>
            <w:vAlign w:val="center"/>
          </w:tcPr>
          <w:p w14:paraId="7D104EF3" w14:textId="77777777" w:rsidR="002A033F" w:rsidRPr="006A16E2" w:rsidRDefault="00197B72" w:rsidP="00EB6DB6">
            <w:pPr>
              <w:jc w:val="center"/>
              <w:rPr>
                <w:sz w:val="24"/>
                <w:szCs w:val="24"/>
              </w:rPr>
            </w:pPr>
            <w:r>
              <w:rPr>
                <w:sz w:val="24"/>
                <w:szCs w:val="24"/>
              </w:rPr>
              <w:t>Kauno miesto s</w:t>
            </w:r>
            <w:r w:rsidR="002A033F" w:rsidRPr="006A16E2">
              <w:rPr>
                <w:sz w:val="24"/>
                <w:szCs w:val="24"/>
              </w:rPr>
              <w:t xml:space="preserve">avivaldybės valdomos </w:t>
            </w:r>
            <w:r w:rsidR="002A033F">
              <w:rPr>
                <w:sz w:val="24"/>
                <w:szCs w:val="24"/>
              </w:rPr>
              <w:t xml:space="preserve">bendrovės </w:t>
            </w:r>
            <w:r w:rsidR="002A033F" w:rsidRPr="006A16E2">
              <w:rPr>
                <w:sz w:val="24"/>
                <w:szCs w:val="24"/>
              </w:rPr>
              <w:t>pavadinimas</w:t>
            </w:r>
          </w:p>
        </w:tc>
        <w:tc>
          <w:tcPr>
            <w:tcW w:w="9072" w:type="dxa"/>
            <w:vAlign w:val="center"/>
          </w:tcPr>
          <w:p w14:paraId="75B1CA98" w14:textId="77777777" w:rsidR="006B183E" w:rsidRDefault="002A033F" w:rsidP="00EB6DB6">
            <w:pPr>
              <w:jc w:val="center"/>
              <w:rPr>
                <w:sz w:val="24"/>
                <w:szCs w:val="24"/>
              </w:rPr>
            </w:pPr>
            <w:r w:rsidRPr="006A16E2">
              <w:rPr>
                <w:sz w:val="24"/>
                <w:szCs w:val="24"/>
              </w:rPr>
              <w:t>Rodiklio pavadinimas</w:t>
            </w:r>
            <w:r w:rsidR="006B183E">
              <w:rPr>
                <w:sz w:val="24"/>
                <w:szCs w:val="24"/>
              </w:rPr>
              <w:t xml:space="preserve"> </w:t>
            </w:r>
          </w:p>
          <w:p w14:paraId="40B60F0C" w14:textId="77777777" w:rsidR="002A033F" w:rsidRPr="006B183E" w:rsidRDefault="002A033F" w:rsidP="00EB6DB6">
            <w:pPr>
              <w:jc w:val="center"/>
              <w:rPr>
                <w:sz w:val="24"/>
                <w:szCs w:val="24"/>
              </w:rPr>
            </w:pPr>
            <w:r w:rsidRPr="006B183E">
              <w:rPr>
                <w:sz w:val="24"/>
                <w:szCs w:val="24"/>
              </w:rPr>
              <w:t>(vartojamos sąvokos atitinka verslo apskaitos ar tarptautiniuose finansinės atskaitomybės standartuose vartojamas sąvokas)</w:t>
            </w:r>
          </w:p>
        </w:tc>
        <w:tc>
          <w:tcPr>
            <w:tcW w:w="1134" w:type="dxa"/>
            <w:vAlign w:val="center"/>
          </w:tcPr>
          <w:p w14:paraId="236C1382" w14:textId="77777777" w:rsidR="002A033F" w:rsidRPr="006A16E2" w:rsidRDefault="002A033F" w:rsidP="00EB6DB6">
            <w:pPr>
              <w:jc w:val="center"/>
              <w:rPr>
                <w:sz w:val="24"/>
                <w:szCs w:val="24"/>
              </w:rPr>
            </w:pPr>
            <w:r w:rsidRPr="006A16E2">
              <w:rPr>
                <w:sz w:val="24"/>
                <w:szCs w:val="24"/>
              </w:rPr>
              <w:t xml:space="preserve">Rodiklio </w:t>
            </w:r>
            <w:r>
              <w:rPr>
                <w:sz w:val="24"/>
                <w:szCs w:val="24"/>
              </w:rPr>
              <w:t>dydis</w:t>
            </w:r>
          </w:p>
        </w:tc>
        <w:tc>
          <w:tcPr>
            <w:tcW w:w="1701" w:type="dxa"/>
            <w:vAlign w:val="center"/>
          </w:tcPr>
          <w:p w14:paraId="04351508" w14:textId="77777777" w:rsidR="002A033F" w:rsidRDefault="002A033F" w:rsidP="00EB6DB6">
            <w:pPr>
              <w:jc w:val="center"/>
            </w:pPr>
            <w:r>
              <w:rPr>
                <w:sz w:val="24"/>
                <w:szCs w:val="24"/>
              </w:rPr>
              <w:t>Kintama dalis,</w:t>
            </w:r>
            <w:r>
              <w:t xml:space="preserve"> </w:t>
            </w:r>
          </w:p>
          <w:p w14:paraId="03748D3B" w14:textId="77777777" w:rsidR="002A033F" w:rsidRPr="006B183E" w:rsidRDefault="002A033F" w:rsidP="00EB6DB6">
            <w:pPr>
              <w:jc w:val="center"/>
              <w:rPr>
                <w:sz w:val="24"/>
                <w:szCs w:val="24"/>
              </w:rPr>
            </w:pPr>
            <w:r w:rsidRPr="006B183E">
              <w:rPr>
                <w:sz w:val="24"/>
                <w:szCs w:val="24"/>
              </w:rPr>
              <w:t>proc. nuo praėjusiais finansiniais metais išmokėtos pareiginės algos</w:t>
            </w:r>
          </w:p>
        </w:tc>
      </w:tr>
      <w:tr w:rsidR="00856F17" w:rsidRPr="006A16E2" w14:paraId="3FFED0BB" w14:textId="77777777" w:rsidTr="00641926">
        <w:trPr>
          <w:trHeight w:val="665"/>
          <w:jc w:val="center"/>
        </w:trPr>
        <w:tc>
          <w:tcPr>
            <w:tcW w:w="475" w:type="dxa"/>
            <w:vMerge w:val="restart"/>
          </w:tcPr>
          <w:p w14:paraId="19D8764B" w14:textId="77777777" w:rsidR="00856F17" w:rsidRPr="006A16E2" w:rsidRDefault="00856F17" w:rsidP="00A67451">
            <w:pPr>
              <w:jc w:val="center"/>
              <w:rPr>
                <w:sz w:val="24"/>
                <w:szCs w:val="24"/>
              </w:rPr>
            </w:pPr>
            <w:r w:rsidRPr="006A16E2">
              <w:rPr>
                <w:sz w:val="24"/>
                <w:szCs w:val="24"/>
              </w:rPr>
              <w:t>1.</w:t>
            </w:r>
          </w:p>
        </w:tc>
        <w:tc>
          <w:tcPr>
            <w:tcW w:w="1647" w:type="dxa"/>
            <w:vMerge w:val="restart"/>
          </w:tcPr>
          <w:p w14:paraId="203EE055" w14:textId="77777777" w:rsidR="00856F17" w:rsidRPr="006A16E2" w:rsidRDefault="00B37909" w:rsidP="00295E6D">
            <w:pPr>
              <w:jc w:val="center"/>
              <w:rPr>
                <w:sz w:val="24"/>
                <w:szCs w:val="24"/>
              </w:rPr>
            </w:pPr>
            <w:r w:rsidRPr="00C72630">
              <w:rPr>
                <w:sz w:val="24"/>
                <w:szCs w:val="24"/>
              </w:rPr>
              <w:t>Akcinė bendrovė</w:t>
            </w:r>
            <w:r w:rsidR="00856F17" w:rsidRPr="006A16E2">
              <w:rPr>
                <w:sz w:val="24"/>
                <w:szCs w:val="24"/>
              </w:rPr>
              <w:t xml:space="preserve"> „Kauno energija“</w:t>
            </w:r>
          </w:p>
        </w:tc>
        <w:tc>
          <w:tcPr>
            <w:tcW w:w="9072" w:type="dxa"/>
            <w:vMerge w:val="restart"/>
            <w:vAlign w:val="center"/>
          </w:tcPr>
          <w:p w14:paraId="2730E27D" w14:textId="77777777" w:rsidR="00856F17" w:rsidRPr="009B2C03" w:rsidRDefault="00856F17" w:rsidP="00260E4B">
            <w:pPr>
              <w:ind w:left="102" w:right="278" w:firstLine="180"/>
              <w:jc w:val="center"/>
              <w:rPr>
                <w:sz w:val="24"/>
                <w:szCs w:val="24"/>
              </w:rPr>
            </w:pPr>
            <w:r w:rsidRPr="009B2C03">
              <w:rPr>
                <w:sz w:val="24"/>
                <w:szCs w:val="24"/>
              </w:rPr>
              <w:t>Daugiabučių namų, kurių gyventojų kar</w:t>
            </w:r>
            <w:r w:rsidR="00CD15ED">
              <w:rPr>
                <w:sz w:val="24"/>
                <w:szCs w:val="24"/>
              </w:rPr>
              <w:t>što vandens tiekėja</w:t>
            </w:r>
            <w:r w:rsidR="006A16E2" w:rsidRPr="009B2C03">
              <w:rPr>
                <w:sz w:val="24"/>
                <w:szCs w:val="24"/>
              </w:rPr>
              <w:t xml:space="preserve"> </w:t>
            </w:r>
            <w:r w:rsidR="00CD15ED">
              <w:rPr>
                <w:sz w:val="24"/>
                <w:szCs w:val="24"/>
              </w:rPr>
              <w:t xml:space="preserve">finansiniais metais </w:t>
            </w:r>
            <w:r w:rsidR="006B336B">
              <w:rPr>
                <w:sz w:val="24"/>
                <w:szCs w:val="24"/>
              </w:rPr>
              <w:t>tapo akcinė bendrovė</w:t>
            </w:r>
            <w:r w:rsidRPr="009B2C03">
              <w:rPr>
                <w:sz w:val="24"/>
                <w:szCs w:val="24"/>
              </w:rPr>
              <w:t xml:space="preserve"> „Kauno energija“, skaičius*</w:t>
            </w:r>
            <w:r w:rsidR="006B183E">
              <w:rPr>
                <w:sz w:val="24"/>
                <w:szCs w:val="24"/>
              </w:rPr>
              <w:t xml:space="preserve"> </w:t>
            </w:r>
          </w:p>
          <w:p w14:paraId="196DA570" w14:textId="77777777" w:rsidR="00856F17" w:rsidRPr="006B183E" w:rsidRDefault="00856F17" w:rsidP="00641926">
            <w:pPr>
              <w:ind w:left="282" w:right="278" w:firstLine="425"/>
              <w:jc w:val="both"/>
              <w:rPr>
                <w:sz w:val="24"/>
                <w:szCs w:val="24"/>
              </w:rPr>
            </w:pPr>
            <w:r w:rsidRPr="006B183E">
              <w:rPr>
                <w:sz w:val="24"/>
                <w:szCs w:val="24"/>
              </w:rPr>
              <w:t>* Į skaičių įeina šie daugiabučiai namai:</w:t>
            </w:r>
            <w:r w:rsidR="006B183E">
              <w:rPr>
                <w:sz w:val="24"/>
                <w:szCs w:val="24"/>
              </w:rPr>
              <w:t xml:space="preserve"> </w:t>
            </w:r>
          </w:p>
          <w:p w14:paraId="1E706CDE" w14:textId="77777777" w:rsidR="00856F17" w:rsidRPr="006B183E" w:rsidRDefault="00641926" w:rsidP="00EB6DB6">
            <w:pPr>
              <w:pStyle w:val="Betarp"/>
              <w:ind w:left="140" w:right="278" w:firstLine="567"/>
              <w:jc w:val="both"/>
              <w:rPr>
                <w:sz w:val="24"/>
                <w:szCs w:val="24"/>
              </w:rPr>
            </w:pPr>
            <w:r>
              <w:rPr>
                <w:sz w:val="24"/>
                <w:szCs w:val="24"/>
              </w:rPr>
              <w:t>namai,</w:t>
            </w:r>
            <w:r w:rsidR="00856F17" w:rsidRPr="006B183E">
              <w:rPr>
                <w:sz w:val="24"/>
                <w:szCs w:val="24"/>
              </w:rPr>
              <w:t xml:space="preserve"> kurių gyventojai Lietuvos Respublikos šilumos ūkio įstatymo nustatyta tvarka pasirinko aprūpinimo karštu vandeniu būdą (centralizuotai paruošto karšto vandens arba šilumos karštam vandeniui ruošti pirkimas iš AB „Kauno energija“, kaip karšto vandens arba šilumos tiekėjo) ir šį pasirinkimą įformino teisės aktų nustatyta tvarka;</w:t>
            </w:r>
            <w:r w:rsidR="006B183E">
              <w:rPr>
                <w:sz w:val="24"/>
                <w:szCs w:val="24"/>
              </w:rPr>
              <w:t xml:space="preserve"> </w:t>
            </w:r>
          </w:p>
          <w:p w14:paraId="5A0D3672" w14:textId="77777777" w:rsidR="00856F17" w:rsidRPr="006B183E" w:rsidRDefault="00641926" w:rsidP="00EB6DB6">
            <w:pPr>
              <w:pStyle w:val="Betarp"/>
              <w:ind w:left="140" w:right="278" w:firstLine="567"/>
              <w:jc w:val="both"/>
              <w:rPr>
                <w:sz w:val="24"/>
                <w:szCs w:val="24"/>
              </w:rPr>
            </w:pPr>
            <w:r>
              <w:rPr>
                <w:sz w:val="24"/>
                <w:szCs w:val="24"/>
              </w:rPr>
              <w:t xml:space="preserve">namai, </w:t>
            </w:r>
            <w:r w:rsidR="00856F17" w:rsidRPr="006B183E">
              <w:rPr>
                <w:sz w:val="24"/>
                <w:szCs w:val="24"/>
              </w:rPr>
              <w:t>kurių gyventojai Šilumos ūkio įstatymo nustatyta tvarka ir terminais nepasirinko apsirūpinimo karštu vandeniu būdo arba karšto vandens tiekėjo;</w:t>
            </w:r>
            <w:r w:rsidR="006B183E">
              <w:rPr>
                <w:sz w:val="24"/>
                <w:szCs w:val="24"/>
              </w:rPr>
              <w:t xml:space="preserve"> </w:t>
            </w:r>
          </w:p>
          <w:p w14:paraId="47EE9D4A" w14:textId="77777777" w:rsidR="00856F17" w:rsidRPr="006B183E" w:rsidRDefault="00641926" w:rsidP="00EB6DB6">
            <w:pPr>
              <w:pStyle w:val="Betarp"/>
              <w:ind w:left="140" w:right="278" w:firstLine="567"/>
              <w:jc w:val="both"/>
              <w:rPr>
                <w:sz w:val="24"/>
                <w:szCs w:val="24"/>
              </w:rPr>
            </w:pPr>
            <w:r>
              <w:rPr>
                <w:sz w:val="24"/>
                <w:szCs w:val="24"/>
              </w:rPr>
              <w:t xml:space="preserve">namai, </w:t>
            </w:r>
            <w:r w:rsidR="00856F17" w:rsidRPr="006B183E">
              <w:rPr>
                <w:sz w:val="24"/>
                <w:szCs w:val="24"/>
              </w:rPr>
              <w:t>kurių gyventojai Šilumos ūkio įstatymo nustatyta tvarka pasirinko apsirūpinimo karštu vandeniu būdą, bet jo tinkamai neįgyvendino pagal galiojusių teisės aktų reikalavimus</w:t>
            </w:r>
            <w:r w:rsidR="006B183E">
              <w:rPr>
                <w:sz w:val="24"/>
                <w:szCs w:val="24"/>
              </w:rPr>
              <w:t xml:space="preserve"> </w:t>
            </w:r>
          </w:p>
          <w:p w14:paraId="2814EC9C" w14:textId="77777777" w:rsidR="00342714" w:rsidRPr="009B2C03" w:rsidRDefault="00342714" w:rsidP="00823E06">
            <w:pPr>
              <w:pStyle w:val="Betarp"/>
              <w:rPr>
                <w:sz w:val="18"/>
                <w:szCs w:val="18"/>
              </w:rPr>
            </w:pPr>
          </w:p>
        </w:tc>
        <w:tc>
          <w:tcPr>
            <w:tcW w:w="1134" w:type="dxa"/>
            <w:vAlign w:val="center"/>
          </w:tcPr>
          <w:p w14:paraId="45C5F683" w14:textId="77777777" w:rsidR="00856F17" w:rsidRPr="009B2C03" w:rsidRDefault="0069525D" w:rsidP="009B2C03">
            <w:pPr>
              <w:jc w:val="center"/>
              <w:rPr>
                <w:sz w:val="24"/>
                <w:szCs w:val="24"/>
              </w:rPr>
            </w:pPr>
            <w:r w:rsidRPr="009B2C03">
              <w:rPr>
                <w:sz w:val="24"/>
                <w:szCs w:val="24"/>
              </w:rPr>
              <w:t>&gt;</w:t>
            </w:r>
            <w:r w:rsidR="006A16E2" w:rsidRPr="009B2C03">
              <w:rPr>
                <w:sz w:val="24"/>
                <w:szCs w:val="24"/>
              </w:rPr>
              <w:t xml:space="preserve"> </w:t>
            </w:r>
            <w:r w:rsidRPr="009B2C03">
              <w:rPr>
                <w:sz w:val="24"/>
                <w:szCs w:val="24"/>
              </w:rPr>
              <w:t>3</w:t>
            </w:r>
            <w:r w:rsidR="009B2C03">
              <w:rPr>
                <w:sz w:val="24"/>
                <w:szCs w:val="24"/>
              </w:rPr>
              <w:t>30</w:t>
            </w:r>
          </w:p>
        </w:tc>
        <w:tc>
          <w:tcPr>
            <w:tcW w:w="1701" w:type="dxa"/>
            <w:vAlign w:val="center"/>
          </w:tcPr>
          <w:p w14:paraId="568ED143" w14:textId="77777777" w:rsidR="00856F17" w:rsidRPr="009B2C03" w:rsidRDefault="0069525D" w:rsidP="00856F17">
            <w:pPr>
              <w:jc w:val="center"/>
              <w:rPr>
                <w:sz w:val="24"/>
                <w:szCs w:val="24"/>
              </w:rPr>
            </w:pPr>
            <w:r w:rsidRPr="009B2C03">
              <w:rPr>
                <w:sz w:val="24"/>
                <w:szCs w:val="24"/>
              </w:rPr>
              <w:t>30</w:t>
            </w:r>
          </w:p>
        </w:tc>
      </w:tr>
      <w:tr w:rsidR="00856F17" w:rsidRPr="006A16E2" w14:paraId="681454CF" w14:textId="77777777" w:rsidTr="00641926">
        <w:trPr>
          <w:trHeight w:val="665"/>
          <w:jc w:val="center"/>
        </w:trPr>
        <w:tc>
          <w:tcPr>
            <w:tcW w:w="475" w:type="dxa"/>
            <w:vMerge/>
          </w:tcPr>
          <w:p w14:paraId="2D9A6429" w14:textId="77777777" w:rsidR="00856F17" w:rsidRPr="006A16E2" w:rsidRDefault="00856F17" w:rsidP="00A67451">
            <w:pPr>
              <w:jc w:val="center"/>
              <w:rPr>
                <w:sz w:val="24"/>
                <w:szCs w:val="24"/>
              </w:rPr>
            </w:pPr>
          </w:p>
        </w:tc>
        <w:tc>
          <w:tcPr>
            <w:tcW w:w="1647" w:type="dxa"/>
            <w:vMerge/>
          </w:tcPr>
          <w:p w14:paraId="170144A6" w14:textId="77777777" w:rsidR="00856F17" w:rsidRPr="006A16E2" w:rsidRDefault="00856F17" w:rsidP="00A67451">
            <w:pPr>
              <w:jc w:val="center"/>
              <w:rPr>
                <w:sz w:val="24"/>
                <w:szCs w:val="24"/>
              </w:rPr>
            </w:pPr>
          </w:p>
        </w:tc>
        <w:tc>
          <w:tcPr>
            <w:tcW w:w="9072" w:type="dxa"/>
            <w:vMerge/>
            <w:vAlign w:val="center"/>
          </w:tcPr>
          <w:p w14:paraId="26B36049" w14:textId="77777777" w:rsidR="00856F17" w:rsidRPr="009B2C03" w:rsidRDefault="00856F17" w:rsidP="00856F17">
            <w:pPr>
              <w:jc w:val="center"/>
              <w:rPr>
                <w:sz w:val="24"/>
                <w:szCs w:val="24"/>
              </w:rPr>
            </w:pPr>
          </w:p>
        </w:tc>
        <w:tc>
          <w:tcPr>
            <w:tcW w:w="1134" w:type="dxa"/>
            <w:vAlign w:val="center"/>
          </w:tcPr>
          <w:p w14:paraId="4A818B0A" w14:textId="77777777" w:rsidR="00856F17" w:rsidRPr="009B2C03" w:rsidRDefault="00F01633" w:rsidP="009B2C03">
            <w:pPr>
              <w:jc w:val="center"/>
              <w:rPr>
                <w:sz w:val="24"/>
                <w:szCs w:val="24"/>
              </w:rPr>
            </w:pPr>
            <w:r w:rsidRPr="009B2C03">
              <w:rPr>
                <w:sz w:val="24"/>
                <w:szCs w:val="24"/>
              </w:rPr>
              <w:t>&gt;</w:t>
            </w:r>
            <w:r w:rsidR="00856F17" w:rsidRPr="009B2C03">
              <w:rPr>
                <w:sz w:val="24"/>
                <w:szCs w:val="24"/>
              </w:rPr>
              <w:t xml:space="preserve"> </w:t>
            </w:r>
            <w:r w:rsidR="009B2C03">
              <w:rPr>
                <w:sz w:val="24"/>
                <w:szCs w:val="24"/>
              </w:rPr>
              <w:t>300</w:t>
            </w:r>
          </w:p>
        </w:tc>
        <w:tc>
          <w:tcPr>
            <w:tcW w:w="1701" w:type="dxa"/>
            <w:vAlign w:val="center"/>
          </w:tcPr>
          <w:p w14:paraId="66BFD326" w14:textId="77777777" w:rsidR="00856F17" w:rsidRPr="009B2C03" w:rsidRDefault="0069525D" w:rsidP="00856F17">
            <w:pPr>
              <w:jc w:val="center"/>
              <w:rPr>
                <w:sz w:val="24"/>
                <w:szCs w:val="24"/>
              </w:rPr>
            </w:pPr>
            <w:r w:rsidRPr="009B2C03">
              <w:rPr>
                <w:sz w:val="24"/>
                <w:szCs w:val="24"/>
              </w:rPr>
              <w:t>20</w:t>
            </w:r>
          </w:p>
        </w:tc>
      </w:tr>
      <w:tr w:rsidR="00856F17" w:rsidRPr="006A16E2" w14:paraId="4AEDAEA1" w14:textId="77777777" w:rsidTr="00641926">
        <w:trPr>
          <w:trHeight w:val="665"/>
          <w:jc w:val="center"/>
        </w:trPr>
        <w:tc>
          <w:tcPr>
            <w:tcW w:w="475" w:type="dxa"/>
            <w:vMerge/>
          </w:tcPr>
          <w:p w14:paraId="6F067AA3" w14:textId="77777777" w:rsidR="00856F17" w:rsidRPr="006A16E2" w:rsidRDefault="00856F17" w:rsidP="00A67451">
            <w:pPr>
              <w:jc w:val="center"/>
              <w:rPr>
                <w:sz w:val="24"/>
                <w:szCs w:val="24"/>
              </w:rPr>
            </w:pPr>
          </w:p>
        </w:tc>
        <w:tc>
          <w:tcPr>
            <w:tcW w:w="1647" w:type="dxa"/>
            <w:vMerge/>
          </w:tcPr>
          <w:p w14:paraId="669BBF91" w14:textId="77777777" w:rsidR="00856F17" w:rsidRPr="006A16E2" w:rsidRDefault="00856F17" w:rsidP="00A67451">
            <w:pPr>
              <w:jc w:val="center"/>
              <w:rPr>
                <w:sz w:val="24"/>
                <w:szCs w:val="24"/>
              </w:rPr>
            </w:pPr>
          </w:p>
        </w:tc>
        <w:tc>
          <w:tcPr>
            <w:tcW w:w="9072" w:type="dxa"/>
            <w:vMerge/>
            <w:vAlign w:val="center"/>
          </w:tcPr>
          <w:p w14:paraId="0010FD5D" w14:textId="77777777" w:rsidR="00856F17" w:rsidRPr="009B2C03" w:rsidRDefault="00856F17" w:rsidP="00856F17">
            <w:pPr>
              <w:jc w:val="center"/>
              <w:rPr>
                <w:sz w:val="24"/>
                <w:szCs w:val="24"/>
              </w:rPr>
            </w:pPr>
          </w:p>
        </w:tc>
        <w:tc>
          <w:tcPr>
            <w:tcW w:w="1134" w:type="dxa"/>
            <w:vAlign w:val="center"/>
          </w:tcPr>
          <w:p w14:paraId="26D48A8A" w14:textId="77777777" w:rsidR="00856F17" w:rsidRPr="009B2C03" w:rsidRDefault="00F01633" w:rsidP="00F01633">
            <w:pPr>
              <w:jc w:val="center"/>
              <w:rPr>
                <w:sz w:val="24"/>
                <w:szCs w:val="24"/>
              </w:rPr>
            </w:pPr>
            <w:r w:rsidRPr="009B2C03">
              <w:rPr>
                <w:sz w:val="24"/>
                <w:szCs w:val="24"/>
              </w:rPr>
              <w:t>&gt; 250</w:t>
            </w:r>
          </w:p>
        </w:tc>
        <w:tc>
          <w:tcPr>
            <w:tcW w:w="1701" w:type="dxa"/>
            <w:vAlign w:val="center"/>
          </w:tcPr>
          <w:p w14:paraId="42D39AFD" w14:textId="77777777" w:rsidR="00856F17" w:rsidRPr="009B2C03" w:rsidRDefault="0069525D" w:rsidP="00856F17">
            <w:pPr>
              <w:jc w:val="center"/>
              <w:rPr>
                <w:sz w:val="24"/>
                <w:szCs w:val="24"/>
              </w:rPr>
            </w:pPr>
            <w:r w:rsidRPr="009B2C03">
              <w:rPr>
                <w:sz w:val="24"/>
                <w:szCs w:val="24"/>
              </w:rPr>
              <w:t>10</w:t>
            </w:r>
          </w:p>
        </w:tc>
      </w:tr>
      <w:tr w:rsidR="00856F17" w:rsidRPr="006A16E2" w14:paraId="60C27952" w14:textId="77777777" w:rsidTr="00641926">
        <w:trPr>
          <w:trHeight w:val="666"/>
          <w:jc w:val="center"/>
        </w:trPr>
        <w:tc>
          <w:tcPr>
            <w:tcW w:w="475" w:type="dxa"/>
            <w:vMerge/>
          </w:tcPr>
          <w:p w14:paraId="1B5144B6" w14:textId="77777777" w:rsidR="00856F17" w:rsidRPr="006A16E2" w:rsidRDefault="00856F17" w:rsidP="00A67451">
            <w:pPr>
              <w:jc w:val="center"/>
              <w:rPr>
                <w:sz w:val="24"/>
                <w:szCs w:val="24"/>
              </w:rPr>
            </w:pPr>
          </w:p>
        </w:tc>
        <w:tc>
          <w:tcPr>
            <w:tcW w:w="1647" w:type="dxa"/>
            <w:vMerge/>
          </w:tcPr>
          <w:p w14:paraId="17C5B503" w14:textId="77777777" w:rsidR="00856F17" w:rsidRPr="006A16E2" w:rsidRDefault="00856F17" w:rsidP="00A67451">
            <w:pPr>
              <w:jc w:val="center"/>
              <w:rPr>
                <w:sz w:val="24"/>
                <w:szCs w:val="24"/>
              </w:rPr>
            </w:pPr>
          </w:p>
        </w:tc>
        <w:tc>
          <w:tcPr>
            <w:tcW w:w="9072" w:type="dxa"/>
            <w:vMerge/>
            <w:vAlign w:val="center"/>
          </w:tcPr>
          <w:p w14:paraId="16BE0517" w14:textId="77777777" w:rsidR="00856F17" w:rsidRPr="009B2C03" w:rsidRDefault="00856F17" w:rsidP="00856F17">
            <w:pPr>
              <w:jc w:val="center"/>
              <w:rPr>
                <w:sz w:val="24"/>
                <w:szCs w:val="24"/>
              </w:rPr>
            </w:pPr>
          </w:p>
        </w:tc>
        <w:tc>
          <w:tcPr>
            <w:tcW w:w="1134" w:type="dxa"/>
            <w:vAlign w:val="center"/>
          </w:tcPr>
          <w:p w14:paraId="12D60465" w14:textId="77777777" w:rsidR="00856F17" w:rsidRPr="009B2C03" w:rsidRDefault="00F01633" w:rsidP="00856F17">
            <w:pPr>
              <w:jc w:val="center"/>
              <w:rPr>
                <w:sz w:val="24"/>
                <w:szCs w:val="24"/>
              </w:rPr>
            </w:pPr>
            <w:r w:rsidRPr="009B2C03">
              <w:rPr>
                <w:sz w:val="24"/>
                <w:szCs w:val="24"/>
              </w:rPr>
              <w:t>≤</w:t>
            </w:r>
            <w:r w:rsidR="0069525D" w:rsidRPr="009B2C03">
              <w:rPr>
                <w:sz w:val="24"/>
                <w:szCs w:val="24"/>
              </w:rPr>
              <w:t xml:space="preserve"> 250</w:t>
            </w:r>
          </w:p>
        </w:tc>
        <w:tc>
          <w:tcPr>
            <w:tcW w:w="1701" w:type="dxa"/>
            <w:vAlign w:val="center"/>
          </w:tcPr>
          <w:p w14:paraId="377363A5" w14:textId="77777777" w:rsidR="00856F17" w:rsidRPr="009B2C03" w:rsidRDefault="0069525D" w:rsidP="00856F17">
            <w:pPr>
              <w:jc w:val="center"/>
              <w:rPr>
                <w:sz w:val="24"/>
                <w:szCs w:val="24"/>
              </w:rPr>
            </w:pPr>
            <w:r w:rsidRPr="009B2C03">
              <w:rPr>
                <w:sz w:val="24"/>
                <w:szCs w:val="24"/>
              </w:rPr>
              <w:t>0</w:t>
            </w:r>
          </w:p>
        </w:tc>
      </w:tr>
      <w:tr w:rsidR="00E27252" w:rsidRPr="006A16E2" w14:paraId="3F1045B8" w14:textId="77777777" w:rsidTr="00641926">
        <w:trPr>
          <w:trHeight w:val="453"/>
          <w:jc w:val="center"/>
        </w:trPr>
        <w:tc>
          <w:tcPr>
            <w:tcW w:w="475" w:type="dxa"/>
            <w:vMerge w:val="restart"/>
          </w:tcPr>
          <w:p w14:paraId="1FB52A77" w14:textId="77777777" w:rsidR="00E27252" w:rsidRPr="006A16E2" w:rsidRDefault="00E27252" w:rsidP="00A67451">
            <w:pPr>
              <w:jc w:val="center"/>
              <w:rPr>
                <w:sz w:val="24"/>
                <w:szCs w:val="24"/>
              </w:rPr>
            </w:pPr>
            <w:r w:rsidRPr="006A16E2">
              <w:rPr>
                <w:sz w:val="24"/>
                <w:szCs w:val="24"/>
              </w:rPr>
              <w:t>2.</w:t>
            </w:r>
          </w:p>
        </w:tc>
        <w:tc>
          <w:tcPr>
            <w:tcW w:w="1647" w:type="dxa"/>
            <w:vMerge w:val="restart"/>
          </w:tcPr>
          <w:p w14:paraId="042ACB62" w14:textId="77777777" w:rsidR="00E27252" w:rsidRPr="006A16E2" w:rsidRDefault="00B37909" w:rsidP="00295E6D">
            <w:pPr>
              <w:jc w:val="center"/>
              <w:rPr>
                <w:sz w:val="24"/>
                <w:szCs w:val="24"/>
              </w:rPr>
            </w:pPr>
            <w:r w:rsidRPr="00C72630">
              <w:rPr>
                <w:sz w:val="24"/>
                <w:szCs w:val="24"/>
              </w:rPr>
              <w:t>Uždaroji akcinė bendrovė</w:t>
            </w:r>
            <w:r w:rsidR="00E27252" w:rsidRPr="006A16E2">
              <w:rPr>
                <w:sz w:val="24"/>
                <w:szCs w:val="24"/>
              </w:rPr>
              <w:t xml:space="preserve"> „Kauno vandenys“</w:t>
            </w:r>
          </w:p>
        </w:tc>
        <w:tc>
          <w:tcPr>
            <w:tcW w:w="9072" w:type="dxa"/>
            <w:vMerge w:val="restart"/>
            <w:vAlign w:val="center"/>
          </w:tcPr>
          <w:p w14:paraId="78C93242" w14:textId="77777777" w:rsidR="00E27252" w:rsidRPr="00F14D8C" w:rsidRDefault="00E27252" w:rsidP="000F7984">
            <w:pPr>
              <w:spacing w:after="120"/>
              <w:jc w:val="center"/>
              <w:rPr>
                <w:sz w:val="24"/>
                <w:szCs w:val="24"/>
              </w:rPr>
            </w:pPr>
            <w:r w:rsidRPr="00F14D8C">
              <w:rPr>
                <w:sz w:val="24"/>
                <w:szCs w:val="24"/>
              </w:rPr>
              <w:t>Vandens nuostoliai vandentiekio infrastruktūroje (bendros vandens netektys)</w:t>
            </w:r>
            <w:r w:rsidR="00AB0C94">
              <w:rPr>
                <w:sz w:val="24"/>
                <w:szCs w:val="24"/>
              </w:rPr>
              <w:t xml:space="preserve"> finansiniais metais</w:t>
            </w:r>
            <w:r w:rsidRPr="00F14D8C">
              <w:rPr>
                <w:sz w:val="24"/>
                <w:szCs w:val="24"/>
              </w:rPr>
              <w:t>, proc.</w:t>
            </w:r>
            <w:r w:rsidR="00EB6DB6">
              <w:rPr>
                <w:sz w:val="24"/>
                <w:szCs w:val="24"/>
              </w:rPr>
              <w:t xml:space="preserve"> </w:t>
            </w:r>
          </w:p>
          <w:p w14:paraId="599A0F00" w14:textId="77777777" w:rsidR="00E27252" w:rsidRPr="00EA052D" w:rsidRDefault="00000000" w:rsidP="000F7984">
            <w:pPr>
              <w:jc w:val="center"/>
            </w:pPr>
            <m:oMathPara>
              <m:oMath>
                <m:f>
                  <m:fPr>
                    <m:ctrlPr>
                      <w:rPr>
                        <w:rFonts w:ascii="Cambria Math" w:hAnsi="Cambria Math"/>
                      </w:rPr>
                    </m:ctrlPr>
                  </m:fPr>
                  <m:num>
                    <m:r>
                      <m:rPr>
                        <m:sty m:val="p"/>
                      </m:rPr>
                      <w:rPr>
                        <w:rFonts w:ascii="Cambria Math" w:hAnsi="Cambria Math"/>
                      </w:rPr>
                      <m:t>Išgauto vandens kiekis -realizuoto vandens kiekis</m:t>
                    </m:r>
                  </m:num>
                  <m:den>
                    <m:r>
                      <m:rPr>
                        <m:sty m:val="p"/>
                      </m:rPr>
                      <w:rPr>
                        <w:rFonts w:ascii="Cambria Math" w:hAnsi="Cambria Math"/>
                      </w:rPr>
                      <m:t>Išgauto vandens kiekis</m:t>
                    </m:r>
                  </m:den>
                </m:f>
                <m:r>
                  <m:rPr>
                    <m:nor/>
                  </m:rPr>
                  <m:t>×100</m:t>
                </m:r>
              </m:oMath>
            </m:oMathPara>
          </w:p>
          <w:p w14:paraId="063E6B1D" w14:textId="77777777" w:rsidR="00E27252" w:rsidRPr="00F14D8C" w:rsidRDefault="00E27252" w:rsidP="000F7984">
            <w:pPr>
              <w:jc w:val="center"/>
              <w:rPr>
                <w:sz w:val="24"/>
                <w:szCs w:val="24"/>
              </w:rPr>
            </w:pPr>
          </w:p>
        </w:tc>
        <w:tc>
          <w:tcPr>
            <w:tcW w:w="1134" w:type="dxa"/>
            <w:vAlign w:val="center"/>
          </w:tcPr>
          <w:p w14:paraId="239FF188" w14:textId="77777777" w:rsidR="00E27252" w:rsidRPr="00F14D8C" w:rsidRDefault="00E27252" w:rsidP="00F14D8C">
            <w:pPr>
              <w:jc w:val="center"/>
              <w:rPr>
                <w:sz w:val="24"/>
                <w:szCs w:val="24"/>
              </w:rPr>
            </w:pPr>
            <w:r w:rsidRPr="00F14D8C">
              <w:rPr>
                <w:sz w:val="24"/>
                <w:szCs w:val="24"/>
              </w:rPr>
              <w:t xml:space="preserve">&lt; </w:t>
            </w:r>
            <w:r w:rsidR="00F14D8C">
              <w:rPr>
                <w:sz w:val="24"/>
                <w:szCs w:val="24"/>
              </w:rPr>
              <w:t>5</w:t>
            </w:r>
          </w:p>
        </w:tc>
        <w:tc>
          <w:tcPr>
            <w:tcW w:w="1701" w:type="dxa"/>
            <w:vAlign w:val="center"/>
          </w:tcPr>
          <w:p w14:paraId="4A01B883" w14:textId="77777777" w:rsidR="00E27252" w:rsidRPr="00F14D8C" w:rsidRDefault="00E27252" w:rsidP="000F7984">
            <w:pPr>
              <w:jc w:val="center"/>
              <w:rPr>
                <w:sz w:val="24"/>
                <w:szCs w:val="24"/>
              </w:rPr>
            </w:pPr>
            <w:r w:rsidRPr="00F14D8C">
              <w:rPr>
                <w:sz w:val="24"/>
                <w:szCs w:val="24"/>
              </w:rPr>
              <w:t>30</w:t>
            </w:r>
          </w:p>
        </w:tc>
      </w:tr>
      <w:tr w:rsidR="00E27252" w:rsidRPr="006A16E2" w14:paraId="11643C05" w14:textId="77777777" w:rsidTr="00641926">
        <w:trPr>
          <w:trHeight w:val="454"/>
          <w:jc w:val="center"/>
        </w:trPr>
        <w:tc>
          <w:tcPr>
            <w:tcW w:w="475" w:type="dxa"/>
            <w:vMerge/>
          </w:tcPr>
          <w:p w14:paraId="6E4F6C4C" w14:textId="77777777" w:rsidR="00E27252" w:rsidRPr="006A16E2" w:rsidRDefault="00E27252" w:rsidP="00A67451">
            <w:pPr>
              <w:jc w:val="center"/>
              <w:rPr>
                <w:sz w:val="24"/>
                <w:szCs w:val="24"/>
              </w:rPr>
            </w:pPr>
          </w:p>
        </w:tc>
        <w:tc>
          <w:tcPr>
            <w:tcW w:w="1647" w:type="dxa"/>
            <w:vMerge/>
          </w:tcPr>
          <w:p w14:paraId="77FA923F" w14:textId="77777777" w:rsidR="00E27252" w:rsidRPr="006A16E2" w:rsidRDefault="00E27252" w:rsidP="00A67451">
            <w:pPr>
              <w:jc w:val="center"/>
              <w:rPr>
                <w:sz w:val="24"/>
                <w:szCs w:val="24"/>
              </w:rPr>
            </w:pPr>
          </w:p>
        </w:tc>
        <w:tc>
          <w:tcPr>
            <w:tcW w:w="9072" w:type="dxa"/>
            <w:vMerge/>
            <w:vAlign w:val="center"/>
          </w:tcPr>
          <w:p w14:paraId="62C977CA" w14:textId="77777777" w:rsidR="00E27252" w:rsidRPr="00F14D8C" w:rsidRDefault="00E27252" w:rsidP="000F7984">
            <w:pPr>
              <w:jc w:val="center"/>
              <w:rPr>
                <w:sz w:val="24"/>
                <w:szCs w:val="24"/>
              </w:rPr>
            </w:pPr>
          </w:p>
        </w:tc>
        <w:tc>
          <w:tcPr>
            <w:tcW w:w="1134" w:type="dxa"/>
            <w:vAlign w:val="center"/>
          </w:tcPr>
          <w:p w14:paraId="660578CA" w14:textId="77777777" w:rsidR="00E27252" w:rsidRPr="00F14D8C" w:rsidRDefault="00E27252" w:rsidP="00F14D8C">
            <w:pPr>
              <w:jc w:val="center"/>
              <w:rPr>
                <w:sz w:val="24"/>
                <w:szCs w:val="24"/>
              </w:rPr>
            </w:pPr>
            <w:r w:rsidRPr="00F14D8C">
              <w:rPr>
                <w:sz w:val="24"/>
                <w:szCs w:val="24"/>
              </w:rPr>
              <w:t xml:space="preserve">&lt; </w:t>
            </w:r>
            <w:r w:rsidR="00F14D8C">
              <w:rPr>
                <w:sz w:val="24"/>
                <w:szCs w:val="24"/>
              </w:rPr>
              <w:t>7</w:t>
            </w:r>
          </w:p>
        </w:tc>
        <w:tc>
          <w:tcPr>
            <w:tcW w:w="1701" w:type="dxa"/>
            <w:vAlign w:val="center"/>
          </w:tcPr>
          <w:p w14:paraId="7AF7D99C" w14:textId="77777777" w:rsidR="00E27252" w:rsidRPr="00F14D8C" w:rsidRDefault="00E27252" w:rsidP="000F7984">
            <w:pPr>
              <w:jc w:val="center"/>
              <w:rPr>
                <w:sz w:val="24"/>
                <w:szCs w:val="24"/>
              </w:rPr>
            </w:pPr>
            <w:r w:rsidRPr="00F14D8C">
              <w:rPr>
                <w:sz w:val="24"/>
                <w:szCs w:val="24"/>
              </w:rPr>
              <w:t>20</w:t>
            </w:r>
          </w:p>
        </w:tc>
      </w:tr>
      <w:tr w:rsidR="00E27252" w:rsidRPr="006A16E2" w14:paraId="7CCE1AC4" w14:textId="77777777" w:rsidTr="00641926">
        <w:trPr>
          <w:trHeight w:val="453"/>
          <w:jc w:val="center"/>
        </w:trPr>
        <w:tc>
          <w:tcPr>
            <w:tcW w:w="475" w:type="dxa"/>
            <w:vMerge/>
          </w:tcPr>
          <w:p w14:paraId="4D5F5984" w14:textId="77777777" w:rsidR="00E27252" w:rsidRPr="006A16E2" w:rsidRDefault="00E27252" w:rsidP="00A67451">
            <w:pPr>
              <w:jc w:val="center"/>
              <w:rPr>
                <w:sz w:val="24"/>
                <w:szCs w:val="24"/>
              </w:rPr>
            </w:pPr>
          </w:p>
        </w:tc>
        <w:tc>
          <w:tcPr>
            <w:tcW w:w="1647" w:type="dxa"/>
            <w:vMerge/>
          </w:tcPr>
          <w:p w14:paraId="5DFA04A7" w14:textId="77777777" w:rsidR="00E27252" w:rsidRPr="006A16E2" w:rsidRDefault="00E27252" w:rsidP="00A67451">
            <w:pPr>
              <w:jc w:val="center"/>
              <w:rPr>
                <w:sz w:val="24"/>
                <w:szCs w:val="24"/>
              </w:rPr>
            </w:pPr>
          </w:p>
        </w:tc>
        <w:tc>
          <w:tcPr>
            <w:tcW w:w="9072" w:type="dxa"/>
            <w:vMerge/>
            <w:vAlign w:val="center"/>
          </w:tcPr>
          <w:p w14:paraId="5B91637E" w14:textId="77777777" w:rsidR="00E27252" w:rsidRPr="00F14D8C" w:rsidRDefault="00E27252" w:rsidP="000F7984">
            <w:pPr>
              <w:jc w:val="center"/>
              <w:rPr>
                <w:sz w:val="24"/>
                <w:szCs w:val="24"/>
              </w:rPr>
            </w:pPr>
          </w:p>
        </w:tc>
        <w:tc>
          <w:tcPr>
            <w:tcW w:w="1134" w:type="dxa"/>
            <w:vAlign w:val="center"/>
          </w:tcPr>
          <w:p w14:paraId="73A2B708" w14:textId="77777777" w:rsidR="00E27252" w:rsidRPr="00F14D8C" w:rsidRDefault="00F14D8C" w:rsidP="00F14D8C">
            <w:pPr>
              <w:jc w:val="center"/>
              <w:rPr>
                <w:sz w:val="24"/>
                <w:szCs w:val="24"/>
              </w:rPr>
            </w:pPr>
            <w:r>
              <w:rPr>
                <w:sz w:val="24"/>
                <w:szCs w:val="24"/>
              </w:rPr>
              <w:t>&lt; 10</w:t>
            </w:r>
          </w:p>
        </w:tc>
        <w:tc>
          <w:tcPr>
            <w:tcW w:w="1701" w:type="dxa"/>
            <w:vAlign w:val="center"/>
          </w:tcPr>
          <w:p w14:paraId="44549B14" w14:textId="77777777" w:rsidR="00E27252" w:rsidRPr="00F14D8C" w:rsidRDefault="00E27252" w:rsidP="000F7984">
            <w:pPr>
              <w:jc w:val="center"/>
              <w:rPr>
                <w:sz w:val="24"/>
                <w:szCs w:val="24"/>
              </w:rPr>
            </w:pPr>
            <w:r w:rsidRPr="00F14D8C">
              <w:rPr>
                <w:sz w:val="24"/>
                <w:szCs w:val="24"/>
              </w:rPr>
              <w:t>10</w:t>
            </w:r>
          </w:p>
        </w:tc>
      </w:tr>
      <w:tr w:rsidR="00E27252" w:rsidRPr="006A16E2" w14:paraId="22244764" w14:textId="77777777" w:rsidTr="00641926">
        <w:trPr>
          <w:trHeight w:val="454"/>
          <w:jc w:val="center"/>
        </w:trPr>
        <w:tc>
          <w:tcPr>
            <w:tcW w:w="475" w:type="dxa"/>
            <w:vMerge/>
          </w:tcPr>
          <w:p w14:paraId="09E5BC81" w14:textId="77777777" w:rsidR="00E27252" w:rsidRPr="006A16E2" w:rsidRDefault="00E27252" w:rsidP="00A67451">
            <w:pPr>
              <w:jc w:val="center"/>
              <w:rPr>
                <w:sz w:val="24"/>
                <w:szCs w:val="24"/>
              </w:rPr>
            </w:pPr>
          </w:p>
        </w:tc>
        <w:tc>
          <w:tcPr>
            <w:tcW w:w="1647" w:type="dxa"/>
            <w:vMerge/>
          </w:tcPr>
          <w:p w14:paraId="4D7D5889" w14:textId="77777777" w:rsidR="00E27252" w:rsidRPr="006A16E2" w:rsidRDefault="00E27252" w:rsidP="00A67451">
            <w:pPr>
              <w:jc w:val="center"/>
              <w:rPr>
                <w:sz w:val="24"/>
                <w:szCs w:val="24"/>
              </w:rPr>
            </w:pPr>
          </w:p>
        </w:tc>
        <w:tc>
          <w:tcPr>
            <w:tcW w:w="9072" w:type="dxa"/>
            <w:vMerge/>
            <w:vAlign w:val="center"/>
          </w:tcPr>
          <w:p w14:paraId="5CBA5809" w14:textId="77777777" w:rsidR="00E27252" w:rsidRPr="00F14D8C" w:rsidRDefault="00E27252" w:rsidP="000F7984">
            <w:pPr>
              <w:jc w:val="center"/>
              <w:rPr>
                <w:sz w:val="24"/>
                <w:szCs w:val="24"/>
              </w:rPr>
            </w:pPr>
          </w:p>
        </w:tc>
        <w:tc>
          <w:tcPr>
            <w:tcW w:w="1134" w:type="dxa"/>
            <w:vAlign w:val="center"/>
          </w:tcPr>
          <w:p w14:paraId="73D02A0F" w14:textId="77777777" w:rsidR="00E27252" w:rsidRPr="00F14D8C" w:rsidRDefault="00E27252" w:rsidP="00F14D8C">
            <w:pPr>
              <w:jc w:val="center"/>
              <w:rPr>
                <w:sz w:val="24"/>
                <w:szCs w:val="24"/>
              </w:rPr>
            </w:pPr>
            <w:r w:rsidRPr="00F14D8C">
              <w:rPr>
                <w:sz w:val="24"/>
                <w:szCs w:val="24"/>
              </w:rPr>
              <w:t xml:space="preserve">≥ </w:t>
            </w:r>
            <w:r w:rsidR="00F14D8C">
              <w:rPr>
                <w:sz w:val="24"/>
                <w:szCs w:val="24"/>
              </w:rPr>
              <w:t>10</w:t>
            </w:r>
          </w:p>
        </w:tc>
        <w:tc>
          <w:tcPr>
            <w:tcW w:w="1701" w:type="dxa"/>
            <w:vAlign w:val="center"/>
          </w:tcPr>
          <w:p w14:paraId="13EA64A8" w14:textId="77777777" w:rsidR="00E27252" w:rsidRPr="00F14D8C" w:rsidRDefault="00E27252" w:rsidP="000F7984">
            <w:pPr>
              <w:jc w:val="center"/>
              <w:rPr>
                <w:sz w:val="24"/>
                <w:szCs w:val="24"/>
              </w:rPr>
            </w:pPr>
            <w:r w:rsidRPr="00F14D8C">
              <w:rPr>
                <w:sz w:val="24"/>
                <w:szCs w:val="24"/>
              </w:rPr>
              <w:t>0</w:t>
            </w:r>
          </w:p>
        </w:tc>
      </w:tr>
      <w:tr w:rsidR="00D54192" w:rsidRPr="006A16E2" w14:paraId="6DC1AF3C" w14:textId="77777777" w:rsidTr="00641926">
        <w:trPr>
          <w:trHeight w:val="342"/>
          <w:jc w:val="center"/>
        </w:trPr>
        <w:tc>
          <w:tcPr>
            <w:tcW w:w="475" w:type="dxa"/>
            <w:vMerge w:val="restart"/>
          </w:tcPr>
          <w:p w14:paraId="64D3904E" w14:textId="77777777" w:rsidR="00D54192" w:rsidRPr="006A16E2" w:rsidRDefault="00D54192" w:rsidP="00D54192">
            <w:pPr>
              <w:jc w:val="center"/>
              <w:rPr>
                <w:sz w:val="24"/>
                <w:szCs w:val="24"/>
              </w:rPr>
            </w:pPr>
            <w:r w:rsidRPr="006A16E2">
              <w:rPr>
                <w:sz w:val="24"/>
                <w:szCs w:val="24"/>
              </w:rPr>
              <w:lastRenderedPageBreak/>
              <w:t>3.</w:t>
            </w:r>
          </w:p>
        </w:tc>
        <w:tc>
          <w:tcPr>
            <w:tcW w:w="1647" w:type="dxa"/>
            <w:vMerge w:val="restart"/>
          </w:tcPr>
          <w:p w14:paraId="2353FD65" w14:textId="77777777" w:rsidR="00D54192" w:rsidRPr="00C72630" w:rsidRDefault="00B37909" w:rsidP="00295E6D">
            <w:pPr>
              <w:jc w:val="center"/>
              <w:rPr>
                <w:sz w:val="24"/>
                <w:szCs w:val="24"/>
              </w:rPr>
            </w:pPr>
            <w:r w:rsidRPr="00C72630">
              <w:rPr>
                <w:sz w:val="24"/>
                <w:szCs w:val="24"/>
              </w:rPr>
              <w:t>Uždaroji akcinė bendrovė</w:t>
            </w:r>
            <w:r w:rsidR="00D54192" w:rsidRPr="00C72630">
              <w:rPr>
                <w:sz w:val="24"/>
                <w:szCs w:val="24"/>
              </w:rPr>
              <w:t xml:space="preserve"> „Kauno švara“</w:t>
            </w:r>
          </w:p>
        </w:tc>
        <w:tc>
          <w:tcPr>
            <w:tcW w:w="9072" w:type="dxa"/>
            <w:vMerge w:val="restart"/>
          </w:tcPr>
          <w:p w14:paraId="682CC53C" w14:textId="77777777" w:rsidR="00D54192" w:rsidRPr="00EA052D" w:rsidRDefault="00D54192" w:rsidP="00D54192">
            <w:pPr>
              <w:spacing w:line="256" w:lineRule="auto"/>
              <w:jc w:val="center"/>
              <w:rPr>
                <w:rFonts w:eastAsia="Calibri"/>
                <w:iCs/>
                <w:sz w:val="24"/>
                <w:szCs w:val="24"/>
              </w:rPr>
            </w:pPr>
            <w:r w:rsidRPr="00EA052D">
              <w:rPr>
                <w:rFonts w:eastAsia="Calibri"/>
                <w:iCs/>
                <w:sz w:val="24"/>
                <w:szCs w:val="24"/>
              </w:rPr>
              <w:t>Paruoštų naudoti pakartotinai ir perdirbtų Kauno miesto komunalinių atliekų dalis</w:t>
            </w:r>
            <w:r w:rsidR="00AB0C94">
              <w:rPr>
                <w:rFonts w:eastAsia="Calibri"/>
                <w:iCs/>
                <w:sz w:val="24"/>
                <w:szCs w:val="24"/>
              </w:rPr>
              <w:t xml:space="preserve"> finansiniais metais</w:t>
            </w:r>
            <w:r w:rsidRPr="00EA052D">
              <w:rPr>
                <w:rFonts w:eastAsia="Calibri"/>
                <w:iCs/>
                <w:sz w:val="24"/>
                <w:szCs w:val="24"/>
              </w:rPr>
              <w:t>, proc.</w:t>
            </w:r>
            <w:r w:rsidR="00EB6DB6">
              <w:rPr>
                <w:rFonts w:eastAsia="Calibri"/>
                <w:iCs/>
                <w:sz w:val="24"/>
                <w:szCs w:val="24"/>
              </w:rPr>
              <w:t xml:space="preserve"> </w:t>
            </w:r>
          </w:p>
          <w:p w14:paraId="18977BD2" w14:textId="77777777" w:rsidR="00EA052D" w:rsidRPr="00D94B0B" w:rsidRDefault="00000000" w:rsidP="00E82C77">
            <w:pPr>
              <w:jc w:val="center"/>
              <w:rPr>
                <w:rFonts w:eastAsia="Calibri"/>
              </w:rPr>
            </w:pPr>
            <m:oMathPara>
              <m:oMath>
                <m:f>
                  <m:fPr>
                    <m:ctrlPr>
                      <w:rPr>
                        <w:rFonts w:ascii="Cambria Math" w:hAnsi="Cambria Math"/>
                      </w:rPr>
                    </m:ctrlPr>
                  </m:fPr>
                  <m:num>
                    <m:r>
                      <m:rPr>
                        <m:sty m:val="p"/>
                      </m:rPr>
                      <w:rPr>
                        <w:rFonts w:ascii="Cambria Math" w:eastAsia="Calibri" w:hAnsi="Cambria Math"/>
                      </w:rPr>
                      <m:t xml:space="preserve">Paruoštų naudoti pakartotinai ir perdirbtų Kauno miesto komunalinių atliekų dalis </m:t>
                    </m:r>
                  </m:num>
                  <m:den>
                    <m:r>
                      <m:rPr>
                        <m:sty m:val="p"/>
                      </m:rPr>
                      <w:rPr>
                        <w:rFonts w:ascii="Cambria Math" w:hAnsi="Cambria Math"/>
                      </w:rPr>
                      <m:t>B</m:t>
                    </m:r>
                    <m:r>
                      <m:rPr>
                        <m:sty m:val="p"/>
                      </m:rPr>
                      <w:rPr>
                        <w:rFonts w:ascii="Cambria Math" w:eastAsia="Calibri" w:hAnsi="Cambria Math"/>
                      </w:rPr>
                      <m:t xml:space="preserve">endras Kauno miesto komunalinių atliekų </m:t>
                    </m:r>
                    <m:r>
                      <m:rPr>
                        <m:sty m:val="p"/>
                      </m:rPr>
                      <w:rPr>
                        <w:rFonts w:ascii="Cambria Math" w:hAnsi="Cambria Math"/>
                      </w:rPr>
                      <m:t>kiekis</m:t>
                    </m:r>
                  </m:den>
                </m:f>
                <m:r>
                  <m:rPr>
                    <m:nor/>
                  </m:rPr>
                  <m:t>×100</m:t>
                </m:r>
              </m:oMath>
            </m:oMathPara>
          </w:p>
          <w:p w14:paraId="0675E5C8" w14:textId="77777777" w:rsidR="00D94B0B" w:rsidRPr="00EA052D" w:rsidRDefault="00D94B0B" w:rsidP="00E82C77">
            <w:pPr>
              <w:jc w:val="center"/>
              <w:rPr>
                <w:rFonts w:eastAsia="Calibri"/>
                <w:iCs/>
              </w:rPr>
            </w:pPr>
          </w:p>
        </w:tc>
        <w:tc>
          <w:tcPr>
            <w:tcW w:w="1134" w:type="dxa"/>
            <w:vAlign w:val="center"/>
          </w:tcPr>
          <w:p w14:paraId="73FCEFDC" w14:textId="77777777" w:rsidR="00D54192" w:rsidRPr="00DA229C" w:rsidRDefault="00D54192" w:rsidP="00D54192">
            <w:pPr>
              <w:jc w:val="center"/>
              <w:rPr>
                <w:sz w:val="24"/>
                <w:szCs w:val="24"/>
              </w:rPr>
            </w:pPr>
            <w:r w:rsidRPr="00DA229C">
              <w:rPr>
                <w:sz w:val="24"/>
                <w:szCs w:val="24"/>
              </w:rPr>
              <w:t xml:space="preserve">&gt; </w:t>
            </w:r>
            <w:r>
              <w:rPr>
                <w:sz w:val="24"/>
                <w:szCs w:val="24"/>
              </w:rPr>
              <w:t>69</w:t>
            </w:r>
          </w:p>
        </w:tc>
        <w:tc>
          <w:tcPr>
            <w:tcW w:w="1701" w:type="dxa"/>
            <w:vAlign w:val="center"/>
          </w:tcPr>
          <w:p w14:paraId="498AD2B1" w14:textId="77777777" w:rsidR="00D54192" w:rsidRPr="007C55C7" w:rsidRDefault="00D54192" w:rsidP="00D54192">
            <w:pPr>
              <w:jc w:val="center"/>
              <w:rPr>
                <w:sz w:val="24"/>
                <w:szCs w:val="24"/>
              </w:rPr>
            </w:pPr>
            <w:r w:rsidRPr="007C55C7">
              <w:rPr>
                <w:sz w:val="24"/>
                <w:szCs w:val="24"/>
              </w:rPr>
              <w:t>30</w:t>
            </w:r>
          </w:p>
        </w:tc>
      </w:tr>
      <w:tr w:rsidR="00D54192" w:rsidRPr="006A16E2" w14:paraId="6DFF72EE" w14:textId="77777777" w:rsidTr="00641926">
        <w:trPr>
          <w:trHeight w:val="342"/>
          <w:jc w:val="center"/>
        </w:trPr>
        <w:tc>
          <w:tcPr>
            <w:tcW w:w="475" w:type="dxa"/>
            <w:vMerge/>
          </w:tcPr>
          <w:p w14:paraId="3A6C6FF5" w14:textId="77777777" w:rsidR="00D54192" w:rsidRPr="006A16E2" w:rsidRDefault="00D54192" w:rsidP="00D54192">
            <w:pPr>
              <w:jc w:val="center"/>
              <w:rPr>
                <w:sz w:val="24"/>
                <w:szCs w:val="24"/>
              </w:rPr>
            </w:pPr>
          </w:p>
        </w:tc>
        <w:tc>
          <w:tcPr>
            <w:tcW w:w="1647" w:type="dxa"/>
            <w:vMerge/>
          </w:tcPr>
          <w:p w14:paraId="6D0FD7DA" w14:textId="77777777" w:rsidR="00D54192" w:rsidRPr="00C72630" w:rsidRDefault="00D54192" w:rsidP="00D54192">
            <w:pPr>
              <w:jc w:val="center"/>
              <w:rPr>
                <w:sz w:val="24"/>
                <w:szCs w:val="24"/>
              </w:rPr>
            </w:pPr>
          </w:p>
        </w:tc>
        <w:tc>
          <w:tcPr>
            <w:tcW w:w="9072" w:type="dxa"/>
            <w:vMerge/>
            <w:vAlign w:val="center"/>
          </w:tcPr>
          <w:p w14:paraId="13D8BBD6" w14:textId="77777777" w:rsidR="00D54192" w:rsidRPr="004D2749" w:rsidRDefault="00D54192" w:rsidP="00D54192">
            <w:pPr>
              <w:jc w:val="center"/>
              <w:rPr>
                <w:sz w:val="24"/>
                <w:szCs w:val="24"/>
                <w:highlight w:val="yellow"/>
              </w:rPr>
            </w:pPr>
          </w:p>
        </w:tc>
        <w:tc>
          <w:tcPr>
            <w:tcW w:w="1134" w:type="dxa"/>
            <w:vAlign w:val="center"/>
          </w:tcPr>
          <w:p w14:paraId="7CAABB1C" w14:textId="77777777" w:rsidR="00D54192" w:rsidRPr="00DA229C" w:rsidRDefault="00D54192" w:rsidP="00D54192">
            <w:pPr>
              <w:jc w:val="center"/>
              <w:rPr>
                <w:sz w:val="24"/>
                <w:szCs w:val="24"/>
              </w:rPr>
            </w:pPr>
            <w:r w:rsidRPr="00DA229C">
              <w:rPr>
                <w:sz w:val="24"/>
                <w:szCs w:val="24"/>
              </w:rPr>
              <w:t xml:space="preserve">&gt; </w:t>
            </w:r>
            <w:r>
              <w:rPr>
                <w:sz w:val="24"/>
                <w:szCs w:val="24"/>
              </w:rPr>
              <w:t>65</w:t>
            </w:r>
          </w:p>
        </w:tc>
        <w:tc>
          <w:tcPr>
            <w:tcW w:w="1701" w:type="dxa"/>
            <w:vAlign w:val="center"/>
          </w:tcPr>
          <w:p w14:paraId="3CD90E1E" w14:textId="77777777" w:rsidR="00D54192" w:rsidRPr="007C55C7" w:rsidRDefault="00D54192" w:rsidP="00D54192">
            <w:pPr>
              <w:jc w:val="center"/>
              <w:rPr>
                <w:sz w:val="24"/>
                <w:szCs w:val="24"/>
              </w:rPr>
            </w:pPr>
            <w:r w:rsidRPr="007C55C7">
              <w:rPr>
                <w:sz w:val="24"/>
                <w:szCs w:val="24"/>
              </w:rPr>
              <w:t>20</w:t>
            </w:r>
          </w:p>
        </w:tc>
      </w:tr>
      <w:tr w:rsidR="00D54192" w:rsidRPr="006A16E2" w14:paraId="1507705F" w14:textId="77777777" w:rsidTr="00641926">
        <w:trPr>
          <w:trHeight w:val="342"/>
          <w:jc w:val="center"/>
        </w:trPr>
        <w:tc>
          <w:tcPr>
            <w:tcW w:w="475" w:type="dxa"/>
            <w:vMerge/>
          </w:tcPr>
          <w:p w14:paraId="7BE91316" w14:textId="77777777" w:rsidR="00D54192" w:rsidRPr="006A16E2" w:rsidRDefault="00D54192" w:rsidP="00D54192">
            <w:pPr>
              <w:jc w:val="center"/>
              <w:rPr>
                <w:sz w:val="24"/>
                <w:szCs w:val="24"/>
              </w:rPr>
            </w:pPr>
          </w:p>
        </w:tc>
        <w:tc>
          <w:tcPr>
            <w:tcW w:w="1647" w:type="dxa"/>
            <w:vMerge/>
          </w:tcPr>
          <w:p w14:paraId="378E324C" w14:textId="77777777" w:rsidR="00D54192" w:rsidRPr="00C72630" w:rsidRDefault="00D54192" w:rsidP="00D54192">
            <w:pPr>
              <w:jc w:val="center"/>
              <w:rPr>
                <w:sz w:val="24"/>
                <w:szCs w:val="24"/>
              </w:rPr>
            </w:pPr>
          </w:p>
        </w:tc>
        <w:tc>
          <w:tcPr>
            <w:tcW w:w="9072" w:type="dxa"/>
            <w:vMerge/>
            <w:vAlign w:val="center"/>
          </w:tcPr>
          <w:p w14:paraId="652C5876" w14:textId="77777777" w:rsidR="00D54192" w:rsidRPr="004D2749" w:rsidRDefault="00D54192" w:rsidP="00D54192">
            <w:pPr>
              <w:jc w:val="center"/>
              <w:rPr>
                <w:sz w:val="24"/>
                <w:szCs w:val="24"/>
                <w:highlight w:val="yellow"/>
              </w:rPr>
            </w:pPr>
          </w:p>
        </w:tc>
        <w:tc>
          <w:tcPr>
            <w:tcW w:w="1134" w:type="dxa"/>
            <w:vAlign w:val="center"/>
          </w:tcPr>
          <w:p w14:paraId="714A9250" w14:textId="77777777" w:rsidR="00D54192" w:rsidRPr="00DA229C" w:rsidRDefault="00D54192" w:rsidP="00D54192">
            <w:pPr>
              <w:jc w:val="center"/>
              <w:rPr>
                <w:sz w:val="24"/>
                <w:szCs w:val="24"/>
              </w:rPr>
            </w:pPr>
            <w:r w:rsidRPr="00DA229C">
              <w:rPr>
                <w:sz w:val="24"/>
                <w:szCs w:val="24"/>
              </w:rPr>
              <w:t xml:space="preserve">&gt; </w:t>
            </w:r>
            <w:r>
              <w:rPr>
                <w:sz w:val="24"/>
                <w:szCs w:val="24"/>
              </w:rPr>
              <w:t>63</w:t>
            </w:r>
          </w:p>
        </w:tc>
        <w:tc>
          <w:tcPr>
            <w:tcW w:w="1701" w:type="dxa"/>
            <w:vAlign w:val="center"/>
          </w:tcPr>
          <w:p w14:paraId="54DBF309" w14:textId="77777777" w:rsidR="00D54192" w:rsidRPr="007C55C7" w:rsidRDefault="00D54192" w:rsidP="00D54192">
            <w:pPr>
              <w:jc w:val="center"/>
              <w:rPr>
                <w:sz w:val="24"/>
                <w:szCs w:val="24"/>
              </w:rPr>
            </w:pPr>
            <w:r w:rsidRPr="007C55C7">
              <w:rPr>
                <w:sz w:val="24"/>
                <w:szCs w:val="24"/>
              </w:rPr>
              <w:t>10</w:t>
            </w:r>
          </w:p>
        </w:tc>
      </w:tr>
      <w:tr w:rsidR="00D54192" w:rsidRPr="006A16E2" w14:paraId="0CC720E7" w14:textId="77777777" w:rsidTr="00EB6DB6">
        <w:trPr>
          <w:trHeight w:val="122"/>
          <w:jc w:val="center"/>
        </w:trPr>
        <w:tc>
          <w:tcPr>
            <w:tcW w:w="475" w:type="dxa"/>
            <w:vMerge/>
          </w:tcPr>
          <w:p w14:paraId="596EA6A8" w14:textId="77777777" w:rsidR="00D54192" w:rsidRPr="006A16E2" w:rsidRDefault="00D54192" w:rsidP="00D54192">
            <w:pPr>
              <w:jc w:val="center"/>
              <w:rPr>
                <w:sz w:val="24"/>
                <w:szCs w:val="24"/>
              </w:rPr>
            </w:pPr>
          </w:p>
        </w:tc>
        <w:tc>
          <w:tcPr>
            <w:tcW w:w="1647" w:type="dxa"/>
            <w:vMerge/>
          </w:tcPr>
          <w:p w14:paraId="04FC5313" w14:textId="77777777" w:rsidR="00D54192" w:rsidRPr="00C72630" w:rsidRDefault="00D54192" w:rsidP="00D54192">
            <w:pPr>
              <w:jc w:val="center"/>
              <w:rPr>
                <w:sz w:val="24"/>
                <w:szCs w:val="24"/>
              </w:rPr>
            </w:pPr>
          </w:p>
        </w:tc>
        <w:tc>
          <w:tcPr>
            <w:tcW w:w="9072" w:type="dxa"/>
            <w:vMerge/>
            <w:vAlign w:val="center"/>
          </w:tcPr>
          <w:p w14:paraId="5F0BC3C9" w14:textId="77777777" w:rsidR="00D54192" w:rsidRPr="004D2749" w:rsidRDefault="00D54192" w:rsidP="00D54192">
            <w:pPr>
              <w:jc w:val="center"/>
              <w:rPr>
                <w:sz w:val="24"/>
                <w:szCs w:val="24"/>
                <w:highlight w:val="yellow"/>
              </w:rPr>
            </w:pPr>
          </w:p>
        </w:tc>
        <w:tc>
          <w:tcPr>
            <w:tcW w:w="1134" w:type="dxa"/>
            <w:vAlign w:val="center"/>
          </w:tcPr>
          <w:p w14:paraId="6162E596" w14:textId="77777777" w:rsidR="00D54192" w:rsidRPr="00DA229C" w:rsidRDefault="00D54192" w:rsidP="00D54192">
            <w:pPr>
              <w:jc w:val="center"/>
              <w:rPr>
                <w:sz w:val="24"/>
                <w:szCs w:val="24"/>
              </w:rPr>
            </w:pPr>
            <w:r w:rsidRPr="00DA229C">
              <w:rPr>
                <w:sz w:val="24"/>
                <w:szCs w:val="24"/>
              </w:rPr>
              <w:t>≤</w:t>
            </w:r>
            <w:r>
              <w:rPr>
                <w:sz w:val="24"/>
                <w:szCs w:val="24"/>
              </w:rPr>
              <w:t xml:space="preserve"> 63</w:t>
            </w:r>
          </w:p>
        </w:tc>
        <w:tc>
          <w:tcPr>
            <w:tcW w:w="1701" w:type="dxa"/>
            <w:vAlign w:val="center"/>
          </w:tcPr>
          <w:p w14:paraId="2A0E9717" w14:textId="77777777" w:rsidR="00D54192" w:rsidRPr="007C55C7" w:rsidRDefault="00D54192" w:rsidP="00D54192">
            <w:pPr>
              <w:jc w:val="center"/>
              <w:rPr>
                <w:sz w:val="24"/>
                <w:szCs w:val="24"/>
              </w:rPr>
            </w:pPr>
            <w:r w:rsidRPr="007C55C7">
              <w:rPr>
                <w:sz w:val="24"/>
                <w:szCs w:val="24"/>
              </w:rPr>
              <w:t>0</w:t>
            </w:r>
          </w:p>
        </w:tc>
      </w:tr>
      <w:tr w:rsidR="007C55C7" w:rsidRPr="006A16E2" w14:paraId="61C964ED" w14:textId="77777777" w:rsidTr="00641926">
        <w:trPr>
          <w:trHeight w:val="503"/>
          <w:jc w:val="center"/>
        </w:trPr>
        <w:tc>
          <w:tcPr>
            <w:tcW w:w="475" w:type="dxa"/>
            <w:vMerge w:val="restart"/>
          </w:tcPr>
          <w:p w14:paraId="4E4605B3" w14:textId="77777777" w:rsidR="007C55C7" w:rsidRPr="006A16E2" w:rsidRDefault="007C55C7" w:rsidP="007C55C7">
            <w:pPr>
              <w:jc w:val="center"/>
              <w:rPr>
                <w:sz w:val="24"/>
                <w:szCs w:val="24"/>
              </w:rPr>
            </w:pPr>
            <w:r w:rsidRPr="006A16E2">
              <w:rPr>
                <w:sz w:val="24"/>
                <w:szCs w:val="24"/>
              </w:rPr>
              <w:t>4.</w:t>
            </w:r>
          </w:p>
        </w:tc>
        <w:tc>
          <w:tcPr>
            <w:tcW w:w="1647" w:type="dxa"/>
            <w:vMerge w:val="restart"/>
          </w:tcPr>
          <w:p w14:paraId="6F557E50" w14:textId="77777777" w:rsidR="007C55C7" w:rsidRPr="00C72630" w:rsidRDefault="00B37909" w:rsidP="00295E6D">
            <w:pPr>
              <w:jc w:val="center"/>
              <w:rPr>
                <w:sz w:val="24"/>
                <w:szCs w:val="24"/>
              </w:rPr>
            </w:pPr>
            <w:r w:rsidRPr="00C72630">
              <w:rPr>
                <w:sz w:val="24"/>
                <w:szCs w:val="24"/>
              </w:rPr>
              <w:t>Uždaroji akcinė bendrovė</w:t>
            </w:r>
            <w:r w:rsidR="007C55C7" w:rsidRPr="00C72630">
              <w:rPr>
                <w:sz w:val="24"/>
                <w:szCs w:val="24"/>
              </w:rPr>
              <w:t xml:space="preserve"> „Kauno autobusai“</w:t>
            </w:r>
          </w:p>
        </w:tc>
        <w:tc>
          <w:tcPr>
            <w:tcW w:w="9072" w:type="dxa"/>
            <w:vMerge w:val="restart"/>
            <w:vAlign w:val="center"/>
          </w:tcPr>
          <w:p w14:paraId="3DDBBE8B" w14:textId="77777777" w:rsidR="004F5BA3" w:rsidRPr="00AB2AA3" w:rsidRDefault="007C55C7" w:rsidP="007C55C7">
            <w:pPr>
              <w:spacing w:after="120"/>
              <w:jc w:val="center"/>
              <w:rPr>
                <w:sz w:val="24"/>
                <w:szCs w:val="24"/>
              </w:rPr>
            </w:pPr>
            <w:r w:rsidRPr="00AB2AA3">
              <w:rPr>
                <w:sz w:val="24"/>
                <w:szCs w:val="24"/>
              </w:rPr>
              <w:t>Veiklos sąnaudų, tenkančių vienam pervežtam keleiviui, lygio mažėjimas, proc.</w:t>
            </w:r>
          </w:p>
          <w:p w14:paraId="3229C186" w14:textId="77777777" w:rsidR="007C55C7" w:rsidRPr="001058D3" w:rsidRDefault="00000000" w:rsidP="007C55C7">
            <w:pPr>
              <w:spacing w:after="200" w:line="340" w:lineRule="atLeast"/>
              <w:jc w:val="center"/>
              <w:rPr>
                <w:rFonts w:eastAsia="Calibri"/>
              </w:rPr>
            </w:pPr>
            <m:oMathPara>
              <m:oMath>
                <m:f>
                  <m:fPr>
                    <m:ctrlPr>
                      <w:rPr>
                        <w:rFonts w:ascii="Cambria Math" w:eastAsia="Calibri" w:hAnsi="Cambria Math"/>
                      </w:rPr>
                    </m:ctrlPr>
                  </m:fPr>
                  <m:num>
                    <m:sSub>
                      <m:sSubPr>
                        <m:ctrlPr>
                          <w:rPr>
                            <w:rFonts w:ascii="Cambria Math" w:eastAsia="Calibri" w:hAnsi="Cambria Math"/>
                          </w:rPr>
                        </m:ctrlPr>
                      </m:sSubPr>
                      <m:e>
                        <m:r>
                          <m:rPr>
                            <m:nor/>
                          </m:rPr>
                          <w:rPr>
                            <w:rFonts w:eastAsia="Calibri"/>
                          </w:rPr>
                          <m:t>Keleivio vežimo sąnaudos</m:t>
                        </m:r>
                      </m:e>
                      <m:sub>
                        <m:r>
                          <m:rPr>
                            <m:sty m:val="p"/>
                          </m:rPr>
                          <w:rPr>
                            <w:rFonts w:ascii="Cambria Math" w:eastAsia="Calibri" w:hAnsi="Cambria Math"/>
                          </w:rPr>
                          <m:t>n</m:t>
                        </m:r>
                      </m:sub>
                    </m:sSub>
                    <m:r>
                      <m:rPr>
                        <m:sty m:val="p"/>
                      </m:rPr>
                      <w:rPr>
                        <w:rFonts w:ascii="Cambria Math" w:eastAsia="Calibri" w:hAnsi="Cambria Math"/>
                      </w:rPr>
                      <m:t xml:space="preserve">- </m:t>
                    </m:r>
                    <m:sSub>
                      <m:sSubPr>
                        <m:ctrlPr>
                          <w:rPr>
                            <w:rFonts w:ascii="Cambria Math" w:eastAsia="Calibri" w:hAnsi="Cambria Math"/>
                          </w:rPr>
                        </m:ctrlPr>
                      </m:sSubPr>
                      <m:e>
                        <m:r>
                          <m:rPr>
                            <m:nor/>
                          </m:rPr>
                          <w:rPr>
                            <w:rFonts w:eastAsia="Calibri"/>
                          </w:rPr>
                          <m:t>keleivio vežimo sąnaudos</m:t>
                        </m:r>
                      </m:e>
                      <m:sub>
                        <m:r>
                          <m:rPr>
                            <m:nor/>
                          </m:rPr>
                          <w:rPr>
                            <w:rFonts w:eastAsia="Calibri"/>
                          </w:rPr>
                          <m:t>n-1</m:t>
                        </m:r>
                      </m:sub>
                    </m:sSub>
                  </m:num>
                  <m:den>
                    <m:sSub>
                      <m:sSubPr>
                        <m:ctrlPr>
                          <w:rPr>
                            <w:rFonts w:ascii="Cambria Math" w:eastAsia="Calibri" w:hAnsi="Cambria Math"/>
                          </w:rPr>
                        </m:ctrlPr>
                      </m:sSubPr>
                      <m:e>
                        <m:r>
                          <m:rPr>
                            <m:nor/>
                          </m:rPr>
                          <w:rPr>
                            <w:rFonts w:eastAsia="Calibri"/>
                          </w:rPr>
                          <m:t>Keleivio vežimo sąnaudos</m:t>
                        </m:r>
                      </m:e>
                      <m:sub>
                        <m:r>
                          <m:rPr>
                            <m:nor/>
                          </m:rPr>
                          <w:rPr>
                            <w:rFonts w:eastAsia="Calibri"/>
                          </w:rPr>
                          <m:t>n-1</m:t>
                        </m:r>
                      </m:sub>
                    </m:sSub>
                  </m:den>
                </m:f>
                <m:r>
                  <m:rPr>
                    <m:nor/>
                  </m:rPr>
                  <w:rPr>
                    <w:rFonts w:eastAsia="Calibri"/>
                  </w:rPr>
                  <m:t>×100</m:t>
                </m:r>
              </m:oMath>
            </m:oMathPara>
          </w:p>
          <w:p w14:paraId="06F20228" w14:textId="77777777" w:rsidR="004F5BA3" w:rsidRPr="00EB6DB6" w:rsidRDefault="00EE4E0B" w:rsidP="00EB6DB6">
            <w:pPr>
              <w:spacing w:line="360" w:lineRule="auto"/>
              <w:ind w:firstLine="282"/>
              <w:rPr>
                <w:color w:val="000000" w:themeColor="text1"/>
                <w:sz w:val="24"/>
                <w:szCs w:val="24"/>
              </w:rPr>
            </w:pPr>
            <w:r w:rsidRPr="00EB6DB6">
              <w:rPr>
                <w:sz w:val="24"/>
                <w:szCs w:val="24"/>
              </w:rPr>
              <w:t>(šioje formulėje</w:t>
            </w:r>
            <w:r w:rsidRPr="00EB6DB6">
              <w:rPr>
                <w:i/>
                <w:sz w:val="24"/>
                <w:szCs w:val="24"/>
              </w:rPr>
              <w:t xml:space="preserve"> n</w:t>
            </w:r>
            <w:r w:rsidRPr="00EB6DB6">
              <w:rPr>
                <w:sz w:val="24"/>
                <w:szCs w:val="24"/>
              </w:rPr>
              <w:t xml:space="preserve"> –</w:t>
            </w:r>
            <w:r w:rsidR="001058D3" w:rsidRPr="00EB6DB6">
              <w:rPr>
                <w:sz w:val="24"/>
                <w:szCs w:val="24"/>
              </w:rPr>
              <w:t xml:space="preserve"> </w:t>
            </w:r>
            <w:r w:rsidRPr="00EB6DB6">
              <w:rPr>
                <w:sz w:val="24"/>
                <w:szCs w:val="24"/>
              </w:rPr>
              <w:t xml:space="preserve">finansiniai metai; </w:t>
            </w:r>
            <w:r w:rsidR="001058D3" w:rsidRPr="00EB6DB6">
              <w:rPr>
                <w:i/>
                <w:sz w:val="24"/>
                <w:szCs w:val="24"/>
              </w:rPr>
              <w:t>n-1</w:t>
            </w:r>
            <w:r w:rsidRPr="00EB6DB6">
              <w:rPr>
                <w:sz w:val="24"/>
                <w:szCs w:val="24"/>
              </w:rPr>
              <w:t xml:space="preserve"> – praėję finansiniai metai)</w:t>
            </w:r>
            <w:r w:rsidR="00EB6DB6" w:rsidRPr="00EB6DB6">
              <w:rPr>
                <w:sz w:val="24"/>
                <w:szCs w:val="24"/>
              </w:rPr>
              <w:t xml:space="preserve"> </w:t>
            </w:r>
          </w:p>
          <w:p w14:paraId="0D496F28" w14:textId="77777777" w:rsidR="007C55C7" w:rsidRPr="00EB6DB6" w:rsidRDefault="00EE4E0B" w:rsidP="00EB6DB6">
            <w:pPr>
              <w:spacing w:line="360" w:lineRule="auto"/>
              <w:ind w:firstLine="282"/>
              <w:rPr>
                <w:color w:val="000000" w:themeColor="text1"/>
                <w:sz w:val="24"/>
                <w:szCs w:val="24"/>
              </w:rPr>
            </w:pPr>
            <w:r w:rsidRPr="00EB6DB6">
              <w:rPr>
                <w:color w:val="000000" w:themeColor="text1"/>
                <w:sz w:val="24"/>
                <w:szCs w:val="24"/>
              </w:rPr>
              <w:t>K</w:t>
            </w:r>
            <w:r w:rsidR="007C55C7" w:rsidRPr="00EB6DB6">
              <w:rPr>
                <w:color w:val="000000" w:themeColor="text1"/>
                <w:sz w:val="24"/>
                <w:szCs w:val="24"/>
              </w:rPr>
              <w:t>eleivio pervežimo sąnaudos</w:t>
            </w:r>
            <w:r w:rsidRPr="00EB6DB6">
              <w:rPr>
                <w:color w:val="000000" w:themeColor="text1"/>
                <w:sz w:val="24"/>
                <w:szCs w:val="24"/>
              </w:rPr>
              <w:t xml:space="preserve"> apskaičiuojamos</w:t>
            </w:r>
            <w:r w:rsidR="007C55C7" w:rsidRPr="00EB6DB6">
              <w:rPr>
                <w:color w:val="000000" w:themeColor="text1"/>
                <w:sz w:val="24"/>
                <w:szCs w:val="24"/>
              </w:rPr>
              <w:t>:</w:t>
            </w:r>
          </w:p>
          <w:p w14:paraId="553A14F7" w14:textId="77777777" w:rsidR="007C55C7" w:rsidRPr="001058D3" w:rsidRDefault="00000000" w:rsidP="007C55C7">
            <w:pPr>
              <w:jc w:val="center"/>
              <w:rPr>
                <w:i/>
              </w:rPr>
            </w:pPr>
            <m:oMathPara>
              <m:oMathParaPr>
                <m:jc m:val="center"/>
              </m:oMathParaPr>
              <m:oMath>
                <m:f>
                  <m:fPr>
                    <m:ctrlPr>
                      <w:rPr>
                        <w:rFonts w:ascii="Cambria Math" w:hAnsi="Cambria Math"/>
                        <w:i/>
                      </w:rPr>
                    </m:ctrlPr>
                  </m:fPr>
                  <m:num>
                    <m:r>
                      <m:rPr>
                        <m:nor/>
                      </m:rPr>
                      <w:rPr>
                        <w:i/>
                      </w:rPr>
                      <m:t>pagrindinės veiklos sąnaudos</m:t>
                    </m:r>
                  </m:num>
                  <m:den>
                    <m:r>
                      <m:rPr>
                        <m:nor/>
                      </m:rPr>
                      <w:rPr>
                        <w:i/>
                      </w:rPr>
                      <m:t>vežtų keleivių skaičius</m:t>
                    </m:r>
                  </m:den>
                </m:f>
              </m:oMath>
            </m:oMathPara>
          </w:p>
          <w:p w14:paraId="304333DA" w14:textId="77777777" w:rsidR="00EB6DB6" w:rsidRPr="00EB6DB6" w:rsidRDefault="007C55C7" w:rsidP="00295E6D">
            <w:pPr>
              <w:jc w:val="both"/>
              <w:rPr>
                <w:sz w:val="24"/>
                <w:szCs w:val="24"/>
              </w:rPr>
            </w:pPr>
            <w:r w:rsidRPr="00EB6DB6">
              <w:rPr>
                <w:sz w:val="24"/>
                <w:szCs w:val="24"/>
              </w:rPr>
              <w:t>(šioje formulėje</w:t>
            </w:r>
            <w:r w:rsidRPr="00EB6DB6">
              <w:rPr>
                <w:i/>
                <w:sz w:val="24"/>
                <w:szCs w:val="24"/>
              </w:rPr>
              <w:t xml:space="preserve"> pagrindinės veiklos sąnaudos</w:t>
            </w:r>
            <w:r w:rsidRPr="00EB6DB6">
              <w:rPr>
                <w:sz w:val="24"/>
                <w:szCs w:val="24"/>
              </w:rPr>
              <w:t xml:space="preserve"> – savikainos</w:t>
            </w:r>
            <w:r w:rsidR="00AC7FD5" w:rsidRPr="00EB6DB6">
              <w:rPr>
                <w:sz w:val="24"/>
                <w:szCs w:val="24"/>
              </w:rPr>
              <w:t>, neįvertinus Kauno miesto savivaldybės dotacijų</w:t>
            </w:r>
            <w:r w:rsidRPr="00EB6DB6">
              <w:rPr>
                <w:sz w:val="24"/>
                <w:szCs w:val="24"/>
              </w:rPr>
              <w:t>, pardavimo sąnaudų ir bendrųjų ir administracinių sąnaudų suma)</w:t>
            </w:r>
            <w:r w:rsidR="00EB6DB6">
              <w:rPr>
                <w:sz w:val="24"/>
                <w:szCs w:val="24"/>
              </w:rPr>
              <w:t xml:space="preserve"> </w:t>
            </w:r>
          </w:p>
        </w:tc>
        <w:tc>
          <w:tcPr>
            <w:tcW w:w="1134" w:type="dxa"/>
            <w:vAlign w:val="center"/>
          </w:tcPr>
          <w:p w14:paraId="1D291028" w14:textId="77777777" w:rsidR="007C55C7" w:rsidRPr="00AB2AA3" w:rsidRDefault="007C55C7" w:rsidP="007C55C7">
            <w:pPr>
              <w:jc w:val="center"/>
              <w:rPr>
                <w:sz w:val="24"/>
                <w:szCs w:val="24"/>
              </w:rPr>
            </w:pPr>
            <w:r w:rsidRPr="00AB2AA3">
              <w:rPr>
                <w:sz w:val="24"/>
                <w:szCs w:val="24"/>
              </w:rPr>
              <w:t>&gt; 30</w:t>
            </w:r>
          </w:p>
        </w:tc>
        <w:tc>
          <w:tcPr>
            <w:tcW w:w="1701" w:type="dxa"/>
            <w:vAlign w:val="center"/>
          </w:tcPr>
          <w:p w14:paraId="4B5D9FD4" w14:textId="77777777" w:rsidR="007C55C7" w:rsidRPr="00AB2AA3" w:rsidRDefault="007C55C7" w:rsidP="007C55C7">
            <w:pPr>
              <w:jc w:val="center"/>
              <w:rPr>
                <w:sz w:val="24"/>
                <w:szCs w:val="24"/>
              </w:rPr>
            </w:pPr>
            <w:r w:rsidRPr="00AB2AA3">
              <w:rPr>
                <w:sz w:val="24"/>
                <w:szCs w:val="24"/>
              </w:rPr>
              <w:t>30</w:t>
            </w:r>
          </w:p>
        </w:tc>
      </w:tr>
      <w:tr w:rsidR="007C55C7" w:rsidRPr="006A16E2" w14:paraId="69194CF6" w14:textId="77777777" w:rsidTr="00641926">
        <w:trPr>
          <w:trHeight w:val="503"/>
          <w:jc w:val="center"/>
        </w:trPr>
        <w:tc>
          <w:tcPr>
            <w:tcW w:w="475" w:type="dxa"/>
            <w:vMerge/>
          </w:tcPr>
          <w:p w14:paraId="0631BAEF" w14:textId="77777777" w:rsidR="007C55C7" w:rsidRPr="006A16E2" w:rsidRDefault="007C55C7" w:rsidP="007C55C7">
            <w:pPr>
              <w:jc w:val="center"/>
              <w:rPr>
                <w:sz w:val="24"/>
                <w:szCs w:val="24"/>
              </w:rPr>
            </w:pPr>
          </w:p>
        </w:tc>
        <w:tc>
          <w:tcPr>
            <w:tcW w:w="1647" w:type="dxa"/>
            <w:vMerge/>
          </w:tcPr>
          <w:p w14:paraId="3CDD0657" w14:textId="77777777" w:rsidR="007C55C7" w:rsidRPr="006A16E2" w:rsidRDefault="007C55C7" w:rsidP="007C55C7">
            <w:pPr>
              <w:jc w:val="center"/>
              <w:rPr>
                <w:sz w:val="24"/>
                <w:szCs w:val="24"/>
              </w:rPr>
            </w:pPr>
          </w:p>
        </w:tc>
        <w:tc>
          <w:tcPr>
            <w:tcW w:w="9072" w:type="dxa"/>
            <w:vMerge/>
            <w:vAlign w:val="center"/>
          </w:tcPr>
          <w:p w14:paraId="06491532" w14:textId="77777777" w:rsidR="007C55C7" w:rsidRPr="00AB2AA3" w:rsidRDefault="007C55C7" w:rsidP="007C55C7">
            <w:pPr>
              <w:jc w:val="center"/>
              <w:rPr>
                <w:sz w:val="24"/>
                <w:szCs w:val="24"/>
              </w:rPr>
            </w:pPr>
          </w:p>
        </w:tc>
        <w:tc>
          <w:tcPr>
            <w:tcW w:w="1134" w:type="dxa"/>
            <w:vAlign w:val="center"/>
          </w:tcPr>
          <w:p w14:paraId="3CBECD9F" w14:textId="77777777" w:rsidR="007C55C7" w:rsidRPr="00AB2AA3" w:rsidRDefault="00CA13ED" w:rsidP="007C55C7">
            <w:pPr>
              <w:jc w:val="center"/>
              <w:rPr>
                <w:sz w:val="24"/>
                <w:szCs w:val="24"/>
              </w:rPr>
            </w:pPr>
            <w:r>
              <w:rPr>
                <w:sz w:val="24"/>
                <w:szCs w:val="24"/>
              </w:rPr>
              <w:t>&gt; 25</w:t>
            </w:r>
          </w:p>
        </w:tc>
        <w:tc>
          <w:tcPr>
            <w:tcW w:w="1701" w:type="dxa"/>
            <w:vAlign w:val="center"/>
          </w:tcPr>
          <w:p w14:paraId="7EE317E9" w14:textId="77777777" w:rsidR="007C55C7" w:rsidRPr="00AB2AA3" w:rsidRDefault="007C55C7" w:rsidP="007C55C7">
            <w:pPr>
              <w:jc w:val="center"/>
              <w:rPr>
                <w:sz w:val="24"/>
                <w:szCs w:val="24"/>
              </w:rPr>
            </w:pPr>
            <w:r w:rsidRPr="00AB2AA3">
              <w:rPr>
                <w:sz w:val="24"/>
                <w:szCs w:val="24"/>
              </w:rPr>
              <w:t>20</w:t>
            </w:r>
          </w:p>
        </w:tc>
      </w:tr>
      <w:tr w:rsidR="007C55C7" w:rsidRPr="006A16E2" w14:paraId="6B47FEEC" w14:textId="77777777" w:rsidTr="00641926">
        <w:trPr>
          <w:trHeight w:val="503"/>
          <w:jc w:val="center"/>
        </w:trPr>
        <w:tc>
          <w:tcPr>
            <w:tcW w:w="475" w:type="dxa"/>
            <w:vMerge/>
          </w:tcPr>
          <w:p w14:paraId="0AAA7B5F" w14:textId="77777777" w:rsidR="007C55C7" w:rsidRPr="006A16E2" w:rsidRDefault="007C55C7" w:rsidP="007C55C7">
            <w:pPr>
              <w:jc w:val="center"/>
              <w:rPr>
                <w:sz w:val="24"/>
                <w:szCs w:val="24"/>
              </w:rPr>
            </w:pPr>
          </w:p>
        </w:tc>
        <w:tc>
          <w:tcPr>
            <w:tcW w:w="1647" w:type="dxa"/>
            <w:vMerge/>
          </w:tcPr>
          <w:p w14:paraId="494BA49B" w14:textId="77777777" w:rsidR="007C55C7" w:rsidRPr="006A16E2" w:rsidRDefault="007C55C7" w:rsidP="007C55C7">
            <w:pPr>
              <w:jc w:val="center"/>
              <w:rPr>
                <w:sz w:val="24"/>
                <w:szCs w:val="24"/>
              </w:rPr>
            </w:pPr>
          </w:p>
        </w:tc>
        <w:tc>
          <w:tcPr>
            <w:tcW w:w="9072" w:type="dxa"/>
            <w:vMerge/>
            <w:vAlign w:val="center"/>
          </w:tcPr>
          <w:p w14:paraId="75F6B7E1" w14:textId="77777777" w:rsidR="007C55C7" w:rsidRPr="00AB2AA3" w:rsidRDefault="007C55C7" w:rsidP="007C55C7">
            <w:pPr>
              <w:jc w:val="center"/>
              <w:rPr>
                <w:sz w:val="24"/>
                <w:szCs w:val="24"/>
              </w:rPr>
            </w:pPr>
          </w:p>
        </w:tc>
        <w:tc>
          <w:tcPr>
            <w:tcW w:w="1134" w:type="dxa"/>
            <w:vAlign w:val="center"/>
          </w:tcPr>
          <w:p w14:paraId="14F93052" w14:textId="77777777" w:rsidR="007C55C7" w:rsidRPr="00AB2AA3" w:rsidRDefault="00CA13ED" w:rsidP="007C55C7">
            <w:pPr>
              <w:jc w:val="center"/>
              <w:rPr>
                <w:sz w:val="24"/>
                <w:szCs w:val="24"/>
              </w:rPr>
            </w:pPr>
            <w:r>
              <w:rPr>
                <w:sz w:val="24"/>
                <w:szCs w:val="24"/>
              </w:rPr>
              <w:t>&gt; 20</w:t>
            </w:r>
          </w:p>
        </w:tc>
        <w:tc>
          <w:tcPr>
            <w:tcW w:w="1701" w:type="dxa"/>
            <w:vAlign w:val="center"/>
          </w:tcPr>
          <w:p w14:paraId="36BF7DC0" w14:textId="77777777" w:rsidR="007C55C7" w:rsidRPr="00AB2AA3" w:rsidRDefault="007C55C7" w:rsidP="007C55C7">
            <w:pPr>
              <w:jc w:val="center"/>
              <w:rPr>
                <w:sz w:val="24"/>
                <w:szCs w:val="24"/>
              </w:rPr>
            </w:pPr>
            <w:r w:rsidRPr="00AB2AA3">
              <w:rPr>
                <w:sz w:val="24"/>
                <w:szCs w:val="24"/>
              </w:rPr>
              <w:t>10</w:t>
            </w:r>
          </w:p>
        </w:tc>
      </w:tr>
      <w:tr w:rsidR="007C55C7" w:rsidRPr="006A16E2" w14:paraId="7875926F" w14:textId="77777777" w:rsidTr="00641926">
        <w:trPr>
          <w:trHeight w:val="504"/>
          <w:jc w:val="center"/>
        </w:trPr>
        <w:tc>
          <w:tcPr>
            <w:tcW w:w="475" w:type="dxa"/>
            <w:vMerge/>
          </w:tcPr>
          <w:p w14:paraId="440B8B36" w14:textId="77777777" w:rsidR="007C55C7" w:rsidRPr="006A16E2" w:rsidRDefault="007C55C7" w:rsidP="007C55C7">
            <w:pPr>
              <w:jc w:val="center"/>
              <w:rPr>
                <w:sz w:val="24"/>
                <w:szCs w:val="24"/>
              </w:rPr>
            </w:pPr>
          </w:p>
        </w:tc>
        <w:tc>
          <w:tcPr>
            <w:tcW w:w="1647" w:type="dxa"/>
            <w:vMerge/>
          </w:tcPr>
          <w:p w14:paraId="09E86A9E" w14:textId="77777777" w:rsidR="007C55C7" w:rsidRPr="006A16E2" w:rsidRDefault="007C55C7" w:rsidP="007C55C7">
            <w:pPr>
              <w:jc w:val="center"/>
              <w:rPr>
                <w:sz w:val="24"/>
                <w:szCs w:val="24"/>
              </w:rPr>
            </w:pPr>
          </w:p>
        </w:tc>
        <w:tc>
          <w:tcPr>
            <w:tcW w:w="9072" w:type="dxa"/>
            <w:vMerge/>
            <w:vAlign w:val="center"/>
          </w:tcPr>
          <w:p w14:paraId="344ED444" w14:textId="77777777" w:rsidR="007C55C7" w:rsidRPr="00AB2AA3" w:rsidRDefault="007C55C7" w:rsidP="007C55C7">
            <w:pPr>
              <w:jc w:val="center"/>
              <w:rPr>
                <w:sz w:val="24"/>
                <w:szCs w:val="24"/>
              </w:rPr>
            </w:pPr>
          </w:p>
        </w:tc>
        <w:tc>
          <w:tcPr>
            <w:tcW w:w="1134" w:type="dxa"/>
            <w:vAlign w:val="center"/>
          </w:tcPr>
          <w:p w14:paraId="4F31F644" w14:textId="77777777" w:rsidR="007C55C7" w:rsidRPr="00AB2AA3" w:rsidRDefault="00CA13ED" w:rsidP="007C55C7">
            <w:pPr>
              <w:jc w:val="center"/>
              <w:rPr>
                <w:sz w:val="24"/>
                <w:szCs w:val="24"/>
              </w:rPr>
            </w:pPr>
            <w:r>
              <w:rPr>
                <w:sz w:val="24"/>
                <w:szCs w:val="24"/>
              </w:rPr>
              <w:t>≤ 20</w:t>
            </w:r>
          </w:p>
        </w:tc>
        <w:tc>
          <w:tcPr>
            <w:tcW w:w="1701" w:type="dxa"/>
            <w:vAlign w:val="center"/>
          </w:tcPr>
          <w:p w14:paraId="4AC16612" w14:textId="77777777" w:rsidR="007C55C7" w:rsidRPr="00AB2AA3" w:rsidRDefault="007C55C7" w:rsidP="007C55C7">
            <w:pPr>
              <w:jc w:val="center"/>
              <w:rPr>
                <w:sz w:val="24"/>
                <w:szCs w:val="24"/>
              </w:rPr>
            </w:pPr>
            <w:r w:rsidRPr="00AB2AA3">
              <w:rPr>
                <w:sz w:val="24"/>
                <w:szCs w:val="24"/>
              </w:rPr>
              <w:t>0</w:t>
            </w:r>
          </w:p>
        </w:tc>
      </w:tr>
      <w:tr w:rsidR="007C55C7" w:rsidRPr="006A16E2" w14:paraId="19829668" w14:textId="77777777" w:rsidTr="00641926">
        <w:trPr>
          <w:trHeight w:val="302"/>
          <w:jc w:val="center"/>
        </w:trPr>
        <w:tc>
          <w:tcPr>
            <w:tcW w:w="475" w:type="dxa"/>
            <w:vMerge w:val="restart"/>
          </w:tcPr>
          <w:p w14:paraId="517F9A9E" w14:textId="77777777" w:rsidR="007C55C7" w:rsidRPr="006A16E2" w:rsidRDefault="007C55C7" w:rsidP="007C55C7">
            <w:pPr>
              <w:jc w:val="center"/>
              <w:rPr>
                <w:sz w:val="24"/>
                <w:szCs w:val="24"/>
              </w:rPr>
            </w:pPr>
            <w:r w:rsidRPr="006A16E2">
              <w:rPr>
                <w:sz w:val="24"/>
                <w:szCs w:val="24"/>
              </w:rPr>
              <w:t>5.</w:t>
            </w:r>
          </w:p>
        </w:tc>
        <w:tc>
          <w:tcPr>
            <w:tcW w:w="1647" w:type="dxa"/>
            <w:vMerge w:val="restart"/>
          </w:tcPr>
          <w:p w14:paraId="275B87A0" w14:textId="77777777" w:rsidR="007C55C7" w:rsidRPr="006A16E2" w:rsidRDefault="00B37909" w:rsidP="00295E6D">
            <w:pPr>
              <w:jc w:val="center"/>
              <w:rPr>
                <w:sz w:val="24"/>
                <w:szCs w:val="24"/>
              </w:rPr>
            </w:pPr>
            <w:r w:rsidRPr="00C72630">
              <w:rPr>
                <w:sz w:val="24"/>
                <w:szCs w:val="24"/>
              </w:rPr>
              <w:t>Uždaroji akcinė bendrovė</w:t>
            </w:r>
            <w:r w:rsidR="007C55C7" w:rsidRPr="00C72630">
              <w:rPr>
                <w:sz w:val="24"/>
                <w:szCs w:val="24"/>
              </w:rPr>
              <w:t xml:space="preserve"> „Kauno gatvių</w:t>
            </w:r>
            <w:r w:rsidR="007C55C7" w:rsidRPr="006A16E2">
              <w:rPr>
                <w:sz w:val="24"/>
                <w:szCs w:val="24"/>
              </w:rPr>
              <w:t xml:space="preserve"> apšvietimas“</w:t>
            </w:r>
          </w:p>
        </w:tc>
        <w:tc>
          <w:tcPr>
            <w:tcW w:w="9072" w:type="dxa"/>
            <w:vMerge w:val="restart"/>
          </w:tcPr>
          <w:p w14:paraId="7D6ED1FF" w14:textId="77777777" w:rsidR="00D94B0B" w:rsidRDefault="007C55C7" w:rsidP="007C55C7">
            <w:pPr>
              <w:spacing w:after="120"/>
              <w:jc w:val="center"/>
              <w:rPr>
                <w:sz w:val="24"/>
                <w:szCs w:val="24"/>
              </w:rPr>
            </w:pPr>
            <w:r w:rsidRPr="00DA229C">
              <w:rPr>
                <w:sz w:val="24"/>
                <w:szCs w:val="24"/>
              </w:rPr>
              <w:t>Pardavimo pajamų, gautų ne iš veiklos, skirtos Savivaldybės poreikiams tenkinti ir funkcijoms atlikti, dalis</w:t>
            </w:r>
            <w:r w:rsidR="00AB0C94">
              <w:rPr>
                <w:sz w:val="24"/>
                <w:szCs w:val="24"/>
              </w:rPr>
              <w:t xml:space="preserve"> finansiniais metais</w:t>
            </w:r>
            <w:r w:rsidRPr="00DA229C">
              <w:rPr>
                <w:sz w:val="24"/>
                <w:szCs w:val="24"/>
              </w:rPr>
              <w:t>, proc.</w:t>
            </w:r>
          </w:p>
          <w:p w14:paraId="1F7B31C7" w14:textId="77777777" w:rsidR="00EE4E0B" w:rsidRPr="00E71BC2" w:rsidRDefault="00000000" w:rsidP="00E82C77">
            <w:pPr>
              <w:spacing w:after="120"/>
              <w:jc w:val="center"/>
              <w:rPr>
                <w:sz w:val="18"/>
                <w:szCs w:val="18"/>
              </w:rPr>
            </w:pPr>
            <m:oMathPara>
              <m:oMath>
                <m:f>
                  <m:fPr>
                    <m:ctrlPr>
                      <w:rPr>
                        <w:rFonts w:ascii="Cambria Math" w:hAnsi="Cambria Math"/>
                        <w:sz w:val="18"/>
                        <w:szCs w:val="18"/>
                      </w:rPr>
                    </m:ctrlPr>
                  </m:fPr>
                  <m:num>
                    <m:sSub>
                      <m:sSubPr>
                        <m:ctrlPr>
                          <w:rPr>
                            <w:rFonts w:ascii="Cambria Math" w:hAnsi="Cambria Math"/>
                            <w:sz w:val="18"/>
                            <w:szCs w:val="18"/>
                          </w:rPr>
                        </m:ctrlPr>
                      </m:sSubPr>
                      <m:e>
                        <m:r>
                          <m:rPr>
                            <m:nor/>
                          </m:rPr>
                          <w:rPr>
                            <w:sz w:val="18"/>
                            <w:szCs w:val="18"/>
                          </w:rPr>
                          <m:t xml:space="preserve"> </m:t>
                        </m:r>
                        <m:r>
                          <m:rPr>
                            <m:nor/>
                          </m:rPr>
                          <w:rPr>
                            <w:rFonts w:ascii="Cambria Math"/>
                            <w:sz w:val="18"/>
                            <w:szCs w:val="18"/>
                          </w:rPr>
                          <m:t>Pardavimo p</m:t>
                        </m:r>
                        <m:r>
                          <m:rPr>
                            <m:nor/>
                          </m:rPr>
                          <w:rPr>
                            <w:sz w:val="18"/>
                            <w:szCs w:val="18"/>
                          </w:rPr>
                          <m:t>ajamos, gautos ne iš veiklos, skirtos Savivaldybės poreikiams tenkinti ir funkcijoms atlikti</m:t>
                        </m:r>
                      </m:e>
                      <m:sub/>
                    </m:sSub>
                  </m:num>
                  <m:den>
                    <m:sSub>
                      <m:sSubPr>
                        <m:ctrlPr>
                          <w:rPr>
                            <w:rFonts w:ascii="Cambria Math" w:hAnsi="Cambria Math"/>
                            <w:sz w:val="18"/>
                            <w:szCs w:val="18"/>
                          </w:rPr>
                        </m:ctrlPr>
                      </m:sSubPr>
                      <m:e>
                        <m:r>
                          <m:rPr>
                            <m:nor/>
                          </m:rPr>
                          <w:rPr>
                            <w:sz w:val="18"/>
                            <w:szCs w:val="18"/>
                          </w:rPr>
                          <m:t>Pardavimo pajamos</m:t>
                        </m:r>
                      </m:e>
                      <m:sub/>
                    </m:sSub>
                  </m:den>
                </m:f>
                <m:r>
                  <m:rPr>
                    <m:nor/>
                  </m:rPr>
                  <w:rPr>
                    <w:sz w:val="18"/>
                    <w:szCs w:val="18"/>
                  </w:rPr>
                  <m:t>×100</m:t>
                </m:r>
              </m:oMath>
            </m:oMathPara>
          </w:p>
        </w:tc>
        <w:tc>
          <w:tcPr>
            <w:tcW w:w="1134" w:type="dxa"/>
            <w:vAlign w:val="center"/>
          </w:tcPr>
          <w:p w14:paraId="543168CC" w14:textId="77777777" w:rsidR="007C55C7" w:rsidRPr="00DA229C" w:rsidRDefault="007C55C7" w:rsidP="007C55C7">
            <w:pPr>
              <w:jc w:val="center"/>
              <w:rPr>
                <w:sz w:val="24"/>
                <w:szCs w:val="24"/>
              </w:rPr>
            </w:pPr>
            <w:r w:rsidRPr="00DA229C">
              <w:rPr>
                <w:sz w:val="24"/>
                <w:szCs w:val="24"/>
              </w:rPr>
              <w:t xml:space="preserve">&gt; </w:t>
            </w:r>
            <w:r>
              <w:rPr>
                <w:sz w:val="24"/>
                <w:szCs w:val="24"/>
              </w:rPr>
              <w:t>15</w:t>
            </w:r>
          </w:p>
        </w:tc>
        <w:tc>
          <w:tcPr>
            <w:tcW w:w="1701" w:type="dxa"/>
            <w:vAlign w:val="center"/>
          </w:tcPr>
          <w:p w14:paraId="068E3B38" w14:textId="77777777" w:rsidR="007C55C7" w:rsidRPr="00DA229C" w:rsidRDefault="007C55C7" w:rsidP="007C55C7">
            <w:pPr>
              <w:jc w:val="center"/>
              <w:rPr>
                <w:sz w:val="24"/>
                <w:szCs w:val="24"/>
              </w:rPr>
            </w:pPr>
            <w:r w:rsidRPr="00DA229C">
              <w:rPr>
                <w:sz w:val="24"/>
                <w:szCs w:val="24"/>
              </w:rPr>
              <w:t>30</w:t>
            </w:r>
          </w:p>
        </w:tc>
      </w:tr>
      <w:tr w:rsidR="007C55C7" w:rsidRPr="006A16E2" w14:paraId="1B15D2C1" w14:textId="77777777" w:rsidTr="00641926">
        <w:trPr>
          <w:trHeight w:val="303"/>
          <w:jc w:val="center"/>
        </w:trPr>
        <w:tc>
          <w:tcPr>
            <w:tcW w:w="475" w:type="dxa"/>
            <w:vMerge/>
          </w:tcPr>
          <w:p w14:paraId="41D0DD10" w14:textId="77777777" w:rsidR="007C55C7" w:rsidRPr="006A16E2" w:rsidRDefault="007C55C7" w:rsidP="007C55C7">
            <w:pPr>
              <w:jc w:val="center"/>
              <w:rPr>
                <w:sz w:val="24"/>
                <w:szCs w:val="24"/>
              </w:rPr>
            </w:pPr>
          </w:p>
        </w:tc>
        <w:tc>
          <w:tcPr>
            <w:tcW w:w="1647" w:type="dxa"/>
            <w:vMerge/>
          </w:tcPr>
          <w:p w14:paraId="04BD7B05" w14:textId="77777777" w:rsidR="007C55C7" w:rsidRPr="006A16E2" w:rsidRDefault="007C55C7" w:rsidP="007C55C7">
            <w:pPr>
              <w:pStyle w:val="Betarp"/>
              <w:spacing w:line="360" w:lineRule="auto"/>
              <w:jc w:val="center"/>
              <w:rPr>
                <w:sz w:val="24"/>
                <w:szCs w:val="24"/>
              </w:rPr>
            </w:pPr>
          </w:p>
        </w:tc>
        <w:tc>
          <w:tcPr>
            <w:tcW w:w="9072" w:type="dxa"/>
            <w:vMerge/>
            <w:vAlign w:val="center"/>
          </w:tcPr>
          <w:p w14:paraId="742517E0" w14:textId="77777777" w:rsidR="007C55C7" w:rsidRPr="00DA229C" w:rsidRDefault="007C55C7" w:rsidP="007C55C7">
            <w:pPr>
              <w:pStyle w:val="Betarp"/>
              <w:spacing w:line="360" w:lineRule="auto"/>
              <w:rPr>
                <w:sz w:val="24"/>
                <w:szCs w:val="24"/>
              </w:rPr>
            </w:pPr>
          </w:p>
        </w:tc>
        <w:tc>
          <w:tcPr>
            <w:tcW w:w="1134" w:type="dxa"/>
            <w:tcBorders>
              <w:top w:val="single" w:sz="4" w:space="0" w:color="auto"/>
            </w:tcBorders>
            <w:vAlign w:val="center"/>
          </w:tcPr>
          <w:p w14:paraId="4E11DAE5" w14:textId="77777777" w:rsidR="007C55C7" w:rsidRPr="00DA229C" w:rsidRDefault="007C55C7" w:rsidP="007C55C7">
            <w:pPr>
              <w:jc w:val="center"/>
              <w:rPr>
                <w:sz w:val="24"/>
                <w:szCs w:val="24"/>
              </w:rPr>
            </w:pPr>
            <w:r w:rsidRPr="00DA229C">
              <w:rPr>
                <w:sz w:val="24"/>
                <w:szCs w:val="24"/>
              </w:rPr>
              <w:t xml:space="preserve">&gt; </w:t>
            </w:r>
            <w:r>
              <w:rPr>
                <w:sz w:val="24"/>
                <w:szCs w:val="24"/>
              </w:rPr>
              <w:t>13</w:t>
            </w:r>
          </w:p>
        </w:tc>
        <w:tc>
          <w:tcPr>
            <w:tcW w:w="1701" w:type="dxa"/>
            <w:vAlign w:val="center"/>
          </w:tcPr>
          <w:p w14:paraId="1E075A09" w14:textId="77777777" w:rsidR="007C55C7" w:rsidRPr="00DA229C" w:rsidRDefault="007C55C7" w:rsidP="007C55C7">
            <w:pPr>
              <w:jc w:val="center"/>
              <w:rPr>
                <w:sz w:val="24"/>
                <w:szCs w:val="24"/>
              </w:rPr>
            </w:pPr>
            <w:r w:rsidRPr="00DA229C">
              <w:rPr>
                <w:sz w:val="24"/>
                <w:szCs w:val="24"/>
              </w:rPr>
              <w:t>20</w:t>
            </w:r>
          </w:p>
        </w:tc>
      </w:tr>
      <w:tr w:rsidR="007C55C7" w:rsidRPr="006A16E2" w14:paraId="27D301E2" w14:textId="77777777" w:rsidTr="00641926">
        <w:trPr>
          <w:trHeight w:val="302"/>
          <w:jc w:val="center"/>
        </w:trPr>
        <w:tc>
          <w:tcPr>
            <w:tcW w:w="475" w:type="dxa"/>
            <w:vMerge/>
          </w:tcPr>
          <w:p w14:paraId="2F42F488" w14:textId="77777777" w:rsidR="007C55C7" w:rsidRPr="006A16E2" w:rsidRDefault="007C55C7" w:rsidP="007C55C7">
            <w:pPr>
              <w:jc w:val="center"/>
              <w:rPr>
                <w:sz w:val="24"/>
                <w:szCs w:val="24"/>
              </w:rPr>
            </w:pPr>
          </w:p>
        </w:tc>
        <w:tc>
          <w:tcPr>
            <w:tcW w:w="1647" w:type="dxa"/>
            <w:vMerge/>
          </w:tcPr>
          <w:p w14:paraId="36ABC4A6" w14:textId="77777777" w:rsidR="007C55C7" w:rsidRPr="006A16E2" w:rsidRDefault="007C55C7" w:rsidP="007C55C7">
            <w:pPr>
              <w:pStyle w:val="Betarp"/>
              <w:spacing w:line="360" w:lineRule="auto"/>
              <w:jc w:val="center"/>
              <w:rPr>
                <w:sz w:val="24"/>
                <w:szCs w:val="24"/>
              </w:rPr>
            </w:pPr>
          </w:p>
        </w:tc>
        <w:tc>
          <w:tcPr>
            <w:tcW w:w="9072" w:type="dxa"/>
            <w:vMerge/>
            <w:vAlign w:val="center"/>
          </w:tcPr>
          <w:p w14:paraId="76A3D377" w14:textId="77777777" w:rsidR="007C55C7" w:rsidRPr="00DA229C" w:rsidRDefault="007C55C7" w:rsidP="007C55C7">
            <w:pPr>
              <w:pStyle w:val="Betarp"/>
              <w:spacing w:line="360" w:lineRule="auto"/>
              <w:rPr>
                <w:sz w:val="24"/>
                <w:szCs w:val="24"/>
              </w:rPr>
            </w:pPr>
          </w:p>
        </w:tc>
        <w:tc>
          <w:tcPr>
            <w:tcW w:w="1134" w:type="dxa"/>
            <w:tcBorders>
              <w:top w:val="single" w:sz="4" w:space="0" w:color="auto"/>
            </w:tcBorders>
            <w:vAlign w:val="center"/>
          </w:tcPr>
          <w:p w14:paraId="05F48128" w14:textId="77777777" w:rsidR="007C55C7" w:rsidRPr="00DA229C" w:rsidRDefault="007C55C7" w:rsidP="007C55C7">
            <w:pPr>
              <w:jc w:val="center"/>
              <w:rPr>
                <w:sz w:val="24"/>
                <w:szCs w:val="24"/>
              </w:rPr>
            </w:pPr>
            <w:r w:rsidRPr="00DA229C">
              <w:rPr>
                <w:sz w:val="24"/>
                <w:szCs w:val="24"/>
              </w:rPr>
              <w:t xml:space="preserve">&gt; </w:t>
            </w:r>
            <w:r>
              <w:rPr>
                <w:sz w:val="24"/>
                <w:szCs w:val="24"/>
              </w:rPr>
              <w:t>10</w:t>
            </w:r>
          </w:p>
        </w:tc>
        <w:tc>
          <w:tcPr>
            <w:tcW w:w="1701" w:type="dxa"/>
            <w:vAlign w:val="center"/>
          </w:tcPr>
          <w:p w14:paraId="100B9800" w14:textId="77777777" w:rsidR="007C55C7" w:rsidRPr="00DA229C" w:rsidRDefault="007C55C7" w:rsidP="007C55C7">
            <w:pPr>
              <w:jc w:val="center"/>
              <w:rPr>
                <w:sz w:val="24"/>
                <w:szCs w:val="24"/>
              </w:rPr>
            </w:pPr>
            <w:r w:rsidRPr="00DA229C">
              <w:rPr>
                <w:sz w:val="24"/>
                <w:szCs w:val="24"/>
              </w:rPr>
              <w:t>10</w:t>
            </w:r>
          </w:p>
        </w:tc>
      </w:tr>
      <w:tr w:rsidR="007C55C7" w:rsidRPr="006A16E2" w14:paraId="3E5D9558" w14:textId="77777777" w:rsidTr="00641926">
        <w:trPr>
          <w:trHeight w:val="303"/>
          <w:jc w:val="center"/>
        </w:trPr>
        <w:tc>
          <w:tcPr>
            <w:tcW w:w="475" w:type="dxa"/>
            <w:vMerge/>
          </w:tcPr>
          <w:p w14:paraId="64FBF252" w14:textId="77777777" w:rsidR="007C55C7" w:rsidRPr="006A16E2" w:rsidRDefault="007C55C7" w:rsidP="007C55C7">
            <w:pPr>
              <w:jc w:val="center"/>
              <w:rPr>
                <w:sz w:val="24"/>
                <w:szCs w:val="24"/>
              </w:rPr>
            </w:pPr>
          </w:p>
        </w:tc>
        <w:tc>
          <w:tcPr>
            <w:tcW w:w="1647" w:type="dxa"/>
            <w:vMerge/>
          </w:tcPr>
          <w:p w14:paraId="308C2EF9" w14:textId="77777777" w:rsidR="007C55C7" w:rsidRPr="006A16E2" w:rsidRDefault="007C55C7" w:rsidP="007C55C7">
            <w:pPr>
              <w:pStyle w:val="Betarp"/>
              <w:spacing w:line="360" w:lineRule="auto"/>
              <w:jc w:val="center"/>
              <w:rPr>
                <w:sz w:val="24"/>
                <w:szCs w:val="24"/>
              </w:rPr>
            </w:pPr>
          </w:p>
        </w:tc>
        <w:tc>
          <w:tcPr>
            <w:tcW w:w="9072" w:type="dxa"/>
            <w:vMerge/>
            <w:vAlign w:val="center"/>
          </w:tcPr>
          <w:p w14:paraId="0CF2D19D" w14:textId="77777777" w:rsidR="007C55C7" w:rsidRPr="00DA229C" w:rsidRDefault="007C55C7" w:rsidP="007C55C7">
            <w:pPr>
              <w:pStyle w:val="Betarp"/>
              <w:spacing w:line="360" w:lineRule="auto"/>
              <w:rPr>
                <w:sz w:val="24"/>
                <w:szCs w:val="24"/>
              </w:rPr>
            </w:pPr>
          </w:p>
        </w:tc>
        <w:tc>
          <w:tcPr>
            <w:tcW w:w="1134" w:type="dxa"/>
            <w:tcBorders>
              <w:top w:val="single" w:sz="4" w:space="0" w:color="auto"/>
            </w:tcBorders>
            <w:vAlign w:val="center"/>
          </w:tcPr>
          <w:p w14:paraId="5A602EA1" w14:textId="77777777" w:rsidR="007C55C7" w:rsidRPr="00DA229C" w:rsidRDefault="007C55C7" w:rsidP="007C55C7">
            <w:pPr>
              <w:jc w:val="center"/>
              <w:rPr>
                <w:sz w:val="24"/>
                <w:szCs w:val="24"/>
              </w:rPr>
            </w:pPr>
            <w:r w:rsidRPr="00DA229C">
              <w:rPr>
                <w:sz w:val="24"/>
                <w:szCs w:val="24"/>
              </w:rPr>
              <w:t>≤</w:t>
            </w:r>
            <w:r>
              <w:rPr>
                <w:sz w:val="24"/>
                <w:szCs w:val="24"/>
              </w:rPr>
              <w:t xml:space="preserve"> 10</w:t>
            </w:r>
          </w:p>
        </w:tc>
        <w:tc>
          <w:tcPr>
            <w:tcW w:w="1701" w:type="dxa"/>
            <w:vAlign w:val="center"/>
          </w:tcPr>
          <w:p w14:paraId="36E9B1FA" w14:textId="77777777" w:rsidR="007C55C7" w:rsidRPr="00DA229C" w:rsidRDefault="007C55C7" w:rsidP="007C55C7">
            <w:pPr>
              <w:jc w:val="center"/>
              <w:rPr>
                <w:sz w:val="24"/>
                <w:szCs w:val="24"/>
              </w:rPr>
            </w:pPr>
            <w:r w:rsidRPr="00DA229C">
              <w:rPr>
                <w:sz w:val="24"/>
                <w:szCs w:val="24"/>
              </w:rPr>
              <w:t>0</w:t>
            </w:r>
          </w:p>
        </w:tc>
      </w:tr>
      <w:tr w:rsidR="007C55C7" w:rsidRPr="006A16E2" w14:paraId="39C4C879" w14:textId="77777777" w:rsidTr="00641926">
        <w:trPr>
          <w:trHeight w:val="300"/>
          <w:jc w:val="center"/>
        </w:trPr>
        <w:tc>
          <w:tcPr>
            <w:tcW w:w="475" w:type="dxa"/>
            <w:vMerge w:val="restart"/>
          </w:tcPr>
          <w:p w14:paraId="27371C6C" w14:textId="77777777" w:rsidR="007C55C7" w:rsidRPr="00085B1E" w:rsidRDefault="007C55C7" w:rsidP="007C55C7">
            <w:pPr>
              <w:jc w:val="center"/>
              <w:rPr>
                <w:sz w:val="24"/>
                <w:szCs w:val="24"/>
              </w:rPr>
            </w:pPr>
            <w:r w:rsidRPr="00085B1E">
              <w:rPr>
                <w:sz w:val="24"/>
                <w:szCs w:val="24"/>
              </w:rPr>
              <w:t>6.</w:t>
            </w:r>
          </w:p>
        </w:tc>
        <w:tc>
          <w:tcPr>
            <w:tcW w:w="1647" w:type="dxa"/>
            <w:vMerge w:val="restart"/>
          </w:tcPr>
          <w:p w14:paraId="084A31B5" w14:textId="77777777" w:rsidR="007C55C7" w:rsidRPr="00ED7BF3" w:rsidRDefault="007C55C7" w:rsidP="007C55C7">
            <w:pPr>
              <w:jc w:val="center"/>
            </w:pPr>
            <w:r>
              <w:rPr>
                <w:sz w:val="24"/>
                <w:szCs w:val="24"/>
              </w:rPr>
              <w:t>UAB Kauno butų ūkis</w:t>
            </w:r>
          </w:p>
        </w:tc>
        <w:tc>
          <w:tcPr>
            <w:tcW w:w="9072" w:type="dxa"/>
            <w:vMerge w:val="restart"/>
          </w:tcPr>
          <w:p w14:paraId="21619165" w14:textId="77777777" w:rsidR="007C55C7" w:rsidRDefault="00E82C77" w:rsidP="007C55C7">
            <w:pPr>
              <w:jc w:val="center"/>
              <w:rPr>
                <w:sz w:val="24"/>
                <w:szCs w:val="24"/>
              </w:rPr>
            </w:pPr>
            <w:r>
              <w:rPr>
                <w:sz w:val="24"/>
                <w:szCs w:val="24"/>
              </w:rPr>
              <w:t>B</w:t>
            </w:r>
            <w:r w:rsidR="007C55C7" w:rsidRPr="00E90829">
              <w:rPr>
                <w:sz w:val="24"/>
                <w:szCs w:val="24"/>
              </w:rPr>
              <w:t>endrovės administruojamų daugiabučių gyvenamųjų namų skaičiaus</w:t>
            </w:r>
            <w:r w:rsidR="000B2187">
              <w:rPr>
                <w:sz w:val="24"/>
                <w:szCs w:val="24"/>
              </w:rPr>
              <w:t>*</w:t>
            </w:r>
            <w:r w:rsidR="007C55C7" w:rsidRPr="00E90829">
              <w:rPr>
                <w:sz w:val="24"/>
                <w:szCs w:val="24"/>
              </w:rPr>
              <w:t xml:space="preserve"> didėjimas, proc.</w:t>
            </w:r>
          </w:p>
          <w:p w14:paraId="3713A2B6" w14:textId="77777777" w:rsidR="00EE4E0B" w:rsidRPr="00E90829" w:rsidRDefault="00EE4E0B" w:rsidP="007C55C7">
            <w:pPr>
              <w:jc w:val="center"/>
              <w:rPr>
                <w:sz w:val="24"/>
                <w:szCs w:val="24"/>
              </w:rPr>
            </w:pPr>
          </w:p>
          <w:p w14:paraId="075603DA" w14:textId="77777777" w:rsidR="007C55C7" w:rsidRPr="000B2187" w:rsidRDefault="00000000" w:rsidP="00A90E78">
            <w:pPr>
              <w:spacing w:after="200" w:line="340" w:lineRule="atLeast"/>
              <w:jc w:val="center"/>
            </w:pPr>
            <m:oMathPara>
              <m:oMath>
                <m:f>
                  <m:fPr>
                    <m:ctrlPr>
                      <w:rPr>
                        <w:rFonts w:ascii="Cambria Math" w:eastAsia="Calibri" w:hAnsi="Cambria Math"/>
                      </w:rPr>
                    </m:ctrlPr>
                  </m:fPr>
                  <m:num>
                    <m:sSub>
                      <m:sSubPr>
                        <m:ctrlPr>
                          <w:rPr>
                            <w:rFonts w:ascii="Cambria Math" w:eastAsia="Calibri" w:hAnsi="Cambria Math"/>
                          </w:rPr>
                        </m:ctrlPr>
                      </m:sSubPr>
                      <m:e>
                        <m:r>
                          <m:rPr>
                            <m:nor/>
                          </m:rPr>
                          <w:rPr>
                            <w:rFonts w:eastAsia="Calibri"/>
                          </w:rPr>
                          <m:t>Administruojamų namų skaičius</m:t>
                        </m:r>
                      </m:e>
                      <m:sub>
                        <m:r>
                          <m:rPr>
                            <m:sty m:val="p"/>
                          </m:rPr>
                          <w:rPr>
                            <w:rFonts w:ascii="Cambria Math" w:eastAsia="Calibri" w:hAnsi="Cambria Math"/>
                          </w:rPr>
                          <m:t>n</m:t>
                        </m:r>
                      </m:sub>
                    </m:sSub>
                    <m:r>
                      <m:rPr>
                        <m:sty m:val="p"/>
                      </m:rPr>
                      <w:rPr>
                        <w:rFonts w:ascii="Cambria Math" w:eastAsia="Calibri" w:hAnsi="Cambria Math"/>
                      </w:rPr>
                      <m:t xml:space="preserve">- </m:t>
                    </m:r>
                    <m:sSub>
                      <m:sSubPr>
                        <m:ctrlPr>
                          <w:rPr>
                            <w:rFonts w:ascii="Cambria Math" w:eastAsia="Calibri" w:hAnsi="Cambria Math"/>
                          </w:rPr>
                        </m:ctrlPr>
                      </m:sSubPr>
                      <m:e>
                        <m:r>
                          <m:rPr>
                            <m:nor/>
                          </m:rPr>
                          <w:rPr>
                            <w:rFonts w:ascii="Cambria Math" w:eastAsia="Calibri"/>
                          </w:rPr>
                          <m:t>a</m:t>
                        </m:r>
                        <m:r>
                          <m:rPr>
                            <m:nor/>
                          </m:rPr>
                          <w:rPr>
                            <w:rFonts w:eastAsia="Calibri"/>
                          </w:rPr>
                          <m:t>dministruojamų namų skaičius</m:t>
                        </m:r>
                      </m:e>
                      <m:sub>
                        <m:r>
                          <m:rPr>
                            <m:nor/>
                          </m:rPr>
                          <w:rPr>
                            <w:rFonts w:eastAsia="Calibri"/>
                          </w:rPr>
                          <m:t>n-1</m:t>
                        </m:r>
                      </m:sub>
                    </m:sSub>
                  </m:num>
                  <m:den>
                    <m:sSub>
                      <m:sSubPr>
                        <m:ctrlPr>
                          <w:rPr>
                            <w:rFonts w:ascii="Cambria Math" w:eastAsia="Calibri" w:hAnsi="Cambria Math"/>
                          </w:rPr>
                        </m:ctrlPr>
                      </m:sSubPr>
                      <m:e>
                        <m:r>
                          <m:rPr>
                            <m:nor/>
                          </m:rPr>
                          <w:rPr>
                            <w:rFonts w:eastAsia="Calibri"/>
                          </w:rPr>
                          <m:t>Administruojamų namų skaičius</m:t>
                        </m:r>
                      </m:e>
                      <m:sub>
                        <m:r>
                          <m:rPr>
                            <m:nor/>
                          </m:rPr>
                          <w:rPr>
                            <w:rFonts w:eastAsia="Calibri"/>
                          </w:rPr>
                          <m:t>n-1</m:t>
                        </m:r>
                      </m:sub>
                    </m:sSub>
                  </m:den>
                </m:f>
                <m:r>
                  <m:rPr>
                    <m:nor/>
                  </m:rPr>
                  <w:rPr>
                    <w:rFonts w:eastAsia="Calibri"/>
                  </w:rPr>
                  <m:t>×100</m:t>
                </m:r>
              </m:oMath>
            </m:oMathPara>
          </w:p>
          <w:p w14:paraId="09DE6C9C" w14:textId="77777777" w:rsidR="00EE4E0B" w:rsidRPr="00EB6DB6" w:rsidRDefault="00EE4E0B" w:rsidP="00EB6DB6">
            <w:pPr>
              <w:ind w:left="284" w:firstLine="140"/>
              <w:rPr>
                <w:sz w:val="24"/>
                <w:szCs w:val="24"/>
              </w:rPr>
            </w:pPr>
            <w:r w:rsidRPr="00EB6DB6">
              <w:rPr>
                <w:sz w:val="24"/>
                <w:szCs w:val="24"/>
              </w:rPr>
              <w:t>(šioje formulėje</w:t>
            </w:r>
            <w:r w:rsidRPr="00EB6DB6">
              <w:rPr>
                <w:i/>
                <w:sz w:val="24"/>
                <w:szCs w:val="24"/>
              </w:rPr>
              <w:t xml:space="preserve"> n</w:t>
            </w:r>
            <w:r w:rsidRPr="00EB6DB6">
              <w:rPr>
                <w:sz w:val="24"/>
                <w:szCs w:val="24"/>
              </w:rPr>
              <w:t xml:space="preserve"> –finansiniai metai; </w:t>
            </w:r>
            <w:r w:rsidRPr="00EB6DB6">
              <w:rPr>
                <w:i/>
                <w:sz w:val="24"/>
                <w:szCs w:val="24"/>
              </w:rPr>
              <w:t>n – 1</w:t>
            </w:r>
            <w:r w:rsidRPr="00EB6DB6">
              <w:rPr>
                <w:sz w:val="24"/>
                <w:szCs w:val="24"/>
              </w:rPr>
              <w:t xml:space="preserve"> – praėję finansiniai metai)</w:t>
            </w:r>
          </w:p>
          <w:p w14:paraId="34F948CE" w14:textId="77777777" w:rsidR="00E86C09" w:rsidRPr="00E90829" w:rsidRDefault="00EE4E0B" w:rsidP="00EB6DB6">
            <w:pPr>
              <w:ind w:left="140" w:firstLine="284"/>
              <w:jc w:val="both"/>
            </w:pPr>
            <w:r w:rsidRPr="00EB6DB6">
              <w:rPr>
                <w:sz w:val="24"/>
                <w:szCs w:val="24"/>
              </w:rPr>
              <w:t>*</w:t>
            </w:r>
            <w:r w:rsidR="00AF2932" w:rsidRPr="00EB6DB6">
              <w:rPr>
                <w:sz w:val="24"/>
                <w:szCs w:val="24"/>
              </w:rPr>
              <w:t>Bendrovės administruojamų daugiabučių gyvenamųjų namų skaičius fiksuojamas gruodžio 31</w:t>
            </w:r>
            <w:r w:rsidR="00EB6DB6">
              <w:rPr>
                <w:sz w:val="24"/>
                <w:szCs w:val="24"/>
              </w:rPr>
              <w:t> </w:t>
            </w:r>
            <w:r w:rsidR="00AF2932" w:rsidRPr="00EB6DB6">
              <w:rPr>
                <w:sz w:val="24"/>
                <w:szCs w:val="24"/>
              </w:rPr>
              <w:t>d.</w:t>
            </w:r>
          </w:p>
        </w:tc>
        <w:tc>
          <w:tcPr>
            <w:tcW w:w="1134" w:type="dxa"/>
            <w:tcBorders>
              <w:top w:val="single" w:sz="4" w:space="0" w:color="auto"/>
            </w:tcBorders>
          </w:tcPr>
          <w:p w14:paraId="5A6AE026" w14:textId="77777777" w:rsidR="007C55C7" w:rsidRPr="00E90829" w:rsidRDefault="007C55C7" w:rsidP="007C55C7">
            <w:pPr>
              <w:jc w:val="center"/>
              <w:rPr>
                <w:sz w:val="24"/>
                <w:szCs w:val="24"/>
              </w:rPr>
            </w:pPr>
            <w:r w:rsidRPr="00E90829">
              <w:rPr>
                <w:sz w:val="24"/>
                <w:szCs w:val="24"/>
              </w:rPr>
              <w:t>&gt;</w:t>
            </w:r>
            <w:r w:rsidR="00647C2A" w:rsidRPr="00E90829">
              <w:rPr>
                <w:sz w:val="24"/>
                <w:szCs w:val="24"/>
              </w:rPr>
              <w:t xml:space="preserve"> 20</w:t>
            </w:r>
          </w:p>
        </w:tc>
        <w:tc>
          <w:tcPr>
            <w:tcW w:w="1701" w:type="dxa"/>
          </w:tcPr>
          <w:p w14:paraId="5125FF6D" w14:textId="77777777" w:rsidR="007C55C7" w:rsidRPr="00E90829" w:rsidRDefault="007C55C7" w:rsidP="007C55C7">
            <w:pPr>
              <w:jc w:val="center"/>
              <w:rPr>
                <w:sz w:val="24"/>
                <w:szCs w:val="24"/>
              </w:rPr>
            </w:pPr>
            <w:r w:rsidRPr="00E90829">
              <w:rPr>
                <w:sz w:val="24"/>
                <w:szCs w:val="24"/>
              </w:rPr>
              <w:t>30</w:t>
            </w:r>
          </w:p>
        </w:tc>
      </w:tr>
      <w:tr w:rsidR="007C55C7" w:rsidRPr="006A16E2" w14:paraId="5D6EC0A4" w14:textId="77777777" w:rsidTr="00641926">
        <w:trPr>
          <w:trHeight w:val="300"/>
          <w:jc w:val="center"/>
        </w:trPr>
        <w:tc>
          <w:tcPr>
            <w:tcW w:w="475" w:type="dxa"/>
            <w:vMerge/>
          </w:tcPr>
          <w:p w14:paraId="4D4B958F" w14:textId="77777777" w:rsidR="007C55C7" w:rsidRPr="00ED7BF3" w:rsidRDefault="007C55C7" w:rsidP="007C55C7">
            <w:pPr>
              <w:jc w:val="center"/>
            </w:pPr>
          </w:p>
        </w:tc>
        <w:tc>
          <w:tcPr>
            <w:tcW w:w="1647" w:type="dxa"/>
            <w:vMerge/>
          </w:tcPr>
          <w:p w14:paraId="67B5735A" w14:textId="77777777" w:rsidR="007C55C7" w:rsidRPr="00ED7BF3" w:rsidRDefault="007C55C7" w:rsidP="007C55C7">
            <w:pPr>
              <w:jc w:val="center"/>
            </w:pPr>
          </w:p>
        </w:tc>
        <w:tc>
          <w:tcPr>
            <w:tcW w:w="9072" w:type="dxa"/>
            <w:vMerge/>
          </w:tcPr>
          <w:p w14:paraId="37172CD2" w14:textId="77777777" w:rsidR="007C55C7" w:rsidRPr="00E90829" w:rsidRDefault="007C55C7" w:rsidP="007C55C7"/>
        </w:tc>
        <w:tc>
          <w:tcPr>
            <w:tcW w:w="1134" w:type="dxa"/>
            <w:tcBorders>
              <w:top w:val="single" w:sz="4" w:space="0" w:color="auto"/>
            </w:tcBorders>
          </w:tcPr>
          <w:p w14:paraId="0F1F4810" w14:textId="77777777" w:rsidR="007C55C7" w:rsidRPr="00E90829" w:rsidRDefault="00647C2A" w:rsidP="007C55C7">
            <w:pPr>
              <w:jc w:val="center"/>
              <w:rPr>
                <w:sz w:val="24"/>
                <w:szCs w:val="24"/>
              </w:rPr>
            </w:pPr>
            <w:r w:rsidRPr="00E90829">
              <w:rPr>
                <w:sz w:val="24"/>
                <w:szCs w:val="24"/>
              </w:rPr>
              <w:t>&gt; 15</w:t>
            </w:r>
          </w:p>
        </w:tc>
        <w:tc>
          <w:tcPr>
            <w:tcW w:w="1701" w:type="dxa"/>
          </w:tcPr>
          <w:p w14:paraId="3E1C4423" w14:textId="77777777" w:rsidR="007C55C7" w:rsidRPr="00E90829" w:rsidRDefault="007C55C7" w:rsidP="007C55C7">
            <w:pPr>
              <w:jc w:val="center"/>
              <w:rPr>
                <w:sz w:val="24"/>
                <w:szCs w:val="24"/>
              </w:rPr>
            </w:pPr>
            <w:r w:rsidRPr="00E90829">
              <w:rPr>
                <w:sz w:val="24"/>
                <w:szCs w:val="24"/>
              </w:rPr>
              <w:t>20</w:t>
            </w:r>
          </w:p>
        </w:tc>
      </w:tr>
      <w:tr w:rsidR="007C55C7" w:rsidRPr="006A16E2" w14:paraId="545969B3" w14:textId="77777777" w:rsidTr="00641926">
        <w:trPr>
          <w:trHeight w:val="300"/>
          <w:jc w:val="center"/>
        </w:trPr>
        <w:tc>
          <w:tcPr>
            <w:tcW w:w="475" w:type="dxa"/>
            <w:vMerge/>
          </w:tcPr>
          <w:p w14:paraId="7CE129D1" w14:textId="77777777" w:rsidR="007C55C7" w:rsidRPr="00ED7BF3" w:rsidRDefault="007C55C7" w:rsidP="007C55C7">
            <w:pPr>
              <w:jc w:val="center"/>
            </w:pPr>
          </w:p>
        </w:tc>
        <w:tc>
          <w:tcPr>
            <w:tcW w:w="1647" w:type="dxa"/>
            <w:vMerge/>
          </w:tcPr>
          <w:p w14:paraId="650E39C0" w14:textId="77777777" w:rsidR="007C55C7" w:rsidRPr="00ED7BF3" w:rsidRDefault="007C55C7" w:rsidP="007C55C7">
            <w:pPr>
              <w:jc w:val="center"/>
            </w:pPr>
          </w:p>
        </w:tc>
        <w:tc>
          <w:tcPr>
            <w:tcW w:w="9072" w:type="dxa"/>
            <w:vMerge/>
          </w:tcPr>
          <w:p w14:paraId="6DCA5A48" w14:textId="77777777" w:rsidR="007C55C7" w:rsidRPr="00E90829" w:rsidRDefault="007C55C7" w:rsidP="007C55C7"/>
        </w:tc>
        <w:tc>
          <w:tcPr>
            <w:tcW w:w="1134" w:type="dxa"/>
            <w:tcBorders>
              <w:top w:val="single" w:sz="4" w:space="0" w:color="auto"/>
            </w:tcBorders>
          </w:tcPr>
          <w:p w14:paraId="06F66CB4" w14:textId="77777777" w:rsidR="007C55C7" w:rsidRPr="00E90829" w:rsidRDefault="00647C2A" w:rsidP="007C55C7">
            <w:pPr>
              <w:jc w:val="center"/>
              <w:rPr>
                <w:sz w:val="24"/>
                <w:szCs w:val="24"/>
              </w:rPr>
            </w:pPr>
            <w:r w:rsidRPr="00E90829">
              <w:rPr>
                <w:sz w:val="24"/>
                <w:szCs w:val="24"/>
              </w:rPr>
              <w:t>&gt; 10</w:t>
            </w:r>
          </w:p>
        </w:tc>
        <w:tc>
          <w:tcPr>
            <w:tcW w:w="1701" w:type="dxa"/>
          </w:tcPr>
          <w:p w14:paraId="36B4E246" w14:textId="77777777" w:rsidR="007C55C7" w:rsidRPr="00E90829" w:rsidRDefault="007C55C7" w:rsidP="007C55C7">
            <w:pPr>
              <w:jc w:val="center"/>
              <w:rPr>
                <w:sz w:val="24"/>
                <w:szCs w:val="24"/>
              </w:rPr>
            </w:pPr>
            <w:r w:rsidRPr="00E90829">
              <w:rPr>
                <w:sz w:val="24"/>
                <w:szCs w:val="24"/>
              </w:rPr>
              <w:t>10</w:t>
            </w:r>
          </w:p>
        </w:tc>
      </w:tr>
      <w:tr w:rsidR="007C55C7" w:rsidRPr="006A16E2" w14:paraId="4886C246" w14:textId="77777777" w:rsidTr="00641926">
        <w:trPr>
          <w:trHeight w:val="300"/>
          <w:jc w:val="center"/>
        </w:trPr>
        <w:tc>
          <w:tcPr>
            <w:tcW w:w="475" w:type="dxa"/>
            <w:vMerge/>
          </w:tcPr>
          <w:p w14:paraId="0538E2CE" w14:textId="77777777" w:rsidR="007C55C7" w:rsidRPr="00ED7BF3" w:rsidRDefault="007C55C7" w:rsidP="007C55C7">
            <w:pPr>
              <w:jc w:val="center"/>
            </w:pPr>
          </w:p>
        </w:tc>
        <w:tc>
          <w:tcPr>
            <w:tcW w:w="1647" w:type="dxa"/>
            <w:vMerge/>
          </w:tcPr>
          <w:p w14:paraId="7261A617" w14:textId="77777777" w:rsidR="007C55C7" w:rsidRPr="00ED7BF3" w:rsidRDefault="007C55C7" w:rsidP="007C55C7">
            <w:pPr>
              <w:jc w:val="center"/>
            </w:pPr>
          </w:p>
        </w:tc>
        <w:tc>
          <w:tcPr>
            <w:tcW w:w="9072" w:type="dxa"/>
            <w:vMerge/>
          </w:tcPr>
          <w:p w14:paraId="272DB578" w14:textId="77777777" w:rsidR="007C55C7" w:rsidRPr="00E90829" w:rsidRDefault="007C55C7" w:rsidP="007C55C7"/>
        </w:tc>
        <w:tc>
          <w:tcPr>
            <w:tcW w:w="1134" w:type="dxa"/>
            <w:tcBorders>
              <w:top w:val="single" w:sz="4" w:space="0" w:color="auto"/>
            </w:tcBorders>
          </w:tcPr>
          <w:p w14:paraId="1F9792D7" w14:textId="77777777" w:rsidR="007C55C7" w:rsidRPr="00E90829" w:rsidRDefault="00647C2A" w:rsidP="007C55C7">
            <w:pPr>
              <w:jc w:val="center"/>
              <w:rPr>
                <w:sz w:val="24"/>
                <w:szCs w:val="24"/>
              </w:rPr>
            </w:pPr>
            <w:r w:rsidRPr="00E90829">
              <w:rPr>
                <w:sz w:val="24"/>
                <w:szCs w:val="24"/>
              </w:rPr>
              <w:t>≤ 10</w:t>
            </w:r>
          </w:p>
        </w:tc>
        <w:tc>
          <w:tcPr>
            <w:tcW w:w="1701" w:type="dxa"/>
          </w:tcPr>
          <w:p w14:paraId="14E8F835" w14:textId="77777777" w:rsidR="007C55C7" w:rsidRPr="00E90829" w:rsidRDefault="007C55C7" w:rsidP="007C55C7">
            <w:pPr>
              <w:jc w:val="center"/>
              <w:rPr>
                <w:sz w:val="24"/>
                <w:szCs w:val="24"/>
              </w:rPr>
            </w:pPr>
            <w:r w:rsidRPr="00E90829">
              <w:rPr>
                <w:sz w:val="24"/>
                <w:szCs w:val="24"/>
              </w:rPr>
              <w:t>0</w:t>
            </w:r>
          </w:p>
        </w:tc>
      </w:tr>
      <w:tr w:rsidR="007C55C7" w:rsidRPr="006A16E2" w14:paraId="3D8F57DE" w14:textId="77777777" w:rsidTr="00641926">
        <w:trPr>
          <w:trHeight w:val="300"/>
          <w:jc w:val="center"/>
        </w:trPr>
        <w:tc>
          <w:tcPr>
            <w:tcW w:w="475" w:type="dxa"/>
            <w:vMerge w:val="restart"/>
            <w:tcBorders>
              <w:top w:val="single" w:sz="4" w:space="0" w:color="auto"/>
            </w:tcBorders>
          </w:tcPr>
          <w:p w14:paraId="74D7DA08" w14:textId="77777777" w:rsidR="007C55C7" w:rsidRPr="006A16E2" w:rsidRDefault="007C55C7" w:rsidP="007C55C7">
            <w:pPr>
              <w:jc w:val="center"/>
              <w:rPr>
                <w:sz w:val="24"/>
                <w:szCs w:val="24"/>
              </w:rPr>
            </w:pPr>
            <w:r>
              <w:rPr>
                <w:sz w:val="24"/>
                <w:szCs w:val="24"/>
              </w:rPr>
              <w:lastRenderedPageBreak/>
              <w:t>7</w:t>
            </w:r>
            <w:r w:rsidRPr="006A16E2">
              <w:rPr>
                <w:sz w:val="24"/>
                <w:szCs w:val="24"/>
              </w:rPr>
              <w:t>.</w:t>
            </w:r>
          </w:p>
        </w:tc>
        <w:tc>
          <w:tcPr>
            <w:tcW w:w="1647" w:type="dxa"/>
            <w:vMerge w:val="restart"/>
            <w:tcBorders>
              <w:top w:val="single" w:sz="4" w:space="0" w:color="auto"/>
            </w:tcBorders>
          </w:tcPr>
          <w:p w14:paraId="17D4669C" w14:textId="77777777" w:rsidR="007C55C7" w:rsidRPr="00865B39" w:rsidRDefault="007C55C7" w:rsidP="007C55C7">
            <w:pPr>
              <w:spacing w:after="120"/>
              <w:jc w:val="center"/>
              <w:rPr>
                <w:sz w:val="24"/>
                <w:szCs w:val="24"/>
              </w:rPr>
            </w:pPr>
            <w:r>
              <w:rPr>
                <w:sz w:val="24"/>
                <w:szCs w:val="24"/>
              </w:rPr>
              <w:t>UAB Laboratorinių bandymų centras</w:t>
            </w:r>
          </w:p>
        </w:tc>
        <w:tc>
          <w:tcPr>
            <w:tcW w:w="9072" w:type="dxa"/>
            <w:vMerge w:val="restart"/>
            <w:tcBorders>
              <w:top w:val="single" w:sz="4" w:space="0" w:color="auto"/>
            </w:tcBorders>
            <w:vAlign w:val="center"/>
          </w:tcPr>
          <w:p w14:paraId="4A713255" w14:textId="77777777" w:rsidR="007C55C7" w:rsidRPr="00865B39" w:rsidRDefault="007C55C7" w:rsidP="007C55C7">
            <w:pPr>
              <w:spacing w:after="120"/>
              <w:jc w:val="center"/>
              <w:rPr>
                <w:sz w:val="24"/>
                <w:szCs w:val="24"/>
              </w:rPr>
            </w:pPr>
            <w:r w:rsidRPr="00865B39">
              <w:rPr>
                <w:sz w:val="24"/>
                <w:szCs w:val="24"/>
              </w:rPr>
              <w:t>Pardavimų lygio pokytis, proc.</w:t>
            </w:r>
            <w:r w:rsidR="00EB6DB6">
              <w:rPr>
                <w:sz w:val="24"/>
                <w:szCs w:val="24"/>
              </w:rPr>
              <w:t xml:space="preserve"> </w:t>
            </w:r>
          </w:p>
          <w:p w14:paraId="73A4C18A" w14:textId="77777777" w:rsidR="007C55C7" w:rsidRPr="00E9542B" w:rsidRDefault="00000000" w:rsidP="007C55C7">
            <w:pPr>
              <w:jc w:val="center"/>
            </w:pPr>
            <m:oMathPara>
              <m:oMath>
                <m:f>
                  <m:fPr>
                    <m:ctrlPr>
                      <w:rPr>
                        <w:rFonts w:ascii="Cambria Math" w:hAnsi="Cambria Math"/>
                      </w:rPr>
                    </m:ctrlPr>
                  </m:fPr>
                  <m:num>
                    <m:sSub>
                      <m:sSubPr>
                        <m:ctrlPr>
                          <w:rPr>
                            <w:rFonts w:ascii="Cambria Math" w:hAnsi="Cambria Math"/>
                          </w:rPr>
                        </m:ctrlPr>
                      </m:sSubPr>
                      <m:e>
                        <m:r>
                          <m:rPr>
                            <m:nor/>
                          </m:rPr>
                          <w:rPr>
                            <w:rFonts w:ascii="Cambria Math"/>
                          </w:rPr>
                          <m:t>P</m:t>
                        </m:r>
                        <m:r>
                          <m:rPr>
                            <m:nor/>
                          </m:rPr>
                          <m:t>ardavimo pajamos</m:t>
                        </m:r>
                      </m:e>
                      <m:sub>
                        <m:r>
                          <m:rPr>
                            <m:nor/>
                          </m:rPr>
                          <m:t>n</m:t>
                        </m:r>
                      </m:sub>
                    </m:sSub>
                    <m:r>
                      <m:rPr>
                        <m:sty m:val="p"/>
                      </m:rPr>
                      <w:rPr>
                        <w:rFonts w:ascii="Cambria Math" w:hAnsi="Cambria Math"/>
                      </w:rPr>
                      <m:t>-</m:t>
                    </m:r>
                    <m:sSub>
                      <m:sSubPr>
                        <m:ctrlPr>
                          <w:rPr>
                            <w:rFonts w:ascii="Cambria Math" w:hAnsi="Cambria Math"/>
                          </w:rPr>
                        </m:ctrlPr>
                      </m:sSubPr>
                      <m:e>
                        <m:r>
                          <m:rPr>
                            <m:nor/>
                          </m:rPr>
                          <m:t>pardavimo pajamos</m:t>
                        </m:r>
                      </m:e>
                      <m:sub>
                        <m:r>
                          <m:rPr>
                            <m:nor/>
                          </m:rPr>
                          <m:t>n – 1</m:t>
                        </m:r>
                      </m:sub>
                    </m:sSub>
                  </m:num>
                  <m:den>
                    <m:sSub>
                      <m:sSubPr>
                        <m:ctrlPr>
                          <w:rPr>
                            <w:rFonts w:ascii="Cambria Math" w:hAnsi="Cambria Math"/>
                          </w:rPr>
                        </m:ctrlPr>
                      </m:sSubPr>
                      <m:e>
                        <m:r>
                          <m:rPr>
                            <m:nor/>
                          </m:rPr>
                          <w:rPr>
                            <w:rFonts w:ascii="Cambria Math"/>
                          </w:rPr>
                          <m:t>P</m:t>
                        </m:r>
                        <m:r>
                          <m:rPr>
                            <m:nor/>
                          </m:rPr>
                          <m:t>ardavimo pajamos</m:t>
                        </m:r>
                      </m:e>
                      <m:sub>
                        <m:r>
                          <m:rPr>
                            <m:nor/>
                          </m:rPr>
                          <m:t>n – 1</m:t>
                        </m:r>
                      </m:sub>
                    </m:sSub>
                  </m:den>
                </m:f>
                <m:r>
                  <m:rPr>
                    <m:nor/>
                  </m:rPr>
                  <m:t>×100</m:t>
                </m:r>
              </m:oMath>
            </m:oMathPara>
          </w:p>
          <w:p w14:paraId="12A1C319" w14:textId="77777777" w:rsidR="007C55C7" w:rsidRPr="00EB6DB6" w:rsidRDefault="007C55C7" w:rsidP="00EB6DB6">
            <w:pPr>
              <w:ind w:left="284" w:hanging="2"/>
              <w:rPr>
                <w:sz w:val="24"/>
                <w:szCs w:val="24"/>
              </w:rPr>
            </w:pPr>
            <w:r w:rsidRPr="00EB6DB6">
              <w:rPr>
                <w:sz w:val="24"/>
                <w:szCs w:val="24"/>
              </w:rPr>
              <w:t>(šioje formulėje</w:t>
            </w:r>
            <w:r w:rsidRPr="00EB6DB6">
              <w:rPr>
                <w:i/>
                <w:sz w:val="24"/>
                <w:szCs w:val="24"/>
              </w:rPr>
              <w:t xml:space="preserve"> n</w:t>
            </w:r>
            <w:r w:rsidRPr="00EB6DB6">
              <w:rPr>
                <w:sz w:val="24"/>
                <w:szCs w:val="24"/>
              </w:rPr>
              <w:t xml:space="preserve"> –finansiniai metai; </w:t>
            </w:r>
            <w:r w:rsidRPr="00EB6DB6">
              <w:rPr>
                <w:i/>
                <w:sz w:val="24"/>
                <w:szCs w:val="24"/>
              </w:rPr>
              <w:t>n – 1</w:t>
            </w:r>
            <w:r w:rsidRPr="00EB6DB6">
              <w:rPr>
                <w:sz w:val="24"/>
                <w:szCs w:val="24"/>
              </w:rPr>
              <w:t xml:space="preserve"> – praėję finansiniai metai)</w:t>
            </w:r>
          </w:p>
        </w:tc>
        <w:tc>
          <w:tcPr>
            <w:tcW w:w="1134" w:type="dxa"/>
            <w:tcBorders>
              <w:top w:val="single" w:sz="4" w:space="0" w:color="auto"/>
            </w:tcBorders>
          </w:tcPr>
          <w:p w14:paraId="62C64237" w14:textId="77777777" w:rsidR="007C55C7" w:rsidRPr="00865B39" w:rsidRDefault="007C55C7" w:rsidP="007C55C7">
            <w:pPr>
              <w:jc w:val="center"/>
              <w:rPr>
                <w:sz w:val="24"/>
                <w:szCs w:val="24"/>
              </w:rPr>
            </w:pPr>
            <w:r w:rsidRPr="00865B39">
              <w:rPr>
                <w:sz w:val="24"/>
                <w:szCs w:val="24"/>
              </w:rPr>
              <w:t>&gt; 50</w:t>
            </w:r>
          </w:p>
        </w:tc>
        <w:tc>
          <w:tcPr>
            <w:tcW w:w="1701" w:type="dxa"/>
          </w:tcPr>
          <w:p w14:paraId="6AE7114B" w14:textId="77777777" w:rsidR="007C55C7" w:rsidRPr="00865B39" w:rsidRDefault="007C55C7" w:rsidP="007C55C7">
            <w:pPr>
              <w:jc w:val="center"/>
              <w:rPr>
                <w:sz w:val="24"/>
                <w:szCs w:val="24"/>
              </w:rPr>
            </w:pPr>
            <w:r w:rsidRPr="00865B39">
              <w:rPr>
                <w:sz w:val="24"/>
                <w:szCs w:val="24"/>
              </w:rPr>
              <w:t>30</w:t>
            </w:r>
          </w:p>
        </w:tc>
      </w:tr>
      <w:tr w:rsidR="007C55C7" w:rsidRPr="006A16E2" w14:paraId="335CFA27" w14:textId="77777777" w:rsidTr="00641926">
        <w:trPr>
          <w:trHeight w:val="300"/>
          <w:jc w:val="center"/>
        </w:trPr>
        <w:tc>
          <w:tcPr>
            <w:tcW w:w="475" w:type="dxa"/>
            <w:vMerge/>
          </w:tcPr>
          <w:p w14:paraId="3F2AAF99" w14:textId="77777777" w:rsidR="007C55C7" w:rsidRPr="006A16E2" w:rsidRDefault="007C55C7" w:rsidP="007C55C7">
            <w:pPr>
              <w:jc w:val="center"/>
              <w:rPr>
                <w:sz w:val="24"/>
                <w:szCs w:val="24"/>
              </w:rPr>
            </w:pPr>
          </w:p>
        </w:tc>
        <w:tc>
          <w:tcPr>
            <w:tcW w:w="1647" w:type="dxa"/>
            <w:vMerge/>
          </w:tcPr>
          <w:p w14:paraId="639F5327" w14:textId="77777777" w:rsidR="007C55C7" w:rsidRPr="00865B39" w:rsidRDefault="007C55C7" w:rsidP="007C55C7">
            <w:pPr>
              <w:spacing w:after="120"/>
              <w:jc w:val="center"/>
              <w:rPr>
                <w:sz w:val="24"/>
                <w:szCs w:val="24"/>
              </w:rPr>
            </w:pPr>
          </w:p>
        </w:tc>
        <w:tc>
          <w:tcPr>
            <w:tcW w:w="9072" w:type="dxa"/>
            <w:vMerge/>
            <w:vAlign w:val="center"/>
          </w:tcPr>
          <w:p w14:paraId="7245DF73" w14:textId="77777777" w:rsidR="007C55C7" w:rsidRPr="00865B39" w:rsidRDefault="007C55C7" w:rsidP="007C55C7">
            <w:pPr>
              <w:spacing w:after="120"/>
              <w:jc w:val="center"/>
              <w:rPr>
                <w:sz w:val="24"/>
                <w:szCs w:val="24"/>
              </w:rPr>
            </w:pPr>
          </w:p>
        </w:tc>
        <w:tc>
          <w:tcPr>
            <w:tcW w:w="1134" w:type="dxa"/>
            <w:tcBorders>
              <w:top w:val="single" w:sz="4" w:space="0" w:color="auto"/>
            </w:tcBorders>
          </w:tcPr>
          <w:p w14:paraId="7D9A2846" w14:textId="77777777" w:rsidR="007C55C7" w:rsidRPr="00865B39" w:rsidRDefault="007C55C7" w:rsidP="007C55C7">
            <w:pPr>
              <w:jc w:val="center"/>
              <w:rPr>
                <w:sz w:val="24"/>
                <w:szCs w:val="24"/>
              </w:rPr>
            </w:pPr>
            <w:r w:rsidRPr="00865B39">
              <w:rPr>
                <w:sz w:val="24"/>
                <w:szCs w:val="24"/>
              </w:rPr>
              <w:t>&gt; 40</w:t>
            </w:r>
          </w:p>
        </w:tc>
        <w:tc>
          <w:tcPr>
            <w:tcW w:w="1701" w:type="dxa"/>
          </w:tcPr>
          <w:p w14:paraId="1E07FC0B" w14:textId="77777777" w:rsidR="007C55C7" w:rsidRPr="00865B39" w:rsidRDefault="007C55C7" w:rsidP="007C55C7">
            <w:pPr>
              <w:jc w:val="center"/>
              <w:rPr>
                <w:sz w:val="24"/>
                <w:szCs w:val="24"/>
              </w:rPr>
            </w:pPr>
            <w:r w:rsidRPr="00865B39">
              <w:rPr>
                <w:sz w:val="24"/>
                <w:szCs w:val="24"/>
              </w:rPr>
              <w:t>20</w:t>
            </w:r>
          </w:p>
        </w:tc>
      </w:tr>
      <w:tr w:rsidR="007C55C7" w:rsidRPr="006A16E2" w14:paraId="0093EBB2" w14:textId="77777777" w:rsidTr="00641926">
        <w:trPr>
          <w:trHeight w:val="300"/>
          <w:jc w:val="center"/>
        </w:trPr>
        <w:tc>
          <w:tcPr>
            <w:tcW w:w="475" w:type="dxa"/>
            <w:vMerge/>
          </w:tcPr>
          <w:p w14:paraId="10F580F0" w14:textId="77777777" w:rsidR="007C55C7" w:rsidRPr="006A16E2" w:rsidRDefault="007C55C7" w:rsidP="007C55C7">
            <w:pPr>
              <w:jc w:val="center"/>
              <w:rPr>
                <w:sz w:val="24"/>
                <w:szCs w:val="24"/>
              </w:rPr>
            </w:pPr>
          </w:p>
        </w:tc>
        <w:tc>
          <w:tcPr>
            <w:tcW w:w="1647" w:type="dxa"/>
            <w:vMerge/>
          </w:tcPr>
          <w:p w14:paraId="356037B4" w14:textId="77777777" w:rsidR="007C55C7" w:rsidRPr="00865B39" w:rsidRDefault="007C55C7" w:rsidP="007C55C7">
            <w:pPr>
              <w:spacing w:after="120"/>
              <w:jc w:val="center"/>
              <w:rPr>
                <w:sz w:val="24"/>
                <w:szCs w:val="24"/>
              </w:rPr>
            </w:pPr>
          </w:p>
        </w:tc>
        <w:tc>
          <w:tcPr>
            <w:tcW w:w="9072" w:type="dxa"/>
            <w:vMerge/>
            <w:vAlign w:val="center"/>
          </w:tcPr>
          <w:p w14:paraId="4745B6ED" w14:textId="77777777" w:rsidR="007C55C7" w:rsidRPr="00865B39" w:rsidRDefault="007C55C7" w:rsidP="007C55C7">
            <w:pPr>
              <w:spacing w:after="120"/>
              <w:jc w:val="center"/>
              <w:rPr>
                <w:sz w:val="24"/>
                <w:szCs w:val="24"/>
              </w:rPr>
            </w:pPr>
          </w:p>
        </w:tc>
        <w:tc>
          <w:tcPr>
            <w:tcW w:w="1134" w:type="dxa"/>
            <w:tcBorders>
              <w:top w:val="single" w:sz="4" w:space="0" w:color="auto"/>
            </w:tcBorders>
          </w:tcPr>
          <w:p w14:paraId="58878753" w14:textId="77777777" w:rsidR="007C55C7" w:rsidRPr="00865B39" w:rsidRDefault="007C55C7" w:rsidP="007C55C7">
            <w:pPr>
              <w:jc w:val="center"/>
              <w:rPr>
                <w:sz w:val="24"/>
                <w:szCs w:val="24"/>
              </w:rPr>
            </w:pPr>
            <w:r w:rsidRPr="00865B39">
              <w:rPr>
                <w:sz w:val="24"/>
                <w:szCs w:val="24"/>
              </w:rPr>
              <w:t>&gt; 30</w:t>
            </w:r>
          </w:p>
        </w:tc>
        <w:tc>
          <w:tcPr>
            <w:tcW w:w="1701" w:type="dxa"/>
          </w:tcPr>
          <w:p w14:paraId="625F6433" w14:textId="77777777" w:rsidR="007C55C7" w:rsidRPr="00865B39" w:rsidRDefault="007C55C7" w:rsidP="007C55C7">
            <w:pPr>
              <w:jc w:val="center"/>
              <w:rPr>
                <w:sz w:val="24"/>
                <w:szCs w:val="24"/>
              </w:rPr>
            </w:pPr>
            <w:r w:rsidRPr="00865B39">
              <w:rPr>
                <w:sz w:val="24"/>
                <w:szCs w:val="24"/>
              </w:rPr>
              <w:t>10</w:t>
            </w:r>
          </w:p>
        </w:tc>
      </w:tr>
      <w:tr w:rsidR="007C55C7" w:rsidRPr="006A16E2" w14:paraId="020C5667" w14:textId="77777777" w:rsidTr="00641926">
        <w:trPr>
          <w:trHeight w:val="300"/>
          <w:jc w:val="center"/>
        </w:trPr>
        <w:tc>
          <w:tcPr>
            <w:tcW w:w="475" w:type="dxa"/>
            <w:vMerge/>
          </w:tcPr>
          <w:p w14:paraId="45C5C61C" w14:textId="77777777" w:rsidR="007C55C7" w:rsidRPr="006A16E2" w:rsidRDefault="007C55C7" w:rsidP="007C55C7">
            <w:pPr>
              <w:jc w:val="center"/>
              <w:rPr>
                <w:sz w:val="24"/>
                <w:szCs w:val="24"/>
              </w:rPr>
            </w:pPr>
          </w:p>
        </w:tc>
        <w:tc>
          <w:tcPr>
            <w:tcW w:w="1647" w:type="dxa"/>
            <w:vMerge/>
          </w:tcPr>
          <w:p w14:paraId="4F4DEDB9" w14:textId="77777777" w:rsidR="007C55C7" w:rsidRPr="00865B39" w:rsidRDefault="007C55C7" w:rsidP="007C55C7">
            <w:pPr>
              <w:spacing w:after="120"/>
              <w:jc w:val="center"/>
              <w:rPr>
                <w:sz w:val="24"/>
                <w:szCs w:val="24"/>
              </w:rPr>
            </w:pPr>
          </w:p>
        </w:tc>
        <w:tc>
          <w:tcPr>
            <w:tcW w:w="9072" w:type="dxa"/>
            <w:vMerge/>
            <w:vAlign w:val="center"/>
          </w:tcPr>
          <w:p w14:paraId="7BA5B76F" w14:textId="77777777" w:rsidR="007C55C7" w:rsidRPr="00865B39" w:rsidRDefault="007C55C7" w:rsidP="007C55C7">
            <w:pPr>
              <w:spacing w:after="120"/>
              <w:jc w:val="center"/>
              <w:rPr>
                <w:sz w:val="24"/>
                <w:szCs w:val="24"/>
              </w:rPr>
            </w:pPr>
          </w:p>
        </w:tc>
        <w:tc>
          <w:tcPr>
            <w:tcW w:w="1134" w:type="dxa"/>
            <w:tcBorders>
              <w:top w:val="single" w:sz="4" w:space="0" w:color="auto"/>
            </w:tcBorders>
          </w:tcPr>
          <w:p w14:paraId="1F7B0660" w14:textId="77777777" w:rsidR="007C55C7" w:rsidRPr="00865B39" w:rsidRDefault="007C55C7" w:rsidP="007C55C7">
            <w:pPr>
              <w:jc w:val="center"/>
              <w:rPr>
                <w:sz w:val="24"/>
                <w:szCs w:val="24"/>
              </w:rPr>
            </w:pPr>
            <w:r w:rsidRPr="00865B39">
              <w:rPr>
                <w:sz w:val="24"/>
                <w:szCs w:val="24"/>
              </w:rPr>
              <w:t>≤ 20</w:t>
            </w:r>
          </w:p>
        </w:tc>
        <w:tc>
          <w:tcPr>
            <w:tcW w:w="1701" w:type="dxa"/>
          </w:tcPr>
          <w:p w14:paraId="4DB05DD3" w14:textId="77777777" w:rsidR="007C55C7" w:rsidRPr="00865B39" w:rsidRDefault="007C55C7" w:rsidP="007C55C7">
            <w:pPr>
              <w:jc w:val="center"/>
              <w:rPr>
                <w:sz w:val="24"/>
                <w:szCs w:val="24"/>
              </w:rPr>
            </w:pPr>
            <w:r w:rsidRPr="00865B39">
              <w:rPr>
                <w:sz w:val="24"/>
                <w:szCs w:val="24"/>
              </w:rPr>
              <w:t>0</w:t>
            </w:r>
          </w:p>
        </w:tc>
      </w:tr>
      <w:tr w:rsidR="007C55C7" w:rsidRPr="006A16E2" w14:paraId="37631A8C" w14:textId="77777777" w:rsidTr="00641926">
        <w:trPr>
          <w:trHeight w:val="672"/>
          <w:jc w:val="center"/>
        </w:trPr>
        <w:tc>
          <w:tcPr>
            <w:tcW w:w="475" w:type="dxa"/>
          </w:tcPr>
          <w:p w14:paraId="2E5B4C5D" w14:textId="77777777" w:rsidR="007C55C7" w:rsidRPr="006A16E2" w:rsidRDefault="007C55C7" w:rsidP="007C55C7">
            <w:pPr>
              <w:jc w:val="center"/>
              <w:rPr>
                <w:sz w:val="24"/>
                <w:szCs w:val="24"/>
              </w:rPr>
            </w:pPr>
            <w:r>
              <w:rPr>
                <w:sz w:val="24"/>
                <w:szCs w:val="24"/>
              </w:rPr>
              <w:t>8.</w:t>
            </w:r>
          </w:p>
        </w:tc>
        <w:tc>
          <w:tcPr>
            <w:tcW w:w="1647" w:type="dxa"/>
          </w:tcPr>
          <w:p w14:paraId="7F8D664C" w14:textId="77777777" w:rsidR="007C55C7" w:rsidRPr="00C72630" w:rsidRDefault="00B37909" w:rsidP="00295E6D">
            <w:pPr>
              <w:jc w:val="center"/>
              <w:rPr>
                <w:sz w:val="24"/>
                <w:szCs w:val="24"/>
              </w:rPr>
            </w:pPr>
            <w:r w:rsidRPr="00C72630">
              <w:rPr>
                <w:sz w:val="24"/>
                <w:szCs w:val="24"/>
              </w:rPr>
              <w:t>Uždaroji akcinė bendrovė</w:t>
            </w:r>
            <w:r w:rsidR="007C55C7" w:rsidRPr="00C72630">
              <w:rPr>
                <w:sz w:val="24"/>
                <w:szCs w:val="24"/>
              </w:rPr>
              <w:t xml:space="preserve"> „Centrinis knygynas“</w:t>
            </w:r>
          </w:p>
        </w:tc>
        <w:tc>
          <w:tcPr>
            <w:tcW w:w="9072" w:type="dxa"/>
            <w:vAlign w:val="center"/>
          </w:tcPr>
          <w:p w14:paraId="6E9A72A2" w14:textId="77777777" w:rsidR="007C55C7" w:rsidRPr="004D2749" w:rsidRDefault="007C55C7" w:rsidP="007C55C7">
            <w:pPr>
              <w:spacing w:after="120"/>
              <w:jc w:val="center"/>
              <w:rPr>
                <w:sz w:val="24"/>
                <w:szCs w:val="24"/>
              </w:rPr>
            </w:pPr>
            <w:r w:rsidRPr="004D2749">
              <w:rPr>
                <w:sz w:val="24"/>
                <w:szCs w:val="24"/>
              </w:rPr>
              <w:t xml:space="preserve">Rodiklis bus nustatytas, įvertinus </w:t>
            </w:r>
            <w:r w:rsidR="00A658B2">
              <w:rPr>
                <w:sz w:val="24"/>
                <w:szCs w:val="24"/>
              </w:rPr>
              <w:t>bendrovės</w:t>
            </w:r>
            <w:r w:rsidRPr="004D2749">
              <w:rPr>
                <w:sz w:val="24"/>
                <w:szCs w:val="24"/>
              </w:rPr>
              <w:t xml:space="preserve"> tolimesnės veiklos kryptis</w:t>
            </w:r>
          </w:p>
        </w:tc>
        <w:tc>
          <w:tcPr>
            <w:tcW w:w="1134" w:type="dxa"/>
            <w:vAlign w:val="center"/>
          </w:tcPr>
          <w:p w14:paraId="362CA8F6" w14:textId="77777777" w:rsidR="007C55C7" w:rsidRPr="006A16E2" w:rsidRDefault="007C55C7" w:rsidP="007C55C7">
            <w:pPr>
              <w:jc w:val="center"/>
              <w:rPr>
                <w:sz w:val="24"/>
                <w:szCs w:val="24"/>
              </w:rPr>
            </w:pPr>
          </w:p>
        </w:tc>
        <w:tc>
          <w:tcPr>
            <w:tcW w:w="1701" w:type="dxa"/>
            <w:vAlign w:val="center"/>
          </w:tcPr>
          <w:p w14:paraId="6A5AC5CC" w14:textId="77777777" w:rsidR="007C55C7" w:rsidRPr="006A16E2" w:rsidRDefault="007C55C7" w:rsidP="007C55C7">
            <w:pPr>
              <w:jc w:val="center"/>
              <w:rPr>
                <w:sz w:val="24"/>
                <w:szCs w:val="24"/>
              </w:rPr>
            </w:pPr>
          </w:p>
        </w:tc>
      </w:tr>
      <w:tr w:rsidR="007C55C7" w:rsidRPr="006A16E2" w14:paraId="7946A8FC" w14:textId="77777777" w:rsidTr="00641926">
        <w:trPr>
          <w:trHeight w:val="672"/>
          <w:jc w:val="center"/>
        </w:trPr>
        <w:tc>
          <w:tcPr>
            <w:tcW w:w="475" w:type="dxa"/>
          </w:tcPr>
          <w:p w14:paraId="6FFE34DD" w14:textId="77777777" w:rsidR="007C55C7" w:rsidRPr="006A16E2" w:rsidRDefault="007C55C7" w:rsidP="007C55C7">
            <w:pPr>
              <w:jc w:val="center"/>
              <w:rPr>
                <w:sz w:val="24"/>
                <w:szCs w:val="24"/>
              </w:rPr>
            </w:pPr>
            <w:r>
              <w:rPr>
                <w:sz w:val="24"/>
                <w:szCs w:val="24"/>
              </w:rPr>
              <w:t>9.</w:t>
            </w:r>
          </w:p>
        </w:tc>
        <w:tc>
          <w:tcPr>
            <w:tcW w:w="1647" w:type="dxa"/>
          </w:tcPr>
          <w:p w14:paraId="063EF17C" w14:textId="77777777" w:rsidR="007C55C7" w:rsidRPr="00C72630" w:rsidRDefault="00B37909" w:rsidP="00295E6D">
            <w:pPr>
              <w:jc w:val="center"/>
              <w:rPr>
                <w:sz w:val="24"/>
                <w:szCs w:val="24"/>
              </w:rPr>
            </w:pPr>
            <w:r w:rsidRPr="00C72630">
              <w:rPr>
                <w:sz w:val="24"/>
                <w:szCs w:val="24"/>
              </w:rPr>
              <w:t>Uždaroji akcinė bendrovė</w:t>
            </w:r>
            <w:r w:rsidR="007C55C7" w:rsidRPr="00C72630">
              <w:rPr>
                <w:sz w:val="24"/>
                <w:szCs w:val="24"/>
              </w:rPr>
              <w:t xml:space="preserve"> „Stoties turgus“</w:t>
            </w:r>
          </w:p>
        </w:tc>
        <w:tc>
          <w:tcPr>
            <w:tcW w:w="9072" w:type="dxa"/>
            <w:vAlign w:val="center"/>
          </w:tcPr>
          <w:p w14:paraId="37C2C471" w14:textId="77777777" w:rsidR="007C55C7" w:rsidRPr="004D2749" w:rsidRDefault="007C55C7" w:rsidP="007C55C7">
            <w:pPr>
              <w:spacing w:after="120"/>
              <w:jc w:val="center"/>
              <w:rPr>
                <w:sz w:val="24"/>
                <w:szCs w:val="24"/>
              </w:rPr>
            </w:pPr>
            <w:r w:rsidRPr="004D2749">
              <w:rPr>
                <w:sz w:val="24"/>
                <w:szCs w:val="24"/>
              </w:rPr>
              <w:t>Rodiklis bus nustatytas apsisprendus dėl bendrovės veiklos perspektyvų</w:t>
            </w:r>
          </w:p>
        </w:tc>
        <w:tc>
          <w:tcPr>
            <w:tcW w:w="1134" w:type="dxa"/>
            <w:vAlign w:val="center"/>
          </w:tcPr>
          <w:p w14:paraId="45F6E4D6" w14:textId="77777777" w:rsidR="007C55C7" w:rsidRPr="006A16E2" w:rsidRDefault="007C55C7" w:rsidP="007C55C7">
            <w:pPr>
              <w:jc w:val="center"/>
              <w:rPr>
                <w:sz w:val="24"/>
                <w:szCs w:val="24"/>
              </w:rPr>
            </w:pPr>
          </w:p>
        </w:tc>
        <w:tc>
          <w:tcPr>
            <w:tcW w:w="1701" w:type="dxa"/>
            <w:vAlign w:val="center"/>
          </w:tcPr>
          <w:p w14:paraId="2BB5D204" w14:textId="77777777" w:rsidR="007C55C7" w:rsidRPr="006A16E2" w:rsidRDefault="007C55C7" w:rsidP="007C55C7">
            <w:pPr>
              <w:jc w:val="center"/>
              <w:rPr>
                <w:sz w:val="24"/>
                <w:szCs w:val="24"/>
              </w:rPr>
            </w:pPr>
          </w:p>
        </w:tc>
      </w:tr>
    </w:tbl>
    <w:p w14:paraId="26CDBAF8" w14:textId="77777777" w:rsidR="006B183E" w:rsidRDefault="006B183E" w:rsidP="00A85202">
      <w:pPr>
        <w:jc w:val="center"/>
        <w:rPr>
          <w:rFonts w:ascii="Times New Roman" w:eastAsia="Times New Roman" w:hAnsi="Times New Roman" w:cs="Times New Roman"/>
          <w:sz w:val="24"/>
          <w:szCs w:val="20"/>
        </w:rPr>
      </w:pPr>
    </w:p>
    <w:p w14:paraId="3D8A7377" w14:textId="77777777" w:rsidR="0024540F" w:rsidRDefault="0024540F" w:rsidP="00A85202">
      <w:pPr>
        <w:jc w:val="center"/>
        <w:rPr>
          <w:rFonts w:ascii="Times New Roman" w:eastAsia="Times New Roman" w:hAnsi="Times New Roman" w:cs="Times New Roman"/>
          <w:sz w:val="24"/>
          <w:szCs w:val="20"/>
        </w:rPr>
      </w:pPr>
      <w:r w:rsidRPr="00616EF4">
        <w:rPr>
          <w:rFonts w:ascii="Times New Roman" w:eastAsia="Times New Roman" w:hAnsi="Times New Roman" w:cs="Times New Roman"/>
          <w:sz w:val="24"/>
          <w:szCs w:val="20"/>
        </w:rPr>
        <w:t>________________________________</w:t>
      </w:r>
      <w:r w:rsidR="006B183E">
        <w:rPr>
          <w:rFonts w:ascii="Times New Roman" w:eastAsia="Times New Roman" w:hAnsi="Times New Roman" w:cs="Times New Roman"/>
          <w:sz w:val="24"/>
          <w:szCs w:val="20"/>
        </w:rPr>
        <w:t xml:space="preserve"> </w:t>
      </w:r>
    </w:p>
    <w:sectPr w:rsidR="0024540F" w:rsidSect="00391EB7">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C1A7" w14:textId="77777777" w:rsidR="00B40412" w:rsidRDefault="00B40412" w:rsidP="00BF14FC">
      <w:pPr>
        <w:spacing w:after="0" w:line="240" w:lineRule="auto"/>
      </w:pPr>
      <w:r>
        <w:separator/>
      </w:r>
    </w:p>
  </w:endnote>
  <w:endnote w:type="continuationSeparator" w:id="0">
    <w:p w14:paraId="3A599B67" w14:textId="77777777" w:rsidR="00B40412" w:rsidRDefault="00B40412" w:rsidP="00BF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6402" w14:textId="77777777" w:rsidR="00B40412" w:rsidRDefault="00B40412" w:rsidP="00BF14FC">
      <w:pPr>
        <w:spacing w:after="0" w:line="240" w:lineRule="auto"/>
      </w:pPr>
      <w:r>
        <w:separator/>
      </w:r>
    </w:p>
  </w:footnote>
  <w:footnote w:type="continuationSeparator" w:id="0">
    <w:p w14:paraId="73D94E4F" w14:textId="77777777" w:rsidR="00B40412" w:rsidRDefault="00B40412" w:rsidP="00BF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711482"/>
      <w:docPartObj>
        <w:docPartGallery w:val="Page Numbers (Top of Page)"/>
        <w:docPartUnique/>
      </w:docPartObj>
    </w:sdtPr>
    <w:sdtEndPr>
      <w:rPr>
        <w:rFonts w:ascii="Times New Roman" w:hAnsi="Times New Roman" w:cs="Times New Roman"/>
        <w:sz w:val="24"/>
        <w:szCs w:val="24"/>
      </w:rPr>
    </w:sdtEndPr>
    <w:sdtContent>
      <w:p w14:paraId="1570B80B" w14:textId="77777777" w:rsidR="002E6D4F" w:rsidRPr="00BF14FC" w:rsidRDefault="002E6D4F">
        <w:pPr>
          <w:pStyle w:val="Antrats"/>
          <w:jc w:val="center"/>
          <w:rPr>
            <w:rFonts w:ascii="Times New Roman" w:hAnsi="Times New Roman" w:cs="Times New Roman"/>
            <w:sz w:val="24"/>
            <w:szCs w:val="24"/>
          </w:rPr>
        </w:pPr>
        <w:r w:rsidRPr="00BF14FC">
          <w:rPr>
            <w:rFonts w:ascii="Times New Roman" w:hAnsi="Times New Roman" w:cs="Times New Roman"/>
            <w:sz w:val="24"/>
            <w:szCs w:val="24"/>
          </w:rPr>
          <w:fldChar w:fldCharType="begin"/>
        </w:r>
        <w:r w:rsidRPr="00BF14FC">
          <w:rPr>
            <w:rFonts w:ascii="Times New Roman" w:hAnsi="Times New Roman" w:cs="Times New Roman"/>
            <w:sz w:val="24"/>
            <w:szCs w:val="24"/>
          </w:rPr>
          <w:instrText>PAGE   \* MERGEFORMAT</w:instrText>
        </w:r>
        <w:r w:rsidRPr="00BF14FC">
          <w:rPr>
            <w:rFonts w:ascii="Times New Roman" w:hAnsi="Times New Roman" w:cs="Times New Roman"/>
            <w:sz w:val="24"/>
            <w:szCs w:val="24"/>
          </w:rPr>
          <w:fldChar w:fldCharType="separate"/>
        </w:r>
        <w:r w:rsidR="002F75C4">
          <w:rPr>
            <w:rFonts w:ascii="Times New Roman" w:hAnsi="Times New Roman" w:cs="Times New Roman"/>
            <w:noProof/>
            <w:sz w:val="24"/>
            <w:szCs w:val="24"/>
          </w:rPr>
          <w:t>2</w:t>
        </w:r>
        <w:r w:rsidRPr="00BF14FC">
          <w:rPr>
            <w:rFonts w:ascii="Times New Roman" w:hAnsi="Times New Roman" w:cs="Times New Roman"/>
            <w:sz w:val="24"/>
            <w:szCs w:val="24"/>
          </w:rPr>
          <w:fldChar w:fldCharType="end"/>
        </w:r>
      </w:p>
    </w:sdtContent>
  </w:sdt>
  <w:p w14:paraId="20512DF4" w14:textId="77777777" w:rsidR="002E6D4F" w:rsidRDefault="002E6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23CDE"/>
    <w:multiLevelType w:val="hybridMultilevel"/>
    <w:tmpl w:val="5B44A0C0"/>
    <w:lvl w:ilvl="0" w:tplc="0427000B">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274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02"/>
    <w:rsid w:val="000011BA"/>
    <w:rsid w:val="00003373"/>
    <w:rsid w:val="00011E4E"/>
    <w:rsid w:val="0001780C"/>
    <w:rsid w:val="0002651F"/>
    <w:rsid w:val="00030C84"/>
    <w:rsid w:val="000360C4"/>
    <w:rsid w:val="00051C02"/>
    <w:rsid w:val="0007130B"/>
    <w:rsid w:val="00085B1E"/>
    <w:rsid w:val="0009013B"/>
    <w:rsid w:val="0009053D"/>
    <w:rsid w:val="00092040"/>
    <w:rsid w:val="000A309E"/>
    <w:rsid w:val="000B0B95"/>
    <w:rsid w:val="000B2187"/>
    <w:rsid w:val="000C384C"/>
    <w:rsid w:val="000C38E4"/>
    <w:rsid w:val="000E53AD"/>
    <w:rsid w:val="000F2FC2"/>
    <w:rsid w:val="000F3CF2"/>
    <w:rsid w:val="000F6C1E"/>
    <w:rsid w:val="000F7984"/>
    <w:rsid w:val="00100005"/>
    <w:rsid w:val="001058D3"/>
    <w:rsid w:val="00122533"/>
    <w:rsid w:val="0012437B"/>
    <w:rsid w:val="00132EBC"/>
    <w:rsid w:val="00172610"/>
    <w:rsid w:val="00181828"/>
    <w:rsid w:val="00191F27"/>
    <w:rsid w:val="00197B72"/>
    <w:rsid w:val="001A0B4A"/>
    <w:rsid w:val="001A2B62"/>
    <w:rsid w:val="001A5FAE"/>
    <w:rsid w:val="001C0AB1"/>
    <w:rsid w:val="001E382D"/>
    <w:rsid w:val="001F3CCA"/>
    <w:rsid w:val="00202926"/>
    <w:rsid w:val="00206655"/>
    <w:rsid w:val="00211E7C"/>
    <w:rsid w:val="00216325"/>
    <w:rsid w:val="002173E2"/>
    <w:rsid w:val="0022439F"/>
    <w:rsid w:val="002310EF"/>
    <w:rsid w:val="002349A2"/>
    <w:rsid w:val="00236C54"/>
    <w:rsid w:val="00236FAF"/>
    <w:rsid w:val="002403E9"/>
    <w:rsid w:val="0024540F"/>
    <w:rsid w:val="00251749"/>
    <w:rsid w:val="00260E4B"/>
    <w:rsid w:val="00273AB1"/>
    <w:rsid w:val="00292F13"/>
    <w:rsid w:val="00295E6D"/>
    <w:rsid w:val="002A033F"/>
    <w:rsid w:val="002B3322"/>
    <w:rsid w:val="002C76AF"/>
    <w:rsid w:val="002D1D07"/>
    <w:rsid w:val="002D7306"/>
    <w:rsid w:val="002D7337"/>
    <w:rsid w:val="002D7DB9"/>
    <w:rsid w:val="002E0BD4"/>
    <w:rsid w:val="002E2E03"/>
    <w:rsid w:val="002E63BA"/>
    <w:rsid w:val="002E6D4F"/>
    <w:rsid w:val="002F0306"/>
    <w:rsid w:val="002F188C"/>
    <w:rsid w:val="002F563F"/>
    <w:rsid w:val="002F61A2"/>
    <w:rsid w:val="002F75C4"/>
    <w:rsid w:val="00300AA3"/>
    <w:rsid w:val="00304F76"/>
    <w:rsid w:val="00307B98"/>
    <w:rsid w:val="00311075"/>
    <w:rsid w:val="00315552"/>
    <w:rsid w:val="00317229"/>
    <w:rsid w:val="003218AF"/>
    <w:rsid w:val="00342714"/>
    <w:rsid w:val="003463A9"/>
    <w:rsid w:val="003537D2"/>
    <w:rsid w:val="00365EC8"/>
    <w:rsid w:val="00375836"/>
    <w:rsid w:val="00385276"/>
    <w:rsid w:val="00391EB7"/>
    <w:rsid w:val="00394BE1"/>
    <w:rsid w:val="003A14A2"/>
    <w:rsid w:val="003A476F"/>
    <w:rsid w:val="003C47E5"/>
    <w:rsid w:val="003C5639"/>
    <w:rsid w:val="003D7556"/>
    <w:rsid w:val="003E1B89"/>
    <w:rsid w:val="003E2AA3"/>
    <w:rsid w:val="00406D39"/>
    <w:rsid w:val="00412114"/>
    <w:rsid w:val="004248FE"/>
    <w:rsid w:val="004252C3"/>
    <w:rsid w:val="00461D56"/>
    <w:rsid w:val="00464045"/>
    <w:rsid w:val="00477A5E"/>
    <w:rsid w:val="00480B9E"/>
    <w:rsid w:val="00492965"/>
    <w:rsid w:val="00496870"/>
    <w:rsid w:val="004B2548"/>
    <w:rsid w:val="004B2CC9"/>
    <w:rsid w:val="004C1D39"/>
    <w:rsid w:val="004C74A7"/>
    <w:rsid w:val="004D2749"/>
    <w:rsid w:val="004E6C44"/>
    <w:rsid w:val="004E7436"/>
    <w:rsid w:val="004F5BA3"/>
    <w:rsid w:val="004F711C"/>
    <w:rsid w:val="00514BDB"/>
    <w:rsid w:val="00534554"/>
    <w:rsid w:val="00535749"/>
    <w:rsid w:val="00555D81"/>
    <w:rsid w:val="00560A18"/>
    <w:rsid w:val="005641DD"/>
    <w:rsid w:val="00572E10"/>
    <w:rsid w:val="00573F2E"/>
    <w:rsid w:val="00575065"/>
    <w:rsid w:val="00575AB3"/>
    <w:rsid w:val="00583310"/>
    <w:rsid w:val="00583C7F"/>
    <w:rsid w:val="0058546E"/>
    <w:rsid w:val="00585C53"/>
    <w:rsid w:val="0058660A"/>
    <w:rsid w:val="0059316F"/>
    <w:rsid w:val="00595C6C"/>
    <w:rsid w:val="00596C0A"/>
    <w:rsid w:val="005B054D"/>
    <w:rsid w:val="005E62E9"/>
    <w:rsid w:val="0060609D"/>
    <w:rsid w:val="00616EF4"/>
    <w:rsid w:val="00640ED1"/>
    <w:rsid w:val="00641926"/>
    <w:rsid w:val="00643DFD"/>
    <w:rsid w:val="00647C2A"/>
    <w:rsid w:val="00651369"/>
    <w:rsid w:val="00653ACD"/>
    <w:rsid w:val="006558B5"/>
    <w:rsid w:val="00657C20"/>
    <w:rsid w:val="006620A0"/>
    <w:rsid w:val="00663933"/>
    <w:rsid w:val="00665743"/>
    <w:rsid w:val="006709C9"/>
    <w:rsid w:val="006725C4"/>
    <w:rsid w:val="0068574B"/>
    <w:rsid w:val="0069525D"/>
    <w:rsid w:val="00695AFD"/>
    <w:rsid w:val="006A16E2"/>
    <w:rsid w:val="006B183E"/>
    <w:rsid w:val="006B1B76"/>
    <w:rsid w:val="006B336B"/>
    <w:rsid w:val="006C6D2A"/>
    <w:rsid w:val="006D1399"/>
    <w:rsid w:val="006D401A"/>
    <w:rsid w:val="006E2368"/>
    <w:rsid w:val="006F1DD4"/>
    <w:rsid w:val="006F2CEE"/>
    <w:rsid w:val="00706324"/>
    <w:rsid w:val="00721DA4"/>
    <w:rsid w:val="007231AA"/>
    <w:rsid w:val="00740EA6"/>
    <w:rsid w:val="00760303"/>
    <w:rsid w:val="00762196"/>
    <w:rsid w:val="00762650"/>
    <w:rsid w:val="00764709"/>
    <w:rsid w:val="00791A2F"/>
    <w:rsid w:val="00797CF9"/>
    <w:rsid w:val="007B5B15"/>
    <w:rsid w:val="007C55C7"/>
    <w:rsid w:val="007C7385"/>
    <w:rsid w:val="007E17A3"/>
    <w:rsid w:val="007E5DD2"/>
    <w:rsid w:val="007F5547"/>
    <w:rsid w:val="00802FB0"/>
    <w:rsid w:val="008035A9"/>
    <w:rsid w:val="00804B9B"/>
    <w:rsid w:val="00805746"/>
    <w:rsid w:val="00817E39"/>
    <w:rsid w:val="00823E06"/>
    <w:rsid w:val="00831709"/>
    <w:rsid w:val="0083232F"/>
    <w:rsid w:val="008406C9"/>
    <w:rsid w:val="00856F17"/>
    <w:rsid w:val="00863A2C"/>
    <w:rsid w:val="00865B39"/>
    <w:rsid w:val="0087420D"/>
    <w:rsid w:val="00874997"/>
    <w:rsid w:val="008803DF"/>
    <w:rsid w:val="00881A42"/>
    <w:rsid w:val="0089318E"/>
    <w:rsid w:val="00897ED1"/>
    <w:rsid w:val="008A506C"/>
    <w:rsid w:val="008C40F0"/>
    <w:rsid w:val="009150C2"/>
    <w:rsid w:val="009343AC"/>
    <w:rsid w:val="00950CFF"/>
    <w:rsid w:val="00967651"/>
    <w:rsid w:val="0098023E"/>
    <w:rsid w:val="00987020"/>
    <w:rsid w:val="009A0EDD"/>
    <w:rsid w:val="009A7EBC"/>
    <w:rsid w:val="009B11DF"/>
    <w:rsid w:val="009B2C03"/>
    <w:rsid w:val="009D739B"/>
    <w:rsid w:val="009E0676"/>
    <w:rsid w:val="009E2F51"/>
    <w:rsid w:val="00A05A84"/>
    <w:rsid w:val="00A07B28"/>
    <w:rsid w:val="00A12BEA"/>
    <w:rsid w:val="00A157FE"/>
    <w:rsid w:val="00A24EC4"/>
    <w:rsid w:val="00A3148C"/>
    <w:rsid w:val="00A4121D"/>
    <w:rsid w:val="00A43223"/>
    <w:rsid w:val="00A433CC"/>
    <w:rsid w:val="00A47311"/>
    <w:rsid w:val="00A52ABE"/>
    <w:rsid w:val="00A54833"/>
    <w:rsid w:val="00A56A5B"/>
    <w:rsid w:val="00A658B2"/>
    <w:rsid w:val="00A668EC"/>
    <w:rsid w:val="00A67451"/>
    <w:rsid w:val="00A7132A"/>
    <w:rsid w:val="00A85202"/>
    <w:rsid w:val="00A85CF8"/>
    <w:rsid w:val="00A87CDC"/>
    <w:rsid w:val="00A90E78"/>
    <w:rsid w:val="00A94053"/>
    <w:rsid w:val="00A94C7A"/>
    <w:rsid w:val="00AA1185"/>
    <w:rsid w:val="00AA4A21"/>
    <w:rsid w:val="00AB0C94"/>
    <w:rsid w:val="00AB0FBA"/>
    <w:rsid w:val="00AB2AA3"/>
    <w:rsid w:val="00AB6CDD"/>
    <w:rsid w:val="00AB77D7"/>
    <w:rsid w:val="00AC5FEA"/>
    <w:rsid w:val="00AC7FD5"/>
    <w:rsid w:val="00AF2932"/>
    <w:rsid w:val="00AF4454"/>
    <w:rsid w:val="00AF4DBC"/>
    <w:rsid w:val="00AF52CB"/>
    <w:rsid w:val="00AF6FEB"/>
    <w:rsid w:val="00B31996"/>
    <w:rsid w:val="00B34504"/>
    <w:rsid w:val="00B37909"/>
    <w:rsid w:val="00B40412"/>
    <w:rsid w:val="00B5478B"/>
    <w:rsid w:val="00B55361"/>
    <w:rsid w:val="00B72F7E"/>
    <w:rsid w:val="00B82FDF"/>
    <w:rsid w:val="00B870E8"/>
    <w:rsid w:val="00B93097"/>
    <w:rsid w:val="00B949E7"/>
    <w:rsid w:val="00BD08BB"/>
    <w:rsid w:val="00BD4A25"/>
    <w:rsid w:val="00BF14FC"/>
    <w:rsid w:val="00BF6C8C"/>
    <w:rsid w:val="00C065E7"/>
    <w:rsid w:val="00C133C0"/>
    <w:rsid w:val="00C27080"/>
    <w:rsid w:val="00C3123C"/>
    <w:rsid w:val="00C32AD8"/>
    <w:rsid w:val="00C34575"/>
    <w:rsid w:val="00C43886"/>
    <w:rsid w:val="00C510BF"/>
    <w:rsid w:val="00C652A2"/>
    <w:rsid w:val="00C6630F"/>
    <w:rsid w:val="00C72630"/>
    <w:rsid w:val="00C77FE8"/>
    <w:rsid w:val="00C847D0"/>
    <w:rsid w:val="00C91E0A"/>
    <w:rsid w:val="00CA13ED"/>
    <w:rsid w:val="00CA1C5D"/>
    <w:rsid w:val="00CA50CF"/>
    <w:rsid w:val="00CB70D2"/>
    <w:rsid w:val="00CC147F"/>
    <w:rsid w:val="00CC2A59"/>
    <w:rsid w:val="00CD0DAB"/>
    <w:rsid w:val="00CD15ED"/>
    <w:rsid w:val="00CD4713"/>
    <w:rsid w:val="00CD4B69"/>
    <w:rsid w:val="00CD7526"/>
    <w:rsid w:val="00CD7CA8"/>
    <w:rsid w:val="00CE5477"/>
    <w:rsid w:val="00CF7308"/>
    <w:rsid w:val="00D10CA0"/>
    <w:rsid w:val="00D1187A"/>
    <w:rsid w:val="00D2150B"/>
    <w:rsid w:val="00D36FAD"/>
    <w:rsid w:val="00D44C95"/>
    <w:rsid w:val="00D46F39"/>
    <w:rsid w:val="00D54192"/>
    <w:rsid w:val="00D54783"/>
    <w:rsid w:val="00D779B4"/>
    <w:rsid w:val="00D86652"/>
    <w:rsid w:val="00D94509"/>
    <w:rsid w:val="00D94B0B"/>
    <w:rsid w:val="00DA229C"/>
    <w:rsid w:val="00DA427F"/>
    <w:rsid w:val="00DA5877"/>
    <w:rsid w:val="00DB74DE"/>
    <w:rsid w:val="00DE21E1"/>
    <w:rsid w:val="00DE2CF6"/>
    <w:rsid w:val="00DE5D62"/>
    <w:rsid w:val="00DF2539"/>
    <w:rsid w:val="00E0152E"/>
    <w:rsid w:val="00E04D79"/>
    <w:rsid w:val="00E27252"/>
    <w:rsid w:val="00E416B5"/>
    <w:rsid w:val="00E47A71"/>
    <w:rsid w:val="00E54A6F"/>
    <w:rsid w:val="00E615E0"/>
    <w:rsid w:val="00E62025"/>
    <w:rsid w:val="00E62B20"/>
    <w:rsid w:val="00E70A4C"/>
    <w:rsid w:val="00E71BC2"/>
    <w:rsid w:val="00E82594"/>
    <w:rsid w:val="00E82C77"/>
    <w:rsid w:val="00E855E0"/>
    <w:rsid w:val="00E86C09"/>
    <w:rsid w:val="00E90829"/>
    <w:rsid w:val="00E92BBB"/>
    <w:rsid w:val="00E9542B"/>
    <w:rsid w:val="00EA052D"/>
    <w:rsid w:val="00EA1DC1"/>
    <w:rsid w:val="00EA2A8C"/>
    <w:rsid w:val="00EA6170"/>
    <w:rsid w:val="00EB6DB6"/>
    <w:rsid w:val="00EC36D0"/>
    <w:rsid w:val="00EC476E"/>
    <w:rsid w:val="00ED1BAF"/>
    <w:rsid w:val="00ED69C1"/>
    <w:rsid w:val="00EE4E0B"/>
    <w:rsid w:val="00EF31A6"/>
    <w:rsid w:val="00F01633"/>
    <w:rsid w:val="00F050C2"/>
    <w:rsid w:val="00F14D8C"/>
    <w:rsid w:val="00F16F2A"/>
    <w:rsid w:val="00F21827"/>
    <w:rsid w:val="00F2530C"/>
    <w:rsid w:val="00F346CC"/>
    <w:rsid w:val="00F56BF7"/>
    <w:rsid w:val="00F57EED"/>
    <w:rsid w:val="00F633DA"/>
    <w:rsid w:val="00F86189"/>
    <w:rsid w:val="00FE5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D724"/>
  <w15:docId w15:val="{89BEF02C-0D8B-4C5F-B90A-9B4A9C6D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B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852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D73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306"/>
    <w:rPr>
      <w:rFonts w:ascii="Tahoma" w:hAnsi="Tahoma" w:cs="Tahoma"/>
      <w:sz w:val="16"/>
      <w:szCs w:val="16"/>
    </w:rPr>
  </w:style>
  <w:style w:type="paragraph" w:styleId="Antrats">
    <w:name w:val="header"/>
    <w:basedOn w:val="prastasis"/>
    <w:link w:val="AntratsDiagrama"/>
    <w:uiPriority w:val="99"/>
    <w:unhideWhenUsed/>
    <w:rsid w:val="00BF14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14FC"/>
  </w:style>
  <w:style w:type="paragraph" w:styleId="Porat">
    <w:name w:val="footer"/>
    <w:basedOn w:val="prastasis"/>
    <w:link w:val="PoratDiagrama"/>
    <w:uiPriority w:val="99"/>
    <w:unhideWhenUsed/>
    <w:rsid w:val="00BF14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14FC"/>
  </w:style>
  <w:style w:type="character" w:styleId="Hipersaitas">
    <w:name w:val="Hyperlink"/>
    <w:basedOn w:val="Numatytasispastraiposriftas"/>
    <w:uiPriority w:val="99"/>
    <w:unhideWhenUsed/>
    <w:rsid w:val="007C7385"/>
    <w:rPr>
      <w:color w:val="0000FF" w:themeColor="hyperlink"/>
      <w:u w:val="single"/>
    </w:rPr>
  </w:style>
  <w:style w:type="character" w:styleId="Perirtashipersaitas">
    <w:name w:val="FollowedHyperlink"/>
    <w:basedOn w:val="Numatytasispastraiposriftas"/>
    <w:uiPriority w:val="99"/>
    <w:semiHidden/>
    <w:unhideWhenUsed/>
    <w:rsid w:val="007C7385"/>
    <w:rPr>
      <w:color w:val="800080" w:themeColor="followedHyperlink"/>
      <w:u w:val="single"/>
    </w:rPr>
  </w:style>
  <w:style w:type="paragraph" w:styleId="Sraopastraipa">
    <w:name w:val="List Paragraph"/>
    <w:basedOn w:val="prastasis"/>
    <w:uiPriority w:val="34"/>
    <w:qFormat/>
    <w:rsid w:val="00AF6FEB"/>
    <w:pPr>
      <w:ind w:left="720"/>
      <w:contextualSpacing/>
    </w:pPr>
  </w:style>
  <w:style w:type="paragraph" w:styleId="Betarp">
    <w:name w:val="No Spacing"/>
    <w:uiPriority w:val="1"/>
    <w:qFormat/>
    <w:rsid w:val="00090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gintjoku\Downloads\m23098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2584</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VEIKLOS RODIKLIAI IR (ARBA) NUMATYTOS UŽDUOTYS KAUNO MIESTO SAVIVALDYBĖS VALDOMŲ BENDROVIŲ VADOVAMS IR JŲ ĮVERTINIMAS</dc:subject>
  <dc:creator>Kauno miesto savivaldybės administracija</dc:creator>
  <cp:lastModifiedBy>Gintarė Jokubynaitė</cp:lastModifiedBy>
  <cp:revision>2</cp:revision>
  <cp:lastPrinted>2023-12-06T12:10:00Z</cp:lastPrinted>
  <dcterms:created xsi:type="dcterms:W3CDTF">2026-02-12T14:22:00Z</dcterms:created>
  <dcterms:modified xsi:type="dcterms:W3CDTF">2026-02-12T14:22:00Z</dcterms:modified>
</cp:coreProperties>
</file>