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B154" w14:textId="77777777" w:rsidR="006C6801" w:rsidRPr="00FE6903" w:rsidRDefault="006C6801" w:rsidP="00B17F2A">
      <w:pPr>
        <w:spacing w:after="0" w:line="36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E6903">
        <w:rPr>
          <w:rFonts w:ascii="Times New Roman" w:eastAsia="Times New Roman" w:hAnsi="Times New Roman" w:cs="Times New Roman"/>
          <w:sz w:val="24"/>
          <w:szCs w:val="20"/>
        </w:rPr>
        <w:t xml:space="preserve">PATVIRTINTA </w:t>
      </w:r>
    </w:p>
    <w:p w14:paraId="58FCAEF8" w14:textId="47604C8B" w:rsidR="006C6801" w:rsidRPr="00FE6903" w:rsidRDefault="006C6801" w:rsidP="00B17F2A">
      <w:pPr>
        <w:pStyle w:val="Pagrindinistekstas"/>
        <w:ind w:left="6237" w:firstLine="0"/>
        <w:jc w:val="both"/>
        <w:rPr>
          <w:lang w:bidi="ar-SA"/>
        </w:rPr>
      </w:pPr>
      <w:r w:rsidRPr="00FE6903">
        <w:rPr>
          <w:lang w:bidi="ar-SA"/>
        </w:rPr>
        <w:t>Kauno miesto savivaldybės</w:t>
      </w:r>
      <w:r w:rsidR="004116B2">
        <w:rPr>
          <w:lang w:bidi="ar-SA"/>
        </w:rPr>
        <w:t xml:space="preserve"> </w:t>
      </w:r>
      <w:r w:rsidR="0041491D">
        <w:rPr>
          <w:lang w:bidi="ar-SA"/>
        </w:rPr>
        <w:t>mero</w:t>
      </w:r>
      <w:r w:rsidR="00FD2949">
        <w:rPr>
          <w:lang w:bidi="ar-SA"/>
        </w:rPr>
        <w:t xml:space="preserve"> </w:t>
      </w:r>
    </w:p>
    <w:p w14:paraId="2526FD51" w14:textId="31F414F9" w:rsidR="006C6801" w:rsidRPr="00FE6903" w:rsidRDefault="002817C5" w:rsidP="00B17F2A">
      <w:pPr>
        <w:pStyle w:val="Pagrindinistekstas"/>
        <w:ind w:left="6237" w:firstLine="0"/>
        <w:jc w:val="both"/>
        <w:rPr>
          <w:lang w:bidi="ar-SA"/>
        </w:rPr>
      </w:pPr>
      <w:r>
        <w:t>2023 m. gruodžio 29 d.</w:t>
      </w:r>
    </w:p>
    <w:p w14:paraId="5F1BDC03" w14:textId="35FBA844" w:rsidR="005651E5" w:rsidRDefault="0041491D" w:rsidP="00B17F2A">
      <w:pPr>
        <w:pStyle w:val="Pagrindinistekstas"/>
        <w:ind w:left="6237" w:firstLine="0"/>
        <w:jc w:val="both"/>
      </w:pPr>
      <w:r>
        <w:rPr>
          <w:lang w:bidi="ar-SA"/>
        </w:rPr>
        <w:t>potvarkiu</w:t>
      </w:r>
      <w:r w:rsidR="0006437D">
        <w:rPr>
          <w:lang w:bidi="ar-SA"/>
        </w:rPr>
        <w:t xml:space="preserve"> Nr. </w:t>
      </w:r>
      <w:hyperlink r:id="rId8" w:history="1">
        <w:r w:rsidR="002817C5" w:rsidRPr="00F24118">
          <w:rPr>
            <w:rStyle w:val="Hipersaitas"/>
            <w:noProof/>
          </w:rPr>
          <w:t>M-984</w:t>
        </w:r>
      </w:hyperlink>
    </w:p>
    <w:p w14:paraId="536629C6" w14:textId="74CB4F02" w:rsidR="005759B8" w:rsidRDefault="000A11B4" w:rsidP="00945A0F">
      <w:pPr>
        <w:pStyle w:val="Pagrindinistekstas"/>
        <w:spacing w:line="240" w:lineRule="auto"/>
        <w:ind w:firstLine="0"/>
        <w:jc w:val="both"/>
        <w:rPr>
          <w:i/>
          <w:sz w:val="20"/>
          <w:lang w:eastAsia="lt-LT" w:bidi="ar-SA"/>
        </w:rPr>
      </w:pPr>
      <w:r w:rsidRPr="00B053DB">
        <w:rPr>
          <w:i/>
          <w:sz w:val="20"/>
          <w:lang w:eastAsia="lt-LT" w:bidi="ar-SA"/>
        </w:rPr>
        <w:t>Pakeista</w:t>
      </w:r>
      <w:r>
        <w:rPr>
          <w:i/>
          <w:sz w:val="20"/>
          <w:lang w:eastAsia="lt-LT" w:bidi="ar-SA"/>
        </w:rPr>
        <w:t xml:space="preserve"> Savivaldybės mero 2024-08-01</w:t>
      </w:r>
      <w:r w:rsidRPr="00B053DB">
        <w:rPr>
          <w:i/>
          <w:sz w:val="20"/>
          <w:lang w:eastAsia="lt-LT" w:bidi="ar-SA"/>
        </w:rPr>
        <w:t xml:space="preserve"> potvarkiu Nr. M-</w:t>
      </w:r>
      <w:hyperlink r:id="rId9" w:history="1">
        <w:r w:rsidRPr="00202AED">
          <w:rPr>
            <w:rStyle w:val="Hipersaitas"/>
            <w:i/>
            <w:sz w:val="20"/>
            <w:lang w:eastAsia="lt-LT" w:bidi="ar-SA"/>
          </w:rPr>
          <w:t>899</w:t>
        </w:r>
      </w:hyperlink>
    </w:p>
    <w:p w14:paraId="28EF3EF7" w14:textId="77777777" w:rsidR="000A11B4" w:rsidRPr="00FE6903" w:rsidRDefault="000A11B4" w:rsidP="00945A0F">
      <w:pPr>
        <w:pStyle w:val="Pagrindinistekstas"/>
        <w:spacing w:line="240" w:lineRule="auto"/>
        <w:ind w:firstLine="0"/>
        <w:jc w:val="both"/>
      </w:pPr>
    </w:p>
    <w:p w14:paraId="4AD4521B" w14:textId="389345B9" w:rsidR="00EE2D51" w:rsidRPr="00FE6903" w:rsidRDefault="00030989" w:rsidP="00945A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759B8">
        <w:rPr>
          <w:rFonts w:ascii="Times New Roman" w:hAnsi="Times New Roman" w:cs="Times New Roman"/>
          <w:b/>
          <w:caps/>
          <w:sz w:val="24"/>
          <w:szCs w:val="24"/>
        </w:rPr>
        <w:t xml:space="preserve">KAUNO MIESTO </w:t>
      </w:r>
      <w:r w:rsidR="005D7A7E" w:rsidRPr="005759B8">
        <w:rPr>
          <w:rFonts w:ascii="Times New Roman" w:hAnsi="Times New Roman" w:cs="Times New Roman"/>
          <w:b/>
          <w:caps/>
          <w:sz w:val="24"/>
          <w:szCs w:val="24"/>
        </w:rPr>
        <w:t>Savivaldybės</w:t>
      </w:r>
      <w:r w:rsidR="005D7A7E" w:rsidRPr="00FE6903">
        <w:rPr>
          <w:rFonts w:ascii="Times New Roman" w:hAnsi="Times New Roman" w:cs="Times New Roman"/>
          <w:b/>
          <w:caps/>
          <w:sz w:val="24"/>
          <w:szCs w:val="24"/>
        </w:rPr>
        <w:t xml:space="preserve"> įmonių vadovų darbo UŽMOKESČIO NUSTATYMO tvarkos aprašAS</w:t>
      </w:r>
      <w:r w:rsidR="004116B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4D6C2E15" w14:textId="77777777" w:rsidR="00667477" w:rsidRPr="00FE6903" w:rsidRDefault="00667477" w:rsidP="00945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079F102" w14:textId="3C1B3FDE" w:rsidR="00EE2D51" w:rsidRPr="00FE6903" w:rsidRDefault="00EE2D51" w:rsidP="00FD2949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E6903">
        <w:rPr>
          <w:rFonts w:ascii="Times New Roman" w:eastAsia="Times New Roman" w:hAnsi="Times New Roman" w:cs="Times New Roman"/>
          <w:sz w:val="24"/>
          <w:szCs w:val="20"/>
        </w:rPr>
        <w:t xml:space="preserve">1. Šis aprašas reglamentuoja </w:t>
      </w:r>
      <w:r w:rsidR="00DD5AE1">
        <w:rPr>
          <w:rFonts w:ascii="Times New Roman" w:eastAsia="Times New Roman" w:hAnsi="Times New Roman" w:cs="Times New Roman"/>
          <w:sz w:val="24"/>
          <w:szCs w:val="20"/>
        </w:rPr>
        <w:t xml:space="preserve">Kauno miesto </w:t>
      </w:r>
      <w:r w:rsidR="00203221" w:rsidRPr="00FE6903">
        <w:rPr>
          <w:rFonts w:ascii="Times New Roman" w:eastAsia="Times New Roman" w:hAnsi="Times New Roman" w:cs="Times New Roman"/>
          <w:sz w:val="24"/>
          <w:szCs w:val="20"/>
        </w:rPr>
        <w:t>s</w:t>
      </w:r>
      <w:r w:rsidR="00360252">
        <w:rPr>
          <w:rFonts w:ascii="Times New Roman" w:eastAsia="Times New Roman" w:hAnsi="Times New Roman" w:cs="Times New Roman"/>
          <w:sz w:val="24"/>
          <w:szCs w:val="20"/>
        </w:rPr>
        <w:t>avivaldybės</w:t>
      </w:r>
      <w:r w:rsidR="00BF332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E6903">
        <w:rPr>
          <w:rFonts w:ascii="Times New Roman" w:eastAsia="Times New Roman" w:hAnsi="Times New Roman" w:cs="Times New Roman"/>
          <w:sz w:val="24"/>
          <w:szCs w:val="20"/>
        </w:rPr>
        <w:t>į</w:t>
      </w:r>
      <w:r w:rsidR="0026417E" w:rsidRPr="00FE6903">
        <w:rPr>
          <w:rFonts w:ascii="Times New Roman" w:eastAsia="Times New Roman" w:hAnsi="Times New Roman" w:cs="Times New Roman"/>
          <w:sz w:val="24"/>
          <w:szCs w:val="20"/>
        </w:rPr>
        <w:t>monių (toliau – įmonės</w:t>
      </w:r>
      <w:r w:rsidR="005D7A7E" w:rsidRPr="00FE6903">
        <w:rPr>
          <w:rFonts w:ascii="Times New Roman" w:eastAsia="Times New Roman" w:hAnsi="Times New Roman" w:cs="Times New Roman"/>
          <w:sz w:val="24"/>
          <w:szCs w:val="20"/>
        </w:rPr>
        <w:t xml:space="preserve">) vadovų </w:t>
      </w:r>
      <w:r w:rsidRPr="00FE6903">
        <w:rPr>
          <w:rFonts w:ascii="Times New Roman" w:eastAsia="Times New Roman" w:hAnsi="Times New Roman" w:cs="Times New Roman"/>
          <w:sz w:val="24"/>
          <w:szCs w:val="20"/>
        </w:rPr>
        <w:t xml:space="preserve">darbo </w:t>
      </w:r>
      <w:r w:rsidR="008120C8" w:rsidRPr="00FE6903">
        <w:rPr>
          <w:rFonts w:ascii="Times New Roman" w:eastAsia="Times New Roman" w:hAnsi="Times New Roman" w:cs="Times New Roman"/>
          <w:sz w:val="24"/>
          <w:szCs w:val="20"/>
        </w:rPr>
        <w:t xml:space="preserve">užmokesčio nustatymo </w:t>
      </w:r>
      <w:r w:rsidR="003B0152" w:rsidRPr="00FE6903">
        <w:rPr>
          <w:rFonts w:ascii="Times New Roman" w:eastAsia="Times New Roman" w:hAnsi="Times New Roman" w:cs="Times New Roman"/>
          <w:sz w:val="24"/>
          <w:szCs w:val="20"/>
        </w:rPr>
        <w:t>tvarką.</w:t>
      </w:r>
      <w:r w:rsidR="004116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11F8C62" w14:textId="08390A37" w:rsidR="008120C8" w:rsidRPr="00FE6903" w:rsidRDefault="008120C8" w:rsidP="00FD2949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E6903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486A9A" w:rsidRPr="00FE6903">
        <w:rPr>
          <w:rFonts w:ascii="Times New Roman" w:eastAsia="Times New Roman" w:hAnsi="Times New Roman" w:cs="Times New Roman"/>
          <w:sz w:val="24"/>
          <w:szCs w:val="20"/>
        </w:rPr>
        <w:t xml:space="preserve">Įmonių </w:t>
      </w:r>
      <w:r w:rsidR="00F228FB" w:rsidRPr="00FE6903">
        <w:rPr>
          <w:rFonts w:ascii="Times New Roman" w:eastAsia="Times New Roman" w:hAnsi="Times New Roman" w:cs="Times New Roman"/>
          <w:sz w:val="24"/>
          <w:szCs w:val="20"/>
        </w:rPr>
        <w:t>vadovų</w:t>
      </w:r>
      <w:r w:rsidRPr="00FE6903">
        <w:rPr>
          <w:rFonts w:ascii="Times New Roman" w:eastAsia="Times New Roman" w:hAnsi="Times New Roman" w:cs="Times New Roman"/>
          <w:sz w:val="24"/>
          <w:szCs w:val="20"/>
        </w:rPr>
        <w:t xml:space="preserve"> darbo užmokestį sudaro </w:t>
      </w:r>
      <w:r w:rsidR="00D01FDC">
        <w:rPr>
          <w:rFonts w:ascii="Times New Roman" w:eastAsia="Times New Roman" w:hAnsi="Times New Roman" w:cs="Times New Roman"/>
          <w:sz w:val="24"/>
          <w:szCs w:val="20"/>
        </w:rPr>
        <w:t>pareiginė</w:t>
      </w:r>
      <w:r w:rsidR="00D01FDC" w:rsidRPr="00FE69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E6903">
        <w:rPr>
          <w:rFonts w:ascii="Times New Roman" w:eastAsia="Times New Roman" w:hAnsi="Times New Roman" w:cs="Times New Roman"/>
          <w:sz w:val="24"/>
          <w:szCs w:val="20"/>
        </w:rPr>
        <w:t>alga</w:t>
      </w:r>
      <w:r w:rsidR="00D01FDC">
        <w:rPr>
          <w:rFonts w:ascii="Times New Roman" w:eastAsia="Times New Roman" w:hAnsi="Times New Roman" w:cs="Times New Roman"/>
          <w:sz w:val="24"/>
          <w:szCs w:val="20"/>
        </w:rPr>
        <w:t>, kintamoji dalis</w:t>
      </w:r>
      <w:r w:rsidRPr="00FE6903">
        <w:rPr>
          <w:rFonts w:ascii="Times New Roman" w:eastAsia="Times New Roman" w:hAnsi="Times New Roman" w:cs="Times New Roman"/>
          <w:sz w:val="24"/>
          <w:szCs w:val="20"/>
        </w:rPr>
        <w:t xml:space="preserve"> ir premija.</w:t>
      </w:r>
      <w:r w:rsidR="004116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C3F6EC4" w14:textId="53A4526B" w:rsidR="007E55F8" w:rsidRPr="00F57D1A" w:rsidRDefault="00F228FB" w:rsidP="00FD2949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E6903">
        <w:rPr>
          <w:rFonts w:ascii="Times New Roman" w:eastAsia="Times New Roman" w:hAnsi="Times New Roman" w:cs="Times New Roman"/>
          <w:sz w:val="24"/>
          <w:szCs w:val="20"/>
        </w:rPr>
        <w:t>3.</w:t>
      </w:r>
      <w:r w:rsidR="0072633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01FDC">
        <w:rPr>
          <w:rFonts w:ascii="Times New Roman" w:eastAsia="Times New Roman" w:hAnsi="Times New Roman" w:cs="Times New Roman"/>
          <w:sz w:val="24"/>
          <w:szCs w:val="20"/>
        </w:rPr>
        <w:t>Pareiginė alga</w:t>
      </w:r>
      <w:r w:rsidR="007E55F8">
        <w:rPr>
          <w:rFonts w:ascii="Times New Roman" w:eastAsia="Times New Roman" w:hAnsi="Times New Roman" w:cs="Times New Roman"/>
          <w:sz w:val="24"/>
          <w:szCs w:val="20"/>
        </w:rPr>
        <w:t xml:space="preserve"> nustatoma koeficientais</w:t>
      </w:r>
      <w:r w:rsidR="005759B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759B8" w:rsidRPr="00F57D1A">
        <w:rPr>
          <w:rFonts w:ascii="Times New Roman" w:eastAsia="Times New Roman" w:hAnsi="Times New Roman" w:cs="Times New Roman"/>
          <w:sz w:val="24"/>
          <w:szCs w:val="20"/>
        </w:rPr>
        <w:t>(</w:t>
      </w:r>
      <w:r w:rsidR="00E051AE" w:rsidRPr="00F57D1A">
        <w:rPr>
          <w:rFonts w:ascii="Times New Roman" w:eastAsia="Times New Roman" w:hAnsi="Times New Roman" w:cs="Times New Roman"/>
          <w:sz w:val="24"/>
          <w:szCs w:val="20"/>
        </w:rPr>
        <w:t>apskaičiuojama padauginus koeficientą</w:t>
      </w:r>
      <w:r w:rsidR="00006C8F" w:rsidRPr="00F57D1A">
        <w:rPr>
          <w:rFonts w:ascii="Times New Roman" w:eastAsia="Times New Roman" w:hAnsi="Times New Roman" w:cs="Times New Roman"/>
          <w:sz w:val="24"/>
          <w:szCs w:val="20"/>
        </w:rPr>
        <w:t xml:space="preserve"> iš </w:t>
      </w:r>
      <w:r w:rsidR="00D01FDC" w:rsidRPr="00F57D1A">
        <w:rPr>
          <w:rFonts w:ascii="Times New Roman" w:eastAsia="Times New Roman" w:hAnsi="Times New Roman" w:cs="Times New Roman"/>
          <w:sz w:val="24"/>
          <w:szCs w:val="20"/>
        </w:rPr>
        <w:t>pare</w:t>
      </w:r>
      <w:r w:rsidR="00006C8F" w:rsidRPr="00F57D1A">
        <w:rPr>
          <w:rFonts w:ascii="Times New Roman" w:eastAsia="Times New Roman" w:hAnsi="Times New Roman" w:cs="Times New Roman"/>
          <w:sz w:val="24"/>
          <w:szCs w:val="20"/>
        </w:rPr>
        <w:t>iginės algos (atlyginimo) bazinio dydžio</w:t>
      </w:r>
      <w:r w:rsidR="00D01FDC" w:rsidRPr="00F57D1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006C8F" w:rsidRPr="00F57D1A">
        <w:rPr>
          <w:rFonts w:ascii="Times New Roman" w:eastAsia="Times New Roman" w:hAnsi="Times New Roman" w:cs="Times New Roman"/>
          <w:sz w:val="24"/>
          <w:szCs w:val="20"/>
        </w:rPr>
        <w:t>nustatyto</w:t>
      </w:r>
      <w:r w:rsidR="006C6801" w:rsidRPr="00F57D1A">
        <w:rPr>
          <w:rFonts w:ascii="Times New Roman" w:eastAsia="Times New Roman" w:hAnsi="Times New Roman" w:cs="Times New Roman"/>
          <w:sz w:val="24"/>
          <w:szCs w:val="20"/>
        </w:rPr>
        <w:t xml:space="preserve"> Lietuvos Respublikos pareiginės algos (atlyginimo) bazin</w:t>
      </w:r>
      <w:r w:rsidR="00510E34" w:rsidRPr="00F57D1A">
        <w:rPr>
          <w:rFonts w:ascii="Times New Roman" w:eastAsia="Times New Roman" w:hAnsi="Times New Roman" w:cs="Times New Roman"/>
          <w:sz w:val="24"/>
          <w:szCs w:val="20"/>
        </w:rPr>
        <w:t>io</w:t>
      </w:r>
      <w:r w:rsidR="006C6801" w:rsidRPr="00F57D1A">
        <w:rPr>
          <w:rFonts w:ascii="Times New Roman" w:eastAsia="Times New Roman" w:hAnsi="Times New Roman" w:cs="Times New Roman"/>
          <w:sz w:val="24"/>
          <w:szCs w:val="20"/>
        </w:rPr>
        <w:t xml:space="preserve"> dyd</w:t>
      </w:r>
      <w:r w:rsidR="00726333" w:rsidRPr="00F57D1A">
        <w:rPr>
          <w:rFonts w:ascii="Times New Roman" w:eastAsia="Times New Roman" w:hAnsi="Times New Roman" w:cs="Times New Roman"/>
          <w:sz w:val="24"/>
          <w:szCs w:val="20"/>
        </w:rPr>
        <w:t>ž</w:t>
      </w:r>
      <w:r w:rsidR="00510E34" w:rsidRPr="00F57D1A">
        <w:rPr>
          <w:rFonts w:ascii="Times New Roman" w:eastAsia="Times New Roman" w:hAnsi="Times New Roman" w:cs="Times New Roman"/>
          <w:sz w:val="24"/>
          <w:szCs w:val="20"/>
        </w:rPr>
        <w:t>io nustatymo ir asignavimų darbo užmo</w:t>
      </w:r>
      <w:r w:rsidR="007E55F8" w:rsidRPr="00F57D1A">
        <w:rPr>
          <w:rFonts w:ascii="Times New Roman" w:eastAsia="Times New Roman" w:hAnsi="Times New Roman" w:cs="Times New Roman"/>
          <w:sz w:val="24"/>
          <w:szCs w:val="20"/>
        </w:rPr>
        <w:t>kesčiui perskaičiavimo įstatyme</w:t>
      </w:r>
      <w:r w:rsidR="005759B8" w:rsidRPr="00F57D1A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="00666A3C" w:rsidRPr="00F57D1A">
        <w:rPr>
          <w:rFonts w:ascii="Times New Roman" w:eastAsia="Times New Roman" w:hAnsi="Times New Roman" w:cs="Times New Roman"/>
          <w:sz w:val="24"/>
          <w:szCs w:val="20"/>
        </w:rPr>
        <w:t xml:space="preserve">atsižvelgiant į </w:t>
      </w:r>
      <w:r w:rsidR="007F5E31" w:rsidRPr="00F57D1A">
        <w:rPr>
          <w:rFonts w:ascii="Times New Roman" w:eastAsia="Times New Roman" w:hAnsi="Times New Roman" w:cs="Times New Roman"/>
          <w:sz w:val="24"/>
          <w:szCs w:val="20"/>
        </w:rPr>
        <w:t xml:space="preserve">įmonės kategoriją </w:t>
      </w:r>
      <w:r w:rsidR="001372ED" w:rsidRPr="00F57D1A">
        <w:rPr>
          <w:rFonts w:ascii="Times New Roman" w:eastAsia="Times New Roman" w:hAnsi="Times New Roman" w:cs="Times New Roman"/>
          <w:sz w:val="24"/>
          <w:szCs w:val="20"/>
        </w:rPr>
        <w:t xml:space="preserve">pagal </w:t>
      </w:r>
      <w:r w:rsidR="00666A3C" w:rsidRPr="00F57D1A">
        <w:rPr>
          <w:rFonts w:ascii="Times New Roman" w:eastAsia="Times New Roman" w:hAnsi="Times New Roman" w:cs="Times New Roman"/>
          <w:sz w:val="24"/>
          <w:szCs w:val="20"/>
        </w:rPr>
        <w:t xml:space="preserve">Lietuvos Respublikos įmonių atskaitomybės įstatyme nurodytus rodiklius, įvertinant papildomą </w:t>
      </w:r>
      <w:r w:rsidR="00A4216B" w:rsidRPr="00F57D1A">
        <w:rPr>
          <w:rFonts w:ascii="Times New Roman" w:eastAsia="Times New Roman" w:hAnsi="Times New Roman" w:cs="Times New Roman"/>
          <w:sz w:val="24"/>
          <w:szCs w:val="20"/>
        </w:rPr>
        <w:t>praėjusių finansinių metų rodiklį – pa</w:t>
      </w:r>
      <w:r w:rsidR="007E55F8" w:rsidRPr="00F57D1A">
        <w:rPr>
          <w:rFonts w:ascii="Times New Roman" w:eastAsia="Times New Roman" w:hAnsi="Times New Roman" w:cs="Times New Roman"/>
          <w:sz w:val="24"/>
          <w:szCs w:val="20"/>
        </w:rPr>
        <w:t>rdavimo ir (ar) paslaugų</w:t>
      </w:r>
      <w:r w:rsidR="00A4216B" w:rsidRPr="00F57D1A">
        <w:rPr>
          <w:rFonts w:ascii="Times New Roman" w:eastAsia="Times New Roman" w:hAnsi="Times New Roman" w:cs="Times New Roman"/>
          <w:sz w:val="24"/>
          <w:szCs w:val="20"/>
        </w:rPr>
        <w:t xml:space="preserve"> apimtį</w:t>
      </w:r>
      <w:r w:rsidR="006C6801" w:rsidRPr="00F57D1A">
        <w:rPr>
          <w:rFonts w:ascii="Times New Roman" w:eastAsia="Times New Roman" w:hAnsi="Times New Roman" w:cs="Times New Roman"/>
          <w:sz w:val="24"/>
          <w:szCs w:val="20"/>
        </w:rPr>
        <w:t>:</w:t>
      </w:r>
      <w:r w:rsidR="004116B2" w:rsidRPr="00F57D1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271"/>
        <w:gridCol w:w="4820"/>
        <w:gridCol w:w="3543"/>
      </w:tblGrid>
      <w:tr w:rsidR="00621163" w:rsidRPr="00FE6903" w14:paraId="5BDE839F" w14:textId="77777777" w:rsidTr="00FD2949">
        <w:trPr>
          <w:trHeight w:val="340"/>
        </w:trPr>
        <w:tc>
          <w:tcPr>
            <w:tcW w:w="1271" w:type="dxa"/>
            <w:vAlign w:val="center"/>
          </w:tcPr>
          <w:p w14:paraId="2FB036E3" w14:textId="7A6EB73B" w:rsidR="00621163" w:rsidRPr="00F57D1A" w:rsidRDefault="00621163" w:rsidP="00FD294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7D1A">
              <w:rPr>
                <w:sz w:val="24"/>
                <w:szCs w:val="24"/>
              </w:rPr>
              <w:t>Įmon</w:t>
            </w:r>
            <w:r w:rsidR="00FD2949">
              <w:rPr>
                <w:sz w:val="24"/>
                <w:szCs w:val="24"/>
              </w:rPr>
              <w:t>ės</w:t>
            </w:r>
            <w:r w:rsidRPr="00F57D1A">
              <w:rPr>
                <w:sz w:val="24"/>
                <w:szCs w:val="24"/>
              </w:rPr>
              <w:t xml:space="preserve"> kategorij</w:t>
            </w:r>
            <w:r w:rsidR="00FD2949">
              <w:rPr>
                <w:sz w:val="24"/>
                <w:szCs w:val="24"/>
              </w:rPr>
              <w:t>a</w:t>
            </w:r>
          </w:p>
        </w:tc>
        <w:tc>
          <w:tcPr>
            <w:tcW w:w="4820" w:type="dxa"/>
            <w:vAlign w:val="center"/>
          </w:tcPr>
          <w:p w14:paraId="16367D3E" w14:textId="6194E96D" w:rsidR="00621163" w:rsidRPr="00F57D1A" w:rsidRDefault="00F62754" w:rsidP="00FD294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7D1A">
              <w:rPr>
                <w:sz w:val="24"/>
                <w:szCs w:val="24"/>
              </w:rPr>
              <w:t>P</w:t>
            </w:r>
            <w:r w:rsidR="00A4216B" w:rsidRPr="00F57D1A">
              <w:rPr>
                <w:sz w:val="24"/>
                <w:szCs w:val="24"/>
              </w:rPr>
              <w:t xml:space="preserve">raėjusių finansinių </w:t>
            </w:r>
            <w:r w:rsidR="007E55F8" w:rsidRPr="00F57D1A">
              <w:rPr>
                <w:sz w:val="24"/>
                <w:szCs w:val="24"/>
              </w:rPr>
              <w:t xml:space="preserve">metų pardavimo </w:t>
            </w:r>
            <w:r w:rsidR="00B772B0" w:rsidRPr="00F57D1A">
              <w:rPr>
                <w:sz w:val="24"/>
                <w:szCs w:val="24"/>
              </w:rPr>
              <w:t>pajamos,</w:t>
            </w:r>
            <w:r w:rsidR="00621163" w:rsidRPr="00F57D1A">
              <w:rPr>
                <w:sz w:val="24"/>
                <w:szCs w:val="24"/>
              </w:rPr>
              <w:t xml:space="preserve"> mln.</w:t>
            </w:r>
            <w:r w:rsidR="00FD2949">
              <w:rPr>
                <w:sz w:val="24"/>
                <w:szCs w:val="24"/>
              </w:rPr>
              <w:t> </w:t>
            </w:r>
            <w:r w:rsidR="00621163" w:rsidRPr="00F57D1A">
              <w:rPr>
                <w:sz w:val="24"/>
                <w:szCs w:val="24"/>
              </w:rPr>
              <w:t>eurų</w:t>
            </w:r>
            <w:r w:rsidRPr="00F57D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2703E7C0" w14:textId="326D99BA" w:rsidR="00621163" w:rsidRPr="00621163" w:rsidRDefault="00621163" w:rsidP="00FD294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57D1A">
              <w:rPr>
                <w:sz w:val="24"/>
                <w:szCs w:val="24"/>
              </w:rPr>
              <w:t>Koeficientai (</w:t>
            </w:r>
            <w:r w:rsidR="007E55F8" w:rsidRPr="00F57D1A">
              <w:rPr>
                <w:sz w:val="24"/>
              </w:rPr>
              <w:t>Lietuvos Respublikos pareiginės algos (atlyginimo) bazinio dydžio nustatymo ir asignavimų darbo užmokesčiui perskaičiavimo įstatyme nustatytais pareiginės algos (atlyginimo) baziniais dydžiais</w:t>
            </w:r>
            <w:r w:rsidRPr="00F57D1A">
              <w:rPr>
                <w:sz w:val="24"/>
                <w:szCs w:val="24"/>
              </w:rPr>
              <w:t>)</w:t>
            </w:r>
          </w:p>
        </w:tc>
      </w:tr>
      <w:tr w:rsidR="00621163" w:rsidRPr="00FE6903" w14:paraId="08B80EAA" w14:textId="77777777" w:rsidTr="00FD2949">
        <w:trPr>
          <w:trHeight w:val="340"/>
        </w:trPr>
        <w:tc>
          <w:tcPr>
            <w:tcW w:w="1271" w:type="dxa"/>
            <w:vAlign w:val="center"/>
          </w:tcPr>
          <w:p w14:paraId="026C408F" w14:textId="77777777" w:rsidR="00621163" w:rsidRPr="00621163" w:rsidRDefault="00621163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1163">
              <w:rPr>
                <w:sz w:val="24"/>
                <w:szCs w:val="24"/>
              </w:rPr>
              <w:t>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B5DC2" w14:textId="77777777" w:rsidR="00FD2949" w:rsidRDefault="00367487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20</w:t>
            </w:r>
            <w:r w:rsidR="00FD2949">
              <w:rPr>
                <w:sz w:val="24"/>
                <w:szCs w:val="24"/>
              </w:rPr>
              <w:t xml:space="preserve"> </w:t>
            </w:r>
          </w:p>
          <w:p w14:paraId="0DF5609B" w14:textId="080F301F" w:rsidR="00621163" w:rsidRPr="00621163" w:rsidRDefault="00FD2949" w:rsidP="00FD294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(į</w:t>
            </w:r>
            <w:r w:rsidRPr="002E2F53">
              <w:rPr>
                <w:sz w:val="24"/>
                <w:szCs w:val="24"/>
              </w:rPr>
              <w:t xml:space="preserve"> </w:t>
            </w:r>
            <w:r w:rsidRPr="00A4216B">
              <w:rPr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 xml:space="preserve">rdavimo pajamas </w:t>
            </w:r>
            <w:r w:rsidRPr="002E2F53">
              <w:rPr>
                <w:sz w:val="24"/>
                <w:szCs w:val="24"/>
              </w:rPr>
              <w:t xml:space="preserve">neįtraukiamos iš </w:t>
            </w:r>
            <w:r>
              <w:rPr>
                <w:sz w:val="24"/>
                <w:szCs w:val="24"/>
              </w:rPr>
              <w:t>Kauno miesto s</w:t>
            </w:r>
            <w:r w:rsidRPr="002E2F53">
              <w:rPr>
                <w:sz w:val="24"/>
                <w:szCs w:val="24"/>
              </w:rPr>
              <w:t>avivaldybės administraci</w:t>
            </w:r>
            <w:r>
              <w:rPr>
                <w:sz w:val="24"/>
                <w:szCs w:val="24"/>
              </w:rPr>
              <w:t>jos gautos dotacijos)</w:t>
            </w:r>
          </w:p>
        </w:tc>
        <w:tc>
          <w:tcPr>
            <w:tcW w:w="3543" w:type="dxa"/>
            <w:vAlign w:val="center"/>
          </w:tcPr>
          <w:p w14:paraId="1987C5B2" w14:textId="7E1852B6" w:rsidR="00621163" w:rsidRPr="00621163" w:rsidRDefault="008051EB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4,9–11</w:t>
            </w:r>
          </w:p>
        </w:tc>
      </w:tr>
      <w:tr w:rsidR="00621163" w:rsidRPr="00FE6903" w14:paraId="0A91207A" w14:textId="77777777" w:rsidTr="00FD2949">
        <w:trPr>
          <w:trHeight w:val="340"/>
        </w:trPr>
        <w:tc>
          <w:tcPr>
            <w:tcW w:w="1271" w:type="dxa"/>
            <w:vAlign w:val="center"/>
          </w:tcPr>
          <w:p w14:paraId="181750CC" w14:textId="77777777" w:rsidR="00621163" w:rsidRPr="00621163" w:rsidRDefault="00621163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1163">
              <w:rPr>
                <w:sz w:val="24"/>
                <w:szCs w:val="24"/>
              </w:rPr>
              <w:t>II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36F0F" w14:textId="0723B772" w:rsidR="00621163" w:rsidRPr="00621163" w:rsidRDefault="00621163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4C5F">
              <w:rPr>
                <w:sz w:val="24"/>
                <w:szCs w:val="24"/>
              </w:rPr>
              <w:t>&gt; 3</w:t>
            </w:r>
          </w:p>
        </w:tc>
        <w:tc>
          <w:tcPr>
            <w:tcW w:w="3543" w:type="dxa"/>
            <w:vAlign w:val="center"/>
          </w:tcPr>
          <w:p w14:paraId="3A488132" w14:textId="0629FD84" w:rsidR="00621163" w:rsidRPr="00621163" w:rsidRDefault="008051EB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2,5–5,3</w:t>
            </w:r>
          </w:p>
        </w:tc>
      </w:tr>
      <w:tr w:rsidR="00621163" w:rsidRPr="00FE6903" w14:paraId="4DB05848" w14:textId="77777777" w:rsidTr="00FD2949">
        <w:trPr>
          <w:trHeight w:val="34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C979C78" w14:textId="77777777" w:rsidR="00621163" w:rsidRPr="00621163" w:rsidRDefault="00621163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1163">
              <w:rPr>
                <w:sz w:val="24"/>
                <w:szCs w:val="24"/>
              </w:rPr>
              <w:t>III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A919E" w14:textId="004150DB" w:rsidR="00621163" w:rsidRPr="00621163" w:rsidRDefault="00621163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1163">
              <w:rPr>
                <w:sz w:val="24"/>
                <w:szCs w:val="24"/>
              </w:rPr>
              <w:t>&gt; 0,5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0913523" w14:textId="13EF6BED" w:rsidR="00621163" w:rsidRPr="00621163" w:rsidRDefault="008051EB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1,9–4,3</w:t>
            </w:r>
          </w:p>
        </w:tc>
      </w:tr>
      <w:tr w:rsidR="00621163" w:rsidRPr="00FE6903" w14:paraId="59674BD1" w14:textId="77777777" w:rsidTr="00FD2949">
        <w:trPr>
          <w:trHeight w:val="296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1379076" w14:textId="77777777" w:rsidR="00621163" w:rsidRPr="00621163" w:rsidRDefault="00621163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21163">
              <w:rPr>
                <w:sz w:val="24"/>
                <w:szCs w:val="24"/>
              </w:rPr>
              <w:t>IV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AB39" w14:textId="64C79D20" w:rsidR="00621163" w:rsidRPr="00621163" w:rsidRDefault="00367487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 </w:t>
            </w:r>
            <w:r w:rsidR="00621163" w:rsidRPr="00621163">
              <w:rPr>
                <w:sz w:val="24"/>
                <w:szCs w:val="24"/>
              </w:rPr>
              <w:t>0,5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08E97ED" w14:textId="630C14B3" w:rsidR="00621163" w:rsidRPr="00621163" w:rsidRDefault="008051EB" w:rsidP="0008684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1–2,3</w:t>
            </w:r>
          </w:p>
        </w:tc>
      </w:tr>
    </w:tbl>
    <w:p w14:paraId="1B324454" w14:textId="77777777" w:rsidR="000A11B4" w:rsidRPr="000A11B4" w:rsidRDefault="000A11B4" w:rsidP="000A11B4">
      <w:pPr>
        <w:pStyle w:val="Pagrindinistekstas"/>
        <w:ind w:firstLine="1418"/>
        <w:jc w:val="both"/>
        <w:rPr>
          <w:szCs w:val="24"/>
        </w:rPr>
      </w:pPr>
      <w:r w:rsidRPr="000A11B4">
        <w:rPr>
          <w:szCs w:val="24"/>
        </w:rPr>
        <w:t xml:space="preserve">4. Kintamoji dalis priklauso nuo įmonės vadovui nustatytų veiklos rodiklių ir (arba) numatytų užduočių įvykdymo ir išmokama vieną kartą metuose, pasibaigus finansiniams metams ir patvirtinus finansinių ataskaitų rinkinius. </w:t>
      </w:r>
    </w:p>
    <w:p w14:paraId="1DCAFF94" w14:textId="7274125E" w:rsidR="00945A0F" w:rsidRDefault="000A11B4" w:rsidP="000A11B4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1B4">
        <w:rPr>
          <w:rFonts w:ascii="Times New Roman" w:hAnsi="Times New Roman" w:cs="Times New Roman"/>
          <w:sz w:val="24"/>
          <w:szCs w:val="24"/>
        </w:rPr>
        <w:lastRenderedPageBreak/>
        <w:t>Kintamoji dalis, kurios dydis negali viršyti 30 procentų įmonės vadovui praėjusiais finansiniais metais išmokėtos pareiginės algos, nustatoma įvertinus praėjusių finansinių metų veiklos rodiklį:</w:t>
      </w:r>
      <w:r w:rsidR="00FD2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97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5530"/>
        <w:gridCol w:w="850"/>
        <w:gridCol w:w="1710"/>
      </w:tblGrid>
      <w:tr w:rsidR="000A11B4" w:rsidRPr="004D6CD8" w14:paraId="36D17AE1" w14:textId="77777777" w:rsidTr="00AC44BA">
        <w:trPr>
          <w:tblHeader/>
          <w:jc w:val="center"/>
        </w:trPr>
        <w:tc>
          <w:tcPr>
            <w:tcW w:w="1695" w:type="dxa"/>
            <w:vAlign w:val="center"/>
          </w:tcPr>
          <w:p w14:paraId="66033C4A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>Įmonės pavadinimas</w:t>
            </w:r>
          </w:p>
          <w:p w14:paraId="252CD500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  <w:p w14:paraId="43F42CFA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  <w:p w14:paraId="096E53B5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  <w:p w14:paraId="688DF4E8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28F9644A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 xml:space="preserve">Rodiklio pavadinimas (vartojamos sąvokos atitinka verslo apskaitos ar tarptautiniuose finansinės atskaitomybės standartuose vartojamas sąvokas) </w:t>
            </w:r>
          </w:p>
          <w:p w14:paraId="028935F7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  <w:p w14:paraId="64E7F85B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  <w:p w14:paraId="322F9AAC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4D7A45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 xml:space="preserve">Rodiklio dydis </w:t>
            </w:r>
          </w:p>
          <w:p w14:paraId="22589557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  <w:p w14:paraId="3B65F024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  <w:p w14:paraId="50BA5E22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8BA1C04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>Kintama dalis, proc. nuo praėjusiais finansiniais metais išmokėtos pareiginės algos</w:t>
            </w:r>
          </w:p>
        </w:tc>
      </w:tr>
      <w:tr w:rsidR="000A11B4" w:rsidRPr="004D6CD8" w14:paraId="4786DF23" w14:textId="77777777" w:rsidTr="00AC44BA">
        <w:trPr>
          <w:trHeight w:val="738"/>
          <w:jc w:val="center"/>
        </w:trPr>
        <w:tc>
          <w:tcPr>
            <w:tcW w:w="1695" w:type="dxa"/>
            <w:vMerge w:val="restart"/>
          </w:tcPr>
          <w:p w14:paraId="1D63D0C6" w14:textId="1F61934C" w:rsidR="000A11B4" w:rsidRPr="000A11B4" w:rsidRDefault="000A11B4" w:rsidP="00AC44BA">
            <w:pPr>
              <w:ind w:firstLine="134"/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>Kauno savivaldybės įmonė Kapinių priežiūra“</w:t>
            </w:r>
          </w:p>
        </w:tc>
        <w:tc>
          <w:tcPr>
            <w:tcW w:w="5530" w:type="dxa"/>
            <w:vMerge w:val="restart"/>
            <w:vAlign w:val="center"/>
          </w:tcPr>
          <w:p w14:paraId="194CF6E7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 xml:space="preserve">Kapinių žemės sklypų efektyvaus panaudojimo </w:t>
            </w:r>
          </w:p>
          <w:p w14:paraId="38A8AD85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 xml:space="preserve">rodiklis, proc. </w:t>
            </w:r>
          </w:p>
          <w:p w14:paraId="3A15AA99" w14:textId="77777777" w:rsidR="000A11B4" w:rsidRPr="000A11B4" w:rsidRDefault="00000000" w:rsidP="00AC44BA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iCs/>
                        <w:sz w:val="24"/>
                        <w:szCs w:val="24"/>
                      </w:rPr>
                      <m:t xml:space="preserve">Naujose mažose* kapavietėse laidojamų urnų skaičius** 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iCs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m:rPr>
                            <m:nor/>
                          </m:rPr>
                          <w:rPr>
                            <w:iCs/>
                            <w:sz w:val="24"/>
                            <w:szCs w:val="24"/>
                          </w:rPr>
                          <m:t>Naujose kapavietėse laidojamų urnų skaičius **</m:t>
                        </m:r>
                      </m:e>
                      <m:e/>
                    </m:eqArr>
                  </m:den>
                </m:f>
                <m:r>
                  <m:rPr>
                    <m:nor/>
                  </m:rPr>
                  <w:rPr>
                    <w:iCs/>
                    <w:sz w:val="24"/>
                    <w:szCs w:val="24"/>
                  </w:rPr>
                  <m:t>×100</m:t>
                </m:r>
              </m:oMath>
            </m:oMathPara>
          </w:p>
          <w:p w14:paraId="6C3E7CE8" w14:textId="77777777" w:rsidR="000A11B4" w:rsidRPr="000A11B4" w:rsidRDefault="000A11B4" w:rsidP="00AC44BA">
            <w:pPr>
              <w:ind w:left="140" w:firstLine="142"/>
              <w:jc w:val="both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 xml:space="preserve">* Maža kapavietė – </w:t>
            </w:r>
            <w:r w:rsidRPr="000A11B4">
              <w:rPr>
                <w:bCs/>
                <w:sz w:val="24"/>
                <w:szCs w:val="24"/>
              </w:rPr>
              <w:t xml:space="preserve">žmogaus palaikams, įskaitant balzamuotus ir kremuotus palaikus, laidoti, atsižvelgiant į laidojančio asmens prašymą, tik kremuotiems žmogaus palaikams laidoti – 1,32 kv. m (1,1 m x 1,2 m) arba pagal kapinių planą – kitokio dydžio kapavietė </w:t>
            </w:r>
          </w:p>
          <w:p w14:paraId="344ABB81" w14:textId="77777777" w:rsidR="000A11B4" w:rsidRPr="000A11B4" w:rsidRDefault="000A11B4" w:rsidP="00AC44BA">
            <w:pPr>
              <w:ind w:firstLine="282"/>
              <w:jc w:val="both"/>
              <w:rPr>
                <w:iCs/>
                <w:color w:val="0070C0"/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 xml:space="preserve">** Urnų skaičius kartu su kolumbariumais </w:t>
            </w:r>
          </w:p>
        </w:tc>
        <w:tc>
          <w:tcPr>
            <w:tcW w:w="850" w:type="dxa"/>
            <w:vAlign w:val="center"/>
          </w:tcPr>
          <w:p w14:paraId="32081B02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>&gt; 80</w:t>
            </w:r>
          </w:p>
        </w:tc>
        <w:tc>
          <w:tcPr>
            <w:tcW w:w="1710" w:type="dxa"/>
            <w:vAlign w:val="center"/>
          </w:tcPr>
          <w:p w14:paraId="7C00D8B7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>30</w:t>
            </w:r>
          </w:p>
        </w:tc>
      </w:tr>
      <w:tr w:rsidR="000A11B4" w:rsidRPr="004D6CD8" w14:paraId="1C31AF50" w14:textId="77777777" w:rsidTr="00AC44BA">
        <w:trPr>
          <w:trHeight w:val="738"/>
          <w:jc w:val="center"/>
        </w:trPr>
        <w:tc>
          <w:tcPr>
            <w:tcW w:w="1695" w:type="dxa"/>
            <w:vMerge/>
          </w:tcPr>
          <w:p w14:paraId="1C2B28E5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vMerge/>
            <w:vAlign w:val="center"/>
          </w:tcPr>
          <w:p w14:paraId="3ECC913D" w14:textId="77777777" w:rsidR="000A11B4" w:rsidRPr="000A11B4" w:rsidRDefault="000A11B4" w:rsidP="00AC44BA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ECA5E7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>&gt; 65</w:t>
            </w:r>
          </w:p>
        </w:tc>
        <w:tc>
          <w:tcPr>
            <w:tcW w:w="1710" w:type="dxa"/>
            <w:vAlign w:val="center"/>
          </w:tcPr>
          <w:p w14:paraId="39A57977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>20</w:t>
            </w:r>
          </w:p>
        </w:tc>
      </w:tr>
      <w:tr w:rsidR="000A11B4" w:rsidRPr="004D6CD8" w14:paraId="6DFB0560" w14:textId="77777777" w:rsidTr="00AC44BA">
        <w:trPr>
          <w:trHeight w:val="738"/>
          <w:jc w:val="center"/>
        </w:trPr>
        <w:tc>
          <w:tcPr>
            <w:tcW w:w="1695" w:type="dxa"/>
            <w:vMerge/>
          </w:tcPr>
          <w:p w14:paraId="391F44D0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vMerge/>
            <w:vAlign w:val="center"/>
          </w:tcPr>
          <w:p w14:paraId="7F9FB49A" w14:textId="77777777" w:rsidR="000A11B4" w:rsidRPr="000A11B4" w:rsidRDefault="000A11B4" w:rsidP="00AC44BA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E07E5E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>&gt; 50</w:t>
            </w:r>
          </w:p>
        </w:tc>
        <w:tc>
          <w:tcPr>
            <w:tcW w:w="1710" w:type="dxa"/>
            <w:vAlign w:val="center"/>
          </w:tcPr>
          <w:p w14:paraId="3B5CB0E5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>10</w:t>
            </w:r>
          </w:p>
        </w:tc>
      </w:tr>
      <w:tr w:rsidR="000A11B4" w:rsidRPr="004D6CD8" w14:paraId="45F8A3A7" w14:textId="77777777" w:rsidTr="00AC44BA">
        <w:trPr>
          <w:trHeight w:val="738"/>
          <w:jc w:val="center"/>
        </w:trPr>
        <w:tc>
          <w:tcPr>
            <w:tcW w:w="1695" w:type="dxa"/>
            <w:vMerge/>
          </w:tcPr>
          <w:p w14:paraId="520A18F4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0" w:type="dxa"/>
            <w:vMerge/>
            <w:vAlign w:val="center"/>
          </w:tcPr>
          <w:p w14:paraId="686C23D4" w14:textId="77777777" w:rsidR="000A11B4" w:rsidRPr="000A11B4" w:rsidRDefault="000A11B4" w:rsidP="00AC44BA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A75808" w14:textId="77777777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>≤ 50</w:t>
            </w:r>
          </w:p>
        </w:tc>
        <w:tc>
          <w:tcPr>
            <w:tcW w:w="1710" w:type="dxa"/>
            <w:vAlign w:val="center"/>
          </w:tcPr>
          <w:p w14:paraId="09E8E07C" w14:textId="1927A6BE" w:rsidR="000A11B4" w:rsidRPr="000A11B4" w:rsidRDefault="000A11B4" w:rsidP="00AC44BA">
            <w:pPr>
              <w:jc w:val="center"/>
              <w:rPr>
                <w:sz w:val="24"/>
                <w:szCs w:val="24"/>
              </w:rPr>
            </w:pPr>
            <w:r w:rsidRPr="000A11B4">
              <w:rPr>
                <w:sz w:val="24"/>
                <w:szCs w:val="24"/>
              </w:rPr>
              <w:t>0</w:t>
            </w:r>
          </w:p>
        </w:tc>
      </w:tr>
    </w:tbl>
    <w:p w14:paraId="16834A35" w14:textId="0DE7D484" w:rsidR="000A11B4" w:rsidRPr="000A11B4" w:rsidRDefault="000A11B4" w:rsidP="000A1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A11B4">
        <w:rPr>
          <w:rFonts w:ascii="Times New Roman" w:eastAsia="Times New Roman" w:hAnsi="Times New Roman" w:cs="Times New Roman"/>
          <w:b/>
          <w:i/>
          <w:sz w:val="20"/>
          <w:szCs w:val="20"/>
        </w:rPr>
        <w:t>Pakeitimai:</w:t>
      </w:r>
    </w:p>
    <w:p w14:paraId="11D081C1" w14:textId="228F2E6C" w:rsidR="000A11B4" w:rsidRPr="000A11B4" w:rsidRDefault="000A11B4" w:rsidP="000A1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1B4">
        <w:rPr>
          <w:rFonts w:ascii="Times New Roman" w:hAnsi="Times New Roman" w:cs="Times New Roman"/>
          <w:i/>
          <w:sz w:val="20"/>
          <w:lang w:eastAsia="lt-LT"/>
        </w:rPr>
        <w:t>Savivaldybės mero 2024-08-01 potvarkio Nr. M-</w:t>
      </w:r>
      <w:hyperlink r:id="rId10" w:history="1">
        <w:r w:rsidRPr="000A11B4">
          <w:rPr>
            <w:rStyle w:val="Hipersaitas"/>
            <w:rFonts w:ascii="Times New Roman" w:hAnsi="Times New Roman" w:cs="Times New Roman"/>
            <w:i/>
            <w:sz w:val="20"/>
            <w:lang w:eastAsia="lt-LT"/>
          </w:rPr>
          <w:t>899</w:t>
        </w:r>
      </w:hyperlink>
      <w:r w:rsidRPr="000A11B4">
        <w:rPr>
          <w:rFonts w:ascii="Times New Roman" w:hAnsi="Times New Roman" w:cs="Times New Roman"/>
          <w:i/>
          <w:sz w:val="20"/>
          <w:lang w:eastAsia="lt-LT"/>
        </w:rPr>
        <w:t xml:space="preserve"> redakcija</w:t>
      </w:r>
    </w:p>
    <w:p w14:paraId="584F8162" w14:textId="6A304AE6" w:rsidR="00672E5B" w:rsidRPr="00FE6903" w:rsidRDefault="00F73702" w:rsidP="000A11B4">
      <w:pPr>
        <w:spacing w:before="120" w:after="0" w:line="36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F2E0A" w:rsidRPr="00FE6903">
        <w:rPr>
          <w:rFonts w:ascii="Times New Roman" w:eastAsia="Times New Roman" w:hAnsi="Times New Roman" w:cs="Times New Roman"/>
          <w:sz w:val="24"/>
          <w:szCs w:val="24"/>
        </w:rPr>
        <w:t xml:space="preserve">. Pirmaisiais veiklos metais įsteigtos naujos įmonės kategorija ir vadovo </w:t>
      </w:r>
      <w:r w:rsidR="005D07B5">
        <w:rPr>
          <w:rFonts w:ascii="Times New Roman" w:eastAsia="Times New Roman" w:hAnsi="Times New Roman" w:cs="Times New Roman"/>
          <w:sz w:val="24"/>
          <w:szCs w:val="24"/>
        </w:rPr>
        <w:t>pareiginė alga</w:t>
      </w:r>
      <w:r w:rsidR="00617C73">
        <w:rPr>
          <w:rFonts w:ascii="Times New Roman" w:eastAsia="Times New Roman" w:hAnsi="Times New Roman" w:cs="Times New Roman"/>
          <w:sz w:val="24"/>
          <w:szCs w:val="24"/>
        </w:rPr>
        <w:t xml:space="preserve"> nustatom</w:t>
      </w:r>
      <w:r w:rsidR="005D07B5">
        <w:rPr>
          <w:rFonts w:ascii="Times New Roman" w:eastAsia="Times New Roman" w:hAnsi="Times New Roman" w:cs="Times New Roman"/>
          <w:sz w:val="24"/>
          <w:szCs w:val="24"/>
        </w:rPr>
        <w:t>a</w:t>
      </w:r>
      <w:r w:rsidR="00617C73">
        <w:rPr>
          <w:rFonts w:ascii="Times New Roman" w:eastAsia="Times New Roman" w:hAnsi="Times New Roman" w:cs="Times New Roman"/>
          <w:sz w:val="24"/>
          <w:szCs w:val="24"/>
        </w:rPr>
        <w:t xml:space="preserve"> pagal prognozuojamą</w:t>
      </w:r>
      <w:r w:rsidR="007F2E0A" w:rsidRPr="00FE6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677">
        <w:rPr>
          <w:rFonts w:ascii="Times New Roman" w:eastAsia="Times New Roman" w:hAnsi="Times New Roman" w:cs="Times New Roman"/>
          <w:sz w:val="24"/>
          <w:szCs w:val="24"/>
        </w:rPr>
        <w:t xml:space="preserve">įmonės dydį ir </w:t>
      </w:r>
      <w:r w:rsidR="007F2E0A" w:rsidRPr="00FD2949">
        <w:rPr>
          <w:rFonts w:ascii="Times New Roman" w:eastAsia="Times New Roman" w:hAnsi="Times New Roman" w:cs="Times New Roman"/>
          <w:sz w:val="24"/>
          <w:szCs w:val="24"/>
        </w:rPr>
        <w:t xml:space="preserve">šio </w:t>
      </w:r>
      <w:r w:rsidR="00E2270B" w:rsidRPr="00FD2949">
        <w:rPr>
          <w:rFonts w:ascii="Times New Roman" w:eastAsia="Times New Roman" w:hAnsi="Times New Roman" w:cs="Times New Roman"/>
          <w:sz w:val="24"/>
          <w:szCs w:val="24"/>
        </w:rPr>
        <w:t>aprašo</w:t>
      </w:r>
      <w:r w:rsidR="007F2E0A" w:rsidRPr="00FE6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32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903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D07B5">
        <w:rPr>
          <w:rFonts w:ascii="Times New Roman" w:eastAsia="Times New Roman" w:hAnsi="Times New Roman" w:cs="Times New Roman"/>
          <w:sz w:val="24"/>
          <w:szCs w:val="24"/>
        </w:rPr>
        <w:t>punkte</w:t>
      </w:r>
      <w:r w:rsidR="00617C73">
        <w:rPr>
          <w:rFonts w:ascii="Times New Roman" w:eastAsia="Times New Roman" w:hAnsi="Times New Roman" w:cs="Times New Roman"/>
          <w:sz w:val="24"/>
          <w:szCs w:val="24"/>
        </w:rPr>
        <w:t xml:space="preserve"> nurodytą</w:t>
      </w:r>
      <w:r w:rsidR="00FD1677">
        <w:rPr>
          <w:rFonts w:ascii="Times New Roman" w:eastAsia="Times New Roman" w:hAnsi="Times New Roman" w:cs="Times New Roman"/>
          <w:sz w:val="24"/>
          <w:szCs w:val="24"/>
        </w:rPr>
        <w:t xml:space="preserve"> papildomą rodiklį.</w:t>
      </w:r>
      <w:r w:rsidR="00B25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7B5">
        <w:rPr>
          <w:rFonts w:ascii="Times New Roman" w:eastAsia="Times New Roman" w:hAnsi="Times New Roman" w:cs="Times New Roman"/>
          <w:sz w:val="24"/>
          <w:szCs w:val="24"/>
        </w:rPr>
        <w:t>Naujai priimtam įmonės vadovui veiklos rodikliai, susiję su įmonės tikslų įgyvendinimu ir</w:t>
      </w:r>
      <w:r w:rsidR="00FD294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D07B5">
        <w:rPr>
          <w:rFonts w:ascii="Times New Roman" w:eastAsia="Times New Roman" w:hAnsi="Times New Roman" w:cs="Times New Roman"/>
          <w:sz w:val="24"/>
          <w:szCs w:val="24"/>
        </w:rPr>
        <w:t>(arba) numatomos užduotys, susij</w:t>
      </w:r>
      <w:r w:rsidR="002903FB">
        <w:rPr>
          <w:rFonts w:ascii="Times New Roman" w:eastAsia="Times New Roman" w:hAnsi="Times New Roman" w:cs="Times New Roman"/>
          <w:sz w:val="24"/>
          <w:szCs w:val="24"/>
        </w:rPr>
        <w:t>usios</w:t>
      </w:r>
      <w:r w:rsidR="005D07B5">
        <w:rPr>
          <w:rFonts w:ascii="Times New Roman" w:eastAsia="Times New Roman" w:hAnsi="Times New Roman" w:cs="Times New Roman"/>
          <w:sz w:val="24"/>
          <w:szCs w:val="24"/>
        </w:rPr>
        <w:t xml:space="preserve"> su įmonės vidaus administravimu, </w:t>
      </w:r>
      <w:r w:rsidR="00611EA4">
        <w:rPr>
          <w:rFonts w:ascii="Times New Roman" w:eastAsia="Times New Roman" w:hAnsi="Times New Roman" w:cs="Times New Roman"/>
          <w:sz w:val="24"/>
          <w:szCs w:val="24"/>
        </w:rPr>
        <w:t xml:space="preserve">nustatoma </w:t>
      </w:r>
      <w:r w:rsidR="00820EA2">
        <w:rPr>
          <w:rFonts w:ascii="Times New Roman" w:eastAsia="Times New Roman" w:hAnsi="Times New Roman" w:cs="Times New Roman"/>
          <w:sz w:val="24"/>
          <w:szCs w:val="24"/>
        </w:rPr>
        <w:t>įmonės savininko teisės ir pareigas įgyvendinančios institucijos</w:t>
      </w:r>
      <w:r w:rsidR="00611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EA2">
        <w:rPr>
          <w:rFonts w:ascii="Times New Roman" w:eastAsia="Times New Roman" w:hAnsi="Times New Roman" w:cs="Times New Roman"/>
          <w:sz w:val="24"/>
          <w:szCs w:val="24"/>
        </w:rPr>
        <w:t>sprendimu</w:t>
      </w:r>
      <w:r w:rsidR="00611E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2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A7C884" w14:textId="19E3A248" w:rsidR="000D6338" w:rsidRPr="00607EFB" w:rsidRDefault="000D6338" w:rsidP="00FD2949">
      <w:pPr>
        <w:spacing w:after="0" w:line="360" w:lineRule="auto"/>
        <w:ind w:firstLine="1298"/>
        <w:jc w:val="both"/>
        <w:rPr>
          <w:rFonts w:ascii="Times New Roman" w:hAnsi="Times New Roman" w:cs="Times New Roman"/>
          <w:sz w:val="24"/>
        </w:rPr>
      </w:pPr>
      <w:r w:rsidRPr="00607EFB">
        <w:rPr>
          <w:rFonts w:ascii="Times New Roman" w:hAnsi="Times New Roman" w:cs="Times New Roman"/>
          <w:sz w:val="24"/>
        </w:rPr>
        <w:t xml:space="preserve">6. Įmonės vadovui už </w:t>
      </w:r>
      <w:r w:rsidR="006A70AB">
        <w:rPr>
          <w:rFonts w:ascii="Times New Roman" w:hAnsi="Times New Roman" w:cs="Times New Roman"/>
          <w:sz w:val="24"/>
        </w:rPr>
        <w:t>išskirtinį indėlį</w:t>
      </w:r>
      <w:r w:rsidR="00B66D42">
        <w:rPr>
          <w:rFonts w:ascii="Times New Roman" w:hAnsi="Times New Roman" w:cs="Times New Roman"/>
          <w:sz w:val="24"/>
        </w:rPr>
        <w:t xml:space="preserve"> įgyvendinant įmonės tikslus arba pasiektus išskirtinius </w:t>
      </w:r>
      <w:r w:rsidRPr="00607EFB">
        <w:rPr>
          <w:rFonts w:ascii="Times New Roman" w:hAnsi="Times New Roman" w:cs="Times New Roman"/>
          <w:sz w:val="24"/>
        </w:rPr>
        <w:t xml:space="preserve">rezultatus, </w:t>
      </w:r>
      <w:r w:rsidR="006A70AB" w:rsidRPr="006C37AA">
        <w:rPr>
          <w:rFonts w:ascii="Times New Roman" w:hAnsi="Times New Roman" w:cs="Times New Roman"/>
          <w:sz w:val="24"/>
        </w:rPr>
        <w:t>kuriuos</w:t>
      </w:r>
      <w:r w:rsidR="00820EA2" w:rsidRPr="006C37AA">
        <w:rPr>
          <w:rFonts w:ascii="Times New Roman" w:hAnsi="Times New Roman" w:cs="Times New Roman"/>
          <w:sz w:val="24"/>
        </w:rPr>
        <w:t xml:space="preserve"> įvertina</w:t>
      </w:r>
      <w:r w:rsidR="00EF423C" w:rsidRPr="006C37AA">
        <w:rPr>
          <w:rFonts w:ascii="Times New Roman" w:hAnsi="Times New Roman" w:cs="Times New Roman"/>
          <w:sz w:val="24"/>
        </w:rPr>
        <w:t xml:space="preserve"> įmonės savininko teisės ir pareigas įgyvendinanti institucija,</w:t>
      </w:r>
      <w:r w:rsidR="00EF423C">
        <w:rPr>
          <w:rFonts w:ascii="Times New Roman" w:hAnsi="Times New Roman" w:cs="Times New Roman"/>
          <w:sz w:val="24"/>
        </w:rPr>
        <w:t xml:space="preserve"> </w:t>
      </w:r>
      <w:r w:rsidR="003F30DD" w:rsidRPr="00607EFB">
        <w:rPr>
          <w:rFonts w:ascii="Times New Roman" w:hAnsi="Times New Roman" w:cs="Times New Roman"/>
          <w:sz w:val="24"/>
        </w:rPr>
        <w:t>pasibaigus finansiniams metams</w:t>
      </w:r>
      <w:r w:rsidR="00EF423C">
        <w:rPr>
          <w:rFonts w:ascii="Times New Roman" w:hAnsi="Times New Roman" w:cs="Times New Roman"/>
          <w:sz w:val="24"/>
        </w:rPr>
        <w:t xml:space="preserve"> </w:t>
      </w:r>
      <w:r w:rsidR="003F30DD" w:rsidRPr="00607EFB">
        <w:rPr>
          <w:rFonts w:ascii="Times New Roman" w:hAnsi="Times New Roman" w:cs="Times New Roman"/>
          <w:sz w:val="24"/>
        </w:rPr>
        <w:t xml:space="preserve">ir patvirtinus </w:t>
      </w:r>
      <w:r w:rsidR="00CE2082" w:rsidRPr="00607EFB">
        <w:rPr>
          <w:rFonts w:ascii="Times New Roman" w:hAnsi="Times New Roman" w:cs="Times New Roman"/>
          <w:sz w:val="24"/>
        </w:rPr>
        <w:t xml:space="preserve">finansinių ataskaitų rinkinį </w:t>
      </w:r>
      <w:r w:rsidRPr="00607EFB">
        <w:rPr>
          <w:rFonts w:ascii="Times New Roman" w:hAnsi="Times New Roman" w:cs="Times New Roman"/>
          <w:sz w:val="24"/>
        </w:rPr>
        <w:t xml:space="preserve">iš įmonės pelno arba iš sutaupytų lėšų, skirtų darbo užmokesčiui, gali būti skiriama premija, kurios dydis negali viršyti jo </w:t>
      </w:r>
      <w:r w:rsidR="00B66D42">
        <w:rPr>
          <w:rFonts w:ascii="Times New Roman" w:hAnsi="Times New Roman" w:cs="Times New Roman"/>
          <w:sz w:val="24"/>
        </w:rPr>
        <w:t>4</w:t>
      </w:r>
      <w:r w:rsidR="002903FB">
        <w:rPr>
          <w:rFonts w:ascii="Times New Roman" w:hAnsi="Times New Roman" w:cs="Times New Roman"/>
          <w:sz w:val="24"/>
        </w:rPr>
        <w:t> </w:t>
      </w:r>
      <w:r w:rsidR="00B66D42">
        <w:rPr>
          <w:rFonts w:ascii="Times New Roman" w:hAnsi="Times New Roman" w:cs="Times New Roman"/>
          <w:sz w:val="24"/>
        </w:rPr>
        <w:t>pareiginės</w:t>
      </w:r>
      <w:r w:rsidR="00B66D42" w:rsidRPr="00607EFB">
        <w:rPr>
          <w:rFonts w:ascii="Times New Roman" w:hAnsi="Times New Roman" w:cs="Times New Roman"/>
          <w:sz w:val="24"/>
        </w:rPr>
        <w:t xml:space="preserve"> </w:t>
      </w:r>
      <w:r w:rsidRPr="00607EFB">
        <w:rPr>
          <w:rFonts w:ascii="Times New Roman" w:hAnsi="Times New Roman" w:cs="Times New Roman"/>
          <w:sz w:val="24"/>
        </w:rPr>
        <w:t>algos dydžių.</w:t>
      </w:r>
      <w:r w:rsidR="00667477">
        <w:rPr>
          <w:rFonts w:ascii="Times New Roman" w:hAnsi="Times New Roman" w:cs="Times New Roman"/>
          <w:sz w:val="24"/>
        </w:rPr>
        <w:t xml:space="preserve"> </w:t>
      </w:r>
    </w:p>
    <w:p w14:paraId="773733DB" w14:textId="77777777" w:rsidR="00FD2949" w:rsidRDefault="00FD2949" w:rsidP="00044C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D5E8F70" w14:textId="23A11F37" w:rsidR="00870414" w:rsidRPr="00D73B91" w:rsidRDefault="00EE2D51" w:rsidP="00044C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903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  <w:r w:rsidR="00D73B9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sectPr w:rsidR="00870414" w:rsidRPr="00D73B91" w:rsidSect="004902B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567" w:footer="567" w:gutter="0"/>
      <w:pgNumType w:chapStyle="2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D3A4" w14:textId="77777777" w:rsidR="003065D2" w:rsidRDefault="003065D2">
      <w:pPr>
        <w:spacing w:after="0" w:line="240" w:lineRule="auto"/>
      </w:pPr>
      <w:r>
        <w:separator/>
      </w:r>
    </w:p>
  </w:endnote>
  <w:endnote w:type="continuationSeparator" w:id="0">
    <w:p w14:paraId="57609ADD" w14:textId="77777777" w:rsidR="003065D2" w:rsidRDefault="0030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9236" w14:textId="77777777" w:rsidR="00215FC9" w:rsidRDefault="00215FC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A61EA12" w14:textId="77777777" w:rsidR="00215FC9" w:rsidRDefault="00215FC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661B" w14:textId="77777777" w:rsidR="00215FC9" w:rsidRDefault="00215FC9">
    <w:pPr>
      <w:pStyle w:val="Porat"/>
      <w:framePr w:wrap="around" w:vAnchor="text" w:hAnchor="margin" w:xAlign="center" w:y="1"/>
      <w:rPr>
        <w:rStyle w:val="Puslapionumeris"/>
      </w:rPr>
    </w:pPr>
  </w:p>
  <w:p w14:paraId="36D0DDD8" w14:textId="77777777" w:rsidR="00215FC9" w:rsidRDefault="00215FC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98DE" w14:textId="77777777" w:rsidR="003065D2" w:rsidRDefault="003065D2">
      <w:pPr>
        <w:spacing w:after="0" w:line="240" w:lineRule="auto"/>
      </w:pPr>
      <w:r>
        <w:separator/>
      </w:r>
    </w:p>
  </w:footnote>
  <w:footnote w:type="continuationSeparator" w:id="0">
    <w:p w14:paraId="5CD4C514" w14:textId="77777777" w:rsidR="003065D2" w:rsidRDefault="0030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0E7C" w14:textId="77777777" w:rsidR="00215FC9" w:rsidRDefault="00215FC9" w:rsidP="008159F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3380D7" w14:textId="77777777" w:rsidR="00215FC9" w:rsidRDefault="00215FC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640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E62402" w14:textId="22C1BB42" w:rsidR="00215FC9" w:rsidRPr="0035018D" w:rsidRDefault="00215FC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01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01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01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11B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01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004116" w14:textId="77777777" w:rsidR="00215FC9" w:rsidRDefault="00215FC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03D8"/>
    <w:multiLevelType w:val="hybridMultilevel"/>
    <w:tmpl w:val="36748950"/>
    <w:lvl w:ilvl="0" w:tplc="0427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34A9"/>
    <w:multiLevelType w:val="hybridMultilevel"/>
    <w:tmpl w:val="794A95BA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272EA"/>
    <w:multiLevelType w:val="hybridMultilevel"/>
    <w:tmpl w:val="0FC67A5C"/>
    <w:lvl w:ilvl="0" w:tplc="3FA278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D6A45"/>
    <w:multiLevelType w:val="hybridMultilevel"/>
    <w:tmpl w:val="D84A06E4"/>
    <w:lvl w:ilvl="0" w:tplc="0427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308FF"/>
    <w:multiLevelType w:val="hybridMultilevel"/>
    <w:tmpl w:val="A4DAED80"/>
    <w:lvl w:ilvl="0" w:tplc="C8E6C8D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6470769">
    <w:abstractNumId w:val="0"/>
  </w:num>
  <w:num w:numId="2" w16cid:durableId="247471730">
    <w:abstractNumId w:val="3"/>
  </w:num>
  <w:num w:numId="3" w16cid:durableId="1534732474">
    <w:abstractNumId w:val="1"/>
  </w:num>
  <w:num w:numId="4" w16cid:durableId="2022852878">
    <w:abstractNumId w:val="2"/>
  </w:num>
  <w:num w:numId="5" w16cid:durableId="1413769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51"/>
    <w:rsid w:val="00006C8F"/>
    <w:rsid w:val="00024661"/>
    <w:rsid w:val="00030989"/>
    <w:rsid w:val="0004002D"/>
    <w:rsid w:val="00044C21"/>
    <w:rsid w:val="00051E71"/>
    <w:rsid w:val="00057D09"/>
    <w:rsid w:val="0006437D"/>
    <w:rsid w:val="00065C12"/>
    <w:rsid w:val="0007292A"/>
    <w:rsid w:val="000774C2"/>
    <w:rsid w:val="00086846"/>
    <w:rsid w:val="000A11B4"/>
    <w:rsid w:val="000A2A30"/>
    <w:rsid w:val="000A72F5"/>
    <w:rsid w:val="000D241C"/>
    <w:rsid w:val="000D4E21"/>
    <w:rsid w:val="000D6338"/>
    <w:rsid w:val="000F052A"/>
    <w:rsid w:val="000F28DA"/>
    <w:rsid w:val="00107F84"/>
    <w:rsid w:val="00114E15"/>
    <w:rsid w:val="00115326"/>
    <w:rsid w:val="001372ED"/>
    <w:rsid w:val="00140AAE"/>
    <w:rsid w:val="0014143D"/>
    <w:rsid w:val="0015090C"/>
    <w:rsid w:val="00154274"/>
    <w:rsid w:val="001544BA"/>
    <w:rsid w:val="00157556"/>
    <w:rsid w:val="00164E5B"/>
    <w:rsid w:val="0018336D"/>
    <w:rsid w:val="001C2C72"/>
    <w:rsid w:val="001C2E5D"/>
    <w:rsid w:val="001C3A0D"/>
    <w:rsid w:val="001C3F16"/>
    <w:rsid w:val="001C7CF1"/>
    <w:rsid w:val="001D4876"/>
    <w:rsid w:val="001E1557"/>
    <w:rsid w:val="001E48C7"/>
    <w:rsid w:val="001E6A3D"/>
    <w:rsid w:val="001E77FE"/>
    <w:rsid w:val="0020290F"/>
    <w:rsid w:val="00203221"/>
    <w:rsid w:val="00215FC9"/>
    <w:rsid w:val="00224767"/>
    <w:rsid w:val="00224806"/>
    <w:rsid w:val="00241C2A"/>
    <w:rsid w:val="00250EEE"/>
    <w:rsid w:val="002533D0"/>
    <w:rsid w:val="00255307"/>
    <w:rsid w:val="00255BF3"/>
    <w:rsid w:val="00256B57"/>
    <w:rsid w:val="0026417E"/>
    <w:rsid w:val="002817C5"/>
    <w:rsid w:val="0028291E"/>
    <w:rsid w:val="002903FB"/>
    <w:rsid w:val="00291406"/>
    <w:rsid w:val="002B3BEB"/>
    <w:rsid w:val="002E2F53"/>
    <w:rsid w:val="002E2FD1"/>
    <w:rsid w:val="002F2A0B"/>
    <w:rsid w:val="003065D2"/>
    <w:rsid w:val="003066CD"/>
    <w:rsid w:val="00330D0A"/>
    <w:rsid w:val="00333342"/>
    <w:rsid w:val="00336AF2"/>
    <w:rsid w:val="0034674A"/>
    <w:rsid w:val="0035018D"/>
    <w:rsid w:val="00360252"/>
    <w:rsid w:val="00367487"/>
    <w:rsid w:val="00374C5B"/>
    <w:rsid w:val="003830B4"/>
    <w:rsid w:val="0038428A"/>
    <w:rsid w:val="003A13CF"/>
    <w:rsid w:val="003A6FB9"/>
    <w:rsid w:val="003B0152"/>
    <w:rsid w:val="003F0888"/>
    <w:rsid w:val="003F281E"/>
    <w:rsid w:val="003F30DD"/>
    <w:rsid w:val="003F3E70"/>
    <w:rsid w:val="003F4E73"/>
    <w:rsid w:val="003F5861"/>
    <w:rsid w:val="004116B2"/>
    <w:rsid w:val="00414201"/>
    <w:rsid w:val="0041491D"/>
    <w:rsid w:val="004178D4"/>
    <w:rsid w:val="0044238F"/>
    <w:rsid w:val="0044771B"/>
    <w:rsid w:val="00455443"/>
    <w:rsid w:val="00455FFF"/>
    <w:rsid w:val="00464C5F"/>
    <w:rsid w:val="00471460"/>
    <w:rsid w:val="004756D4"/>
    <w:rsid w:val="00486A9A"/>
    <w:rsid w:val="004902B2"/>
    <w:rsid w:val="00495671"/>
    <w:rsid w:val="004A5D5F"/>
    <w:rsid w:val="004B5698"/>
    <w:rsid w:val="004D5706"/>
    <w:rsid w:val="004D716F"/>
    <w:rsid w:val="004D75E9"/>
    <w:rsid w:val="004D7FA3"/>
    <w:rsid w:val="004E0A7F"/>
    <w:rsid w:val="004E442F"/>
    <w:rsid w:val="00510E34"/>
    <w:rsid w:val="005142CA"/>
    <w:rsid w:val="00521E76"/>
    <w:rsid w:val="00525DD1"/>
    <w:rsid w:val="005274C9"/>
    <w:rsid w:val="00533E53"/>
    <w:rsid w:val="00556E8A"/>
    <w:rsid w:val="00564637"/>
    <w:rsid w:val="005651E5"/>
    <w:rsid w:val="00571988"/>
    <w:rsid w:val="005759B8"/>
    <w:rsid w:val="00582C18"/>
    <w:rsid w:val="00591BCB"/>
    <w:rsid w:val="00597BD8"/>
    <w:rsid w:val="005B0D9E"/>
    <w:rsid w:val="005D07B5"/>
    <w:rsid w:val="005D359B"/>
    <w:rsid w:val="005D56AA"/>
    <w:rsid w:val="005D5A15"/>
    <w:rsid w:val="005D6582"/>
    <w:rsid w:val="005D7A7E"/>
    <w:rsid w:val="005E2286"/>
    <w:rsid w:val="005E64D4"/>
    <w:rsid w:val="005F577F"/>
    <w:rsid w:val="005F6732"/>
    <w:rsid w:val="005F690D"/>
    <w:rsid w:val="006076DC"/>
    <w:rsid w:val="00607EFB"/>
    <w:rsid w:val="00611EA4"/>
    <w:rsid w:val="00617C73"/>
    <w:rsid w:val="00621163"/>
    <w:rsid w:val="006465D1"/>
    <w:rsid w:val="00656AD9"/>
    <w:rsid w:val="00660A2E"/>
    <w:rsid w:val="00662867"/>
    <w:rsid w:val="00666A3C"/>
    <w:rsid w:val="00667477"/>
    <w:rsid w:val="00672E5B"/>
    <w:rsid w:val="006760B1"/>
    <w:rsid w:val="0068732B"/>
    <w:rsid w:val="006974EA"/>
    <w:rsid w:val="006A2727"/>
    <w:rsid w:val="006A4077"/>
    <w:rsid w:val="006A70AB"/>
    <w:rsid w:val="006A76E3"/>
    <w:rsid w:val="006B1531"/>
    <w:rsid w:val="006C2E4C"/>
    <w:rsid w:val="006C37AA"/>
    <w:rsid w:val="006C6801"/>
    <w:rsid w:val="006D19B9"/>
    <w:rsid w:val="006D7C51"/>
    <w:rsid w:val="006F15A7"/>
    <w:rsid w:val="006F3E10"/>
    <w:rsid w:val="00702D34"/>
    <w:rsid w:val="007041F7"/>
    <w:rsid w:val="007067C6"/>
    <w:rsid w:val="00723398"/>
    <w:rsid w:val="00726333"/>
    <w:rsid w:val="00746F65"/>
    <w:rsid w:val="007512C4"/>
    <w:rsid w:val="0075311C"/>
    <w:rsid w:val="00772441"/>
    <w:rsid w:val="007872F6"/>
    <w:rsid w:val="007C782E"/>
    <w:rsid w:val="007D38D2"/>
    <w:rsid w:val="007D4014"/>
    <w:rsid w:val="007E55F8"/>
    <w:rsid w:val="007F2E0A"/>
    <w:rsid w:val="007F5E31"/>
    <w:rsid w:val="007F760F"/>
    <w:rsid w:val="008051EB"/>
    <w:rsid w:val="00806DE2"/>
    <w:rsid w:val="0081095D"/>
    <w:rsid w:val="008120C8"/>
    <w:rsid w:val="008159F1"/>
    <w:rsid w:val="00820EA2"/>
    <w:rsid w:val="0083016B"/>
    <w:rsid w:val="00831999"/>
    <w:rsid w:val="0086235E"/>
    <w:rsid w:val="00862C50"/>
    <w:rsid w:val="00870414"/>
    <w:rsid w:val="008754BD"/>
    <w:rsid w:val="008B0706"/>
    <w:rsid w:val="008D2070"/>
    <w:rsid w:val="008E09A2"/>
    <w:rsid w:val="008F1C48"/>
    <w:rsid w:val="00913E07"/>
    <w:rsid w:val="00920732"/>
    <w:rsid w:val="00922917"/>
    <w:rsid w:val="0092605D"/>
    <w:rsid w:val="00941289"/>
    <w:rsid w:val="00945A0F"/>
    <w:rsid w:val="00946348"/>
    <w:rsid w:val="009559B2"/>
    <w:rsid w:val="00975734"/>
    <w:rsid w:val="0097766A"/>
    <w:rsid w:val="00992FED"/>
    <w:rsid w:val="009A5DA8"/>
    <w:rsid w:val="009B233E"/>
    <w:rsid w:val="009B52FA"/>
    <w:rsid w:val="009B5316"/>
    <w:rsid w:val="009E03FA"/>
    <w:rsid w:val="009F3E7B"/>
    <w:rsid w:val="00A02113"/>
    <w:rsid w:val="00A05488"/>
    <w:rsid w:val="00A05EDC"/>
    <w:rsid w:val="00A23AC9"/>
    <w:rsid w:val="00A31DE1"/>
    <w:rsid w:val="00A34E5A"/>
    <w:rsid w:val="00A4216B"/>
    <w:rsid w:val="00A4330E"/>
    <w:rsid w:val="00A45B7A"/>
    <w:rsid w:val="00A574C4"/>
    <w:rsid w:val="00A62217"/>
    <w:rsid w:val="00A62F80"/>
    <w:rsid w:val="00A66DB4"/>
    <w:rsid w:val="00A752E3"/>
    <w:rsid w:val="00AA3B47"/>
    <w:rsid w:val="00AB5422"/>
    <w:rsid w:val="00AC10AA"/>
    <w:rsid w:val="00AE0BBF"/>
    <w:rsid w:val="00B013FC"/>
    <w:rsid w:val="00B02680"/>
    <w:rsid w:val="00B17668"/>
    <w:rsid w:val="00B17F2A"/>
    <w:rsid w:val="00B25326"/>
    <w:rsid w:val="00B36FD9"/>
    <w:rsid w:val="00B4382C"/>
    <w:rsid w:val="00B608B1"/>
    <w:rsid w:val="00B60D19"/>
    <w:rsid w:val="00B66D42"/>
    <w:rsid w:val="00B70FC4"/>
    <w:rsid w:val="00B71386"/>
    <w:rsid w:val="00B71BC8"/>
    <w:rsid w:val="00B74749"/>
    <w:rsid w:val="00B772B0"/>
    <w:rsid w:val="00B803F0"/>
    <w:rsid w:val="00BA2DDF"/>
    <w:rsid w:val="00BB312C"/>
    <w:rsid w:val="00BB3D17"/>
    <w:rsid w:val="00BF0FA3"/>
    <w:rsid w:val="00BF332D"/>
    <w:rsid w:val="00C022AC"/>
    <w:rsid w:val="00C26695"/>
    <w:rsid w:val="00C312CF"/>
    <w:rsid w:val="00C43CBF"/>
    <w:rsid w:val="00C80D7B"/>
    <w:rsid w:val="00C8382D"/>
    <w:rsid w:val="00C86A2C"/>
    <w:rsid w:val="00C94E94"/>
    <w:rsid w:val="00CB54D4"/>
    <w:rsid w:val="00CC0D37"/>
    <w:rsid w:val="00CC4D39"/>
    <w:rsid w:val="00CE2082"/>
    <w:rsid w:val="00CE4669"/>
    <w:rsid w:val="00CE5723"/>
    <w:rsid w:val="00CE5848"/>
    <w:rsid w:val="00CE75F6"/>
    <w:rsid w:val="00CF77E2"/>
    <w:rsid w:val="00D0101D"/>
    <w:rsid w:val="00D01FDC"/>
    <w:rsid w:val="00D174A8"/>
    <w:rsid w:val="00D17FDA"/>
    <w:rsid w:val="00D468EB"/>
    <w:rsid w:val="00D73B91"/>
    <w:rsid w:val="00D766F1"/>
    <w:rsid w:val="00D94509"/>
    <w:rsid w:val="00DA031F"/>
    <w:rsid w:val="00DA4B51"/>
    <w:rsid w:val="00DA5D40"/>
    <w:rsid w:val="00DA650D"/>
    <w:rsid w:val="00DB3557"/>
    <w:rsid w:val="00DB35CE"/>
    <w:rsid w:val="00DD5AE1"/>
    <w:rsid w:val="00DD6AF2"/>
    <w:rsid w:val="00E051AE"/>
    <w:rsid w:val="00E14FD6"/>
    <w:rsid w:val="00E2270B"/>
    <w:rsid w:val="00E26F14"/>
    <w:rsid w:val="00E27A77"/>
    <w:rsid w:val="00E31003"/>
    <w:rsid w:val="00E428CB"/>
    <w:rsid w:val="00E64AC0"/>
    <w:rsid w:val="00E6698D"/>
    <w:rsid w:val="00E95C35"/>
    <w:rsid w:val="00EA5619"/>
    <w:rsid w:val="00ED2266"/>
    <w:rsid w:val="00EE0271"/>
    <w:rsid w:val="00EE2D51"/>
    <w:rsid w:val="00EF423C"/>
    <w:rsid w:val="00EF4461"/>
    <w:rsid w:val="00F02D63"/>
    <w:rsid w:val="00F0557A"/>
    <w:rsid w:val="00F10BE0"/>
    <w:rsid w:val="00F228FB"/>
    <w:rsid w:val="00F24118"/>
    <w:rsid w:val="00F25016"/>
    <w:rsid w:val="00F50C46"/>
    <w:rsid w:val="00F54582"/>
    <w:rsid w:val="00F571EC"/>
    <w:rsid w:val="00F57D1A"/>
    <w:rsid w:val="00F6062E"/>
    <w:rsid w:val="00F62754"/>
    <w:rsid w:val="00F73702"/>
    <w:rsid w:val="00F901C2"/>
    <w:rsid w:val="00F90736"/>
    <w:rsid w:val="00FA20FB"/>
    <w:rsid w:val="00FA48FF"/>
    <w:rsid w:val="00FB191C"/>
    <w:rsid w:val="00FB1F9A"/>
    <w:rsid w:val="00FD1677"/>
    <w:rsid w:val="00FD2949"/>
    <w:rsid w:val="00F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32D8"/>
  <w15:docId w15:val="{E271D9CF-EAA8-4361-AF7E-94104C9C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EE2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2D51"/>
  </w:style>
  <w:style w:type="paragraph" w:styleId="Antrats">
    <w:name w:val="header"/>
    <w:basedOn w:val="prastasis"/>
    <w:link w:val="AntratsDiagrama"/>
    <w:uiPriority w:val="99"/>
    <w:unhideWhenUsed/>
    <w:rsid w:val="00EE2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2D51"/>
  </w:style>
  <w:style w:type="character" w:styleId="Puslapionumeris">
    <w:name w:val="page number"/>
    <w:basedOn w:val="Numatytasispastraiposriftas"/>
    <w:rsid w:val="00EE2D51"/>
  </w:style>
  <w:style w:type="table" w:styleId="Lentelstinklelis">
    <w:name w:val="Table Grid"/>
    <w:basedOn w:val="prastojilentel"/>
    <w:rsid w:val="00EE2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E2D51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2D5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E2D5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0271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E0271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semiHidden/>
    <w:rsid w:val="00B013FC"/>
    <w:pPr>
      <w:spacing w:after="0" w:line="360" w:lineRule="auto"/>
      <w:ind w:firstLine="1298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013FC"/>
    <w:rPr>
      <w:rFonts w:ascii="Times New Roman" w:eastAsia="Times New Roman" w:hAnsi="Times New Roman" w:cs="Times New Roman"/>
      <w:sz w:val="24"/>
      <w:szCs w:val="20"/>
      <w:lang w:bidi="he-I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66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66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766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66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66F1"/>
    <w:rPr>
      <w:b/>
      <w:bCs/>
      <w:sz w:val="20"/>
      <w:szCs w:val="20"/>
    </w:rPr>
  </w:style>
  <w:style w:type="paragraph" w:styleId="Betarp">
    <w:name w:val="No Spacing"/>
    <w:uiPriority w:val="1"/>
    <w:qFormat/>
    <w:rsid w:val="00CC0D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intjoku\Downloads\m230984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2024\Bendri\m240899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2024\Bendri\m240899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821D-8089-45EC-BEC9-53B6047C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PRIEDAS</vt:lpstr>
    </vt:vector>
  </TitlesOfParts>
  <Company>Kauno m. sav.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KAUNO MIESTO SAVIVALDYBĖS ĮMONIŲ VADOVŲ DARBO UŽMOKESČIO NUSTATYMO TVARKOS APRAŠAS</dc:subject>
  <dc:creator>Kauno miesto savivaldybės administracija</dc:creator>
  <cp:lastModifiedBy>Gintarė Jokubynaitė</cp:lastModifiedBy>
  <cp:revision>2</cp:revision>
  <cp:lastPrinted>2016-05-05T09:00:00Z</cp:lastPrinted>
  <dcterms:created xsi:type="dcterms:W3CDTF">2026-02-12T14:21:00Z</dcterms:created>
  <dcterms:modified xsi:type="dcterms:W3CDTF">2026-02-12T14:21:00Z</dcterms:modified>
</cp:coreProperties>
</file>