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55D62422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691A16B9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28E6983E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316B3E9E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7A4E00CC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1D81844D" w14:textId="2ED25479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41933">
              <w:rPr>
                <w:b/>
              </w:rPr>
              <w:t> </w:t>
            </w:r>
            <w:r w:rsidR="00541933">
              <w:rPr>
                <w:b/>
              </w:rPr>
              <w:t> </w:t>
            </w:r>
            <w:r w:rsidR="00541933">
              <w:rPr>
                <w:b/>
              </w:rPr>
              <w:t> </w:t>
            </w:r>
            <w:r w:rsidR="00541933">
              <w:rPr>
                <w:b/>
              </w:rPr>
              <w:t> </w:t>
            </w:r>
            <w:r w:rsidR="0054193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0CBD50EC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737DA001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13350140" w14:textId="77777777" w:rsidR="004805E9" w:rsidRPr="00541933" w:rsidRDefault="00BA4663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541933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1A6C3EA8" wp14:editId="45AC6070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14:paraId="65476D37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35704990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2FC2F540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14:paraId="684910DE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035D670" w14:textId="5570BD2D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541933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2C70390A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1B1C628D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561913E0" w14:textId="77777777" w:rsidR="004805E9" w:rsidRDefault="003637E1" w:rsidP="0041162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1162D" w:rsidRPr="002C11C5">
              <w:rPr>
                <w:b/>
                <w:noProof/>
              </w:rPr>
              <w:t>DĖL KAUNO MIESTO SAVIVALDYBĖS TARYBOS 202</w:t>
            </w:r>
            <w:r w:rsidR="0041162D">
              <w:rPr>
                <w:b/>
                <w:noProof/>
              </w:rPr>
              <w:t>3 </w:t>
            </w:r>
            <w:r w:rsidR="0041162D" w:rsidRPr="002C11C5">
              <w:rPr>
                <w:b/>
                <w:noProof/>
              </w:rPr>
              <w:t xml:space="preserve">M. VASARIO </w:t>
            </w:r>
            <w:r w:rsidR="0041162D">
              <w:rPr>
                <w:b/>
                <w:noProof/>
              </w:rPr>
              <w:t>7 </w:t>
            </w:r>
            <w:r w:rsidR="0041162D" w:rsidRPr="002C11C5">
              <w:rPr>
                <w:b/>
                <w:noProof/>
              </w:rPr>
              <w:t>D. SPRENDIMO NR. T-</w:t>
            </w:r>
            <w:r w:rsidR="0041162D">
              <w:rPr>
                <w:b/>
                <w:noProof/>
              </w:rPr>
              <w:t>1</w:t>
            </w:r>
            <w:r w:rsidR="0041162D" w:rsidRPr="002C11C5">
              <w:rPr>
                <w:b/>
                <w:noProof/>
              </w:rPr>
              <w:t xml:space="preserve"> „DĖL KAUNO MIESTO SAVIVALDYBĖS 202</w:t>
            </w:r>
            <w:r w:rsidR="0041162D">
              <w:rPr>
                <w:b/>
                <w:noProof/>
              </w:rPr>
              <w:t>3</w:t>
            </w:r>
            <w:r w:rsidR="0041162D" w:rsidRPr="002C11C5">
              <w:rPr>
                <w:b/>
                <w:noProof/>
              </w:rPr>
              <w:t>–202</w:t>
            </w:r>
            <w:r w:rsidR="0041162D">
              <w:rPr>
                <w:b/>
                <w:noProof/>
              </w:rPr>
              <w:t>5 </w:t>
            </w:r>
            <w:r w:rsidR="0041162D" w:rsidRPr="002C11C5">
              <w:rPr>
                <w:b/>
                <w:noProof/>
              </w:rPr>
              <w:t xml:space="preserve">METŲ STRATEGINIO VEIKLOS PLANO PATVIRTINIMO“ PAKEITIMO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4805E9" w14:paraId="24471AE1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2AFD7D76" w14:textId="1CA36C4F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41933">
              <w:t xml:space="preserve">2023 m. rugsėjo 12 d.   </w:t>
            </w:r>
            <w:r>
              <w:fldChar w:fldCharType="end"/>
            </w:r>
            <w:bookmarkEnd w:id="7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 w:rsidR="00541933">
              <w:t>T-</w:t>
            </w:r>
            <w:r w:rsidR="003F346A">
              <w:t>398</w:t>
            </w:r>
            <w:r>
              <w:fldChar w:fldCharType="end"/>
            </w:r>
            <w:bookmarkEnd w:id="8"/>
          </w:p>
          <w:p w14:paraId="59C2E139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426B6F87" w14:textId="77777777" w:rsidTr="00C06CE3">
        <w:trPr>
          <w:cantSplit/>
        </w:trPr>
        <w:tc>
          <w:tcPr>
            <w:tcW w:w="9639" w:type="dxa"/>
            <w:gridSpan w:val="2"/>
          </w:tcPr>
          <w:p w14:paraId="56DEF50A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14:paraId="2EA2614A" w14:textId="77777777" w:rsidR="004805E9" w:rsidRDefault="004805E9">
      <w:pPr>
        <w:spacing w:after="480"/>
      </w:pPr>
    </w:p>
    <w:p w14:paraId="267B2628" w14:textId="77777777"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D7390F0" w14:textId="77777777" w:rsidR="002C11C5" w:rsidRPr="00F24951" w:rsidRDefault="002C11C5" w:rsidP="004F791A">
      <w:pPr>
        <w:pStyle w:val="Pagrindinistekstas"/>
        <w:jc w:val="both"/>
      </w:pPr>
      <w:bookmarkStart w:id="10" w:name="r18"/>
      <w:r w:rsidRPr="002E262F">
        <w:rPr>
          <w:szCs w:val="24"/>
        </w:rPr>
        <w:t>Kauno miesto savivaldybės taryba  n u s p r e n d ž i a:</w:t>
      </w:r>
      <w:r w:rsidR="000B45F1">
        <w:rPr>
          <w:szCs w:val="24"/>
        </w:rPr>
        <w:t xml:space="preserve"> </w:t>
      </w:r>
    </w:p>
    <w:p w14:paraId="358C412C" w14:textId="77777777" w:rsidR="00837232" w:rsidRDefault="002C11C5" w:rsidP="004F791A">
      <w:pPr>
        <w:pStyle w:val="Pagrindinistekstas"/>
        <w:jc w:val="both"/>
      </w:pPr>
      <w:r>
        <w:t xml:space="preserve">1. </w:t>
      </w:r>
      <w:r w:rsidR="0041162D">
        <w:t>P</w:t>
      </w:r>
      <w:r w:rsidRPr="00763CAC">
        <w:t>akeisti Kauno miesto savivaldybės 20</w:t>
      </w:r>
      <w:r w:rsidR="00926822">
        <w:t>23</w:t>
      </w:r>
      <w:r w:rsidRPr="00763CAC">
        <w:t>–202</w:t>
      </w:r>
      <w:r w:rsidR="00926822">
        <w:t>5</w:t>
      </w:r>
      <w:r w:rsidRPr="00763CAC">
        <w:t xml:space="preserve"> metų strateginį veiklos planą, patvirtintą Kauno </w:t>
      </w:r>
      <w:r>
        <w:t xml:space="preserve">miesto savivaldybės </w:t>
      </w:r>
      <w:r w:rsidR="00926822">
        <w:t>tarybos 2023 m. vasario 7 d. sprendimu Nr. T-1</w:t>
      </w:r>
      <w:r w:rsidRPr="002C11C5">
        <w:t xml:space="preserve"> „Dė</w:t>
      </w:r>
      <w:r w:rsidR="00926822">
        <w:t>l Kauno miesto savivaldybės 2023–2025</w:t>
      </w:r>
      <w:r w:rsidRPr="002C11C5">
        <w:t xml:space="preserve"> metų strateginio veiklos plano patvirtinimo“: </w:t>
      </w:r>
    </w:p>
    <w:p w14:paraId="60AD03BB" w14:textId="77777777" w:rsidR="00785DFE" w:rsidRDefault="00785DFE" w:rsidP="004F791A">
      <w:pPr>
        <w:pStyle w:val="Pagrindinistekstas"/>
        <w:jc w:val="both"/>
      </w:pPr>
      <w:r>
        <w:t xml:space="preserve">1.1. </w:t>
      </w:r>
      <w:r w:rsidR="0041162D">
        <w:t>P</w:t>
      </w:r>
      <w:r>
        <w:t xml:space="preserve">akeisti </w:t>
      </w:r>
      <w:r w:rsidR="00586818">
        <w:t xml:space="preserve">II skyriaus </w:t>
      </w:r>
      <w:r w:rsidRPr="00586818">
        <w:t>ketvirtą</w:t>
      </w:r>
      <w:r w:rsidR="00586818" w:rsidRPr="00586818">
        <w:t>jį</w:t>
      </w:r>
      <w:r>
        <w:t xml:space="preserve"> skirsnį ir jį išdėstyti taip:</w:t>
      </w:r>
      <w:r w:rsidR="00492281">
        <w:t xml:space="preserve"> </w:t>
      </w:r>
    </w:p>
    <w:p w14:paraId="68751976" w14:textId="77777777" w:rsidR="00785DFE" w:rsidRPr="0075753D" w:rsidRDefault="00785DFE" w:rsidP="00785DFE">
      <w:pPr>
        <w:spacing w:line="360" w:lineRule="auto"/>
        <w:jc w:val="center"/>
        <w:rPr>
          <w:b/>
          <w:szCs w:val="24"/>
          <w:lang w:eastAsia="lt-LT"/>
        </w:rPr>
      </w:pPr>
      <w:r w:rsidRPr="004F791A">
        <w:rPr>
          <w:szCs w:val="24"/>
          <w:lang w:eastAsia="lt-LT"/>
        </w:rPr>
        <w:t>„</w:t>
      </w:r>
      <w:r w:rsidRPr="00586818">
        <w:rPr>
          <w:b/>
          <w:szCs w:val="24"/>
          <w:lang w:eastAsia="lt-LT"/>
        </w:rPr>
        <w:t>KETVIRTAS</w:t>
      </w:r>
      <w:r w:rsidR="00586818" w:rsidRPr="00586818">
        <w:rPr>
          <w:b/>
          <w:szCs w:val="24"/>
          <w:lang w:eastAsia="lt-LT"/>
        </w:rPr>
        <w:t>IS</w:t>
      </w:r>
      <w:r w:rsidRPr="0075753D">
        <w:rPr>
          <w:b/>
          <w:szCs w:val="24"/>
          <w:lang w:eastAsia="lt-LT"/>
        </w:rPr>
        <w:t xml:space="preserve"> SKIRSNIS</w:t>
      </w:r>
      <w:r>
        <w:rPr>
          <w:b/>
          <w:szCs w:val="24"/>
          <w:lang w:eastAsia="lt-LT"/>
        </w:rPr>
        <w:t xml:space="preserve"> </w:t>
      </w:r>
    </w:p>
    <w:p w14:paraId="6F5EBFB9" w14:textId="77777777" w:rsidR="00E31671" w:rsidRPr="0075753D" w:rsidRDefault="00785DFE" w:rsidP="0034370D">
      <w:pPr>
        <w:tabs>
          <w:tab w:val="left" w:pos="426"/>
        </w:tabs>
        <w:spacing w:line="360" w:lineRule="auto"/>
        <w:jc w:val="center"/>
        <w:rPr>
          <w:b/>
          <w:szCs w:val="24"/>
          <w:lang w:eastAsia="lt-LT"/>
        </w:rPr>
      </w:pPr>
      <w:r w:rsidRPr="0075753D">
        <w:rPr>
          <w:b/>
          <w:szCs w:val="24"/>
          <w:lang w:eastAsia="lt-LT"/>
        </w:rPr>
        <w:t xml:space="preserve">SAVIVALDYBĖS </w:t>
      </w:r>
      <w:r>
        <w:rPr>
          <w:b/>
          <w:szCs w:val="24"/>
          <w:lang w:eastAsia="lt-LT"/>
        </w:rPr>
        <w:t xml:space="preserve">MERO </w:t>
      </w:r>
      <w:r w:rsidRPr="0075753D">
        <w:rPr>
          <w:b/>
          <w:szCs w:val="24"/>
          <w:lang w:eastAsia="lt-LT"/>
        </w:rPr>
        <w:t xml:space="preserve">REZERVAS </w:t>
      </w:r>
    </w:p>
    <w:p w14:paraId="20EDFFB7" w14:textId="77777777" w:rsidR="00785DFE" w:rsidRPr="00512519" w:rsidRDefault="00785DFE" w:rsidP="004F791A">
      <w:pPr>
        <w:spacing w:line="360" w:lineRule="auto"/>
        <w:ind w:firstLine="1298"/>
        <w:jc w:val="both"/>
        <w:rPr>
          <w:szCs w:val="24"/>
          <w:lang w:eastAsia="lt-LT"/>
        </w:rPr>
      </w:pPr>
      <w:r w:rsidRPr="00D7638E">
        <w:rPr>
          <w:szCs w:val="24"/>
          <w:lang w:eastAsia="lt-LT"/>
        </w:rPr>
        <w:t>V</w:t>
      </w:r>
      <w:r w:rsidRPr="595EF4A2">
        <w:rPr>
          <w:szCs w:val="24"/>
          <w:lang w:eastAsia="lt-LT"/>
        </w:rPr>
        <w:t>adovaudamosi Lietuvos Respublikos biudžeto sandaros įstatymo 25</w:t>
      </w:r>
      <w:r>
        <w:rPr>
          <w:szCs w:val="24"/>
          <w:lang w:eastAsia="lt-LT"/>
        </w:rPr>
        <w:t> </w:t>
      </w:r>
      <w:r w:rsidRPr="595EF4A2">
        <w:rPr>
          <w:szCs w:val="24"/>
          <w:lang w:eastAsia="lt-LT"/>
        </w:rPr>
        <w:t>straipsniu, savivaldybės sudar</w:t>
      </w:r>
      <w:r>
        <w:rPr>
          <w:szCs w:val="24"/>
          <w:lang w:eastAsia="lt-LT"/>
        </w:rPr>
        <w:t>o</w:t>
      </w:r>
      <w:r w:rsidRPr="595EF4A2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mero </w:t>
      </w:r>
      <w:r w:rsidRPr="595EF4A2">
        <w:rPr>
          <w:szCs w:val="24"/>
          <w:lang w:eastAsia="lt-LT"/>
        </w:rPr>
        <w:t xml:space="preserve">rezervą, kuris turi būti </w:t>
      </w:r>
      <w:r w:rsidRPr="00B32594">
        <w:rPr>
          <w:szCs w:val="24"/>
          <w:lang w:eastAsia="lt-LT"/>
        </w:rPr>
        <w:t>ne mažesnis kaip 0,25 procento ir ne didesnis kaip 1</w:t>
      </w:r>
      <w:r w:rsidR="0041162D">
        <w:rPr>
          <w:szCs w:val="24"/>
          <w:lang w:eastAsia="lt-LT"/>
        </w:rPr>
        <w:t> </w:t>
      </w:r>
      <w:r w:rsidRPr="00B32594">
        <w:rPr>
          <w:szCs w:val="24"/>
          <w:lang w:eastAsia="lt-LT"/>
        </w:rPr>
        <w:t>procentas patvirtintų savivaldybės biudžeto pajamų (neįskaitant valstybės dotacijų savivaldybių biudžetams).</w:t>
      </w:r>
      <w:r w:rsidRPr="595EF4A2">
        <w:rPr>
          <w:szCs w:val="24"/>
          <w:lang w:eastAsia="lt-LT"/>
        </w:rPr>
        <w:t xml:space="preserve"> Savivaldybės 202</w:t>
      </w:r>
      <w:r>
        <w:rPr>
          <w:szCs w:val="24"/>
          <w:lang w:eastAsia="lt-LT"/>
        </w:rPr>
        <w:t>3</w:t>
      </w:r>
      <w:r w:rsidRPr="595EF4A2">
        <w:rPr>
          <w:szCs w:val="24"/>
          <w:lang w:eastAsia="lt-LT"/>
        </w:rPr>
        <w:t>–202</w:t>
      </w:r>
      <w:r>
        <w:rPr>
          <w:szCs w:val="24"/>
          <w:lang w:eastAsia="lt-LT"/>
        </w:rPr>
        <w:t>5</w:t>
      </w:r>
      <w:r w:rsidRPr="595EF4A2">
        <w:rPr>
          <w:szCs w:val="24"/>
          <w:lang w:eastAsia="lt-LT"/>
        </w:rPr>
        <w:t xml:space="preserve"> </w:t>
      </w:r>
      <w:r w:rsidRPr="00586818">
        <w:rPr>
          <w:szCs w:val="24"/>
          <w:lang w:eastAsia="lt-LT"/>
        </w:rPr>
        <w:t>m</w:t>
      </w:r>
      <w:r w:rsidR="00586818" w:rsidRPr="00586818">
        <w:rPr>
          <w:szCs w:val="24"/>
          <w:lang w:eastAsia="lt-LT"/>
        </w:rPr>
        <w:t>et</w:t>
      </w:r>
      <w:r w:rsidR="00586818">
        <w:rPr>
          <w:szCs w:val="24"/>
          <w:lang w:eastAsia="lt-LT"/>
        </w:rPr>
        <w:t>ų</w:t>
      </w:r>
      <w:r w:rsidRPr="595EF4A2">
        <w:rPr>
          <w:szCs w:val="24"/>
          <w:lang w:eastAsia="lt-LT"/>
        </w:rPr>
        <w:t xml:space="preserve"> strateginiame veiklos plane </w:t>
      </w:r>
      <w:r>
        <w:rPr>
          <w:szCs w:val="24"/>
          <w:lang w:eastAsia="lt-LT"/>
        </w:rPr>
        <w:t xml:space="preserve">suplanuota </w:t>
      </w:r>
      <w:r w:rsidRPr="595EF4A2">
        <w:rPr>
          <w:szCs w:val="24"/>
          <w:lang w:eastAsia="lt-LT"/>
        </w:rPr>
        <w:t>202</w:t>
      </w:r>
      <w:r>
        <w:rPr>
          <w:szCs w:val="24"/>
          <w:lang w:eastAsia="lt-LT"/>
        </w:rPr>
        <w:t>3</w:t>
      </w:r>
      <w:r w:rsidR="0041162D">
        <w:rPr>
          <w:szCs w:val="24"/>
          <w:lang w:eastAsia="lt-LT"/>
        </w:rPr>
        <w:t> </w:t>
      </w:r>
      <w:r w:rsidRPr="595EF4A2">
        <w:rPr>
          <w:szCs w:val="24"/>
          <w:lang w:eastAsia="lt-LT"/>
        </w:rPr>
        <w:t xml:space="preserve">m. </w:t>
      </w:r>
      <w:r>
        <w:rPr>
          <w:szCs w:val="24"/>
          <w:lang w:eastAsia="lt-LT"/>
        </w:rPr>
        <w:t>skirti 850</w:t>
      </w:r>
      <w:r w:rsidR="0041162D">
        <w:rPr>
          <w:szCs w:val="24"/>
          <w:lang w:eastAsia="lt-LT"/>
        </w:rPr>
        <w:t> </w:t>
      </w:r>
      <w:r w:rsidRPr="595EF4A2">
        <w:rPr>
          <w:szCs w:val="24"/>
          <w:lang w:eastAsia="lt-LT"/>
        </w:rPr>
        <w:t xml:space="preserve">tūkst. </w:t>
      </w:r>
      <w:r w:rsidRPr="0020258D">
        <w:rPr>
          <w:szCs w:val="24"/>
          <w:lang w:eastAsia="lt-LT"/>
        </w:rPr>
        <w:t>eurų</w:t>
      </w:r>
      <w:r w:rsidRPr="595EF4A2">
        <w:rPr>
          <w:szCs w:val="24"/>
          <w:lang w:eastAsia="lt-LT"/>
        </w:rPr>
        <w:t xml:space="preserve">, </w:t>
      </w:r>
      <w:r w:rsidRPr="00512519">
        <w:rPr>
          <w:szCs w:val="24"/>
          <w:lang w:eastAsia="lt-LT"/>
        </w:rPr>
        <w:t>2024 m. – 892 </w:t>
      </w:r>
      <w:r>
        <w:rPr>
          <w:szCs w:val="24"/>
          <w:lang w:eastAsia="lt-LT"/>
        </w:rPr>
        <w:t xml:space="preserve">500 eurų, 2025 m. – </w:t>
      </w:r>
      <w:r w:rsidRPr="00512519">
        <w:rPr>
          <w:szCs w:val="24"/>
          <w:lang w:eastAsia="lt-LT"/>
        </w:rPr>
        <w:t>937</w:t>
      </w:r>
      <w:r>
        <w:rPr>
          <w:szCs w:val="24"/>
          <w:lang w:eastAsia="lt-LT"/>
        </w:rPr>
        <w:t> </w:t>
      </w:r>
      <w:r w:rsidRPr="00512519">
        <w:rPr>
          <w:szCs w:val="24"/>
          <w:lang w:eastAsia="lt-LT"/>
        </w:rPr>
        <w:t>125</w:t>
      </w:r>
      <w:r>
        <w:rPr>
          <w:szCs w:val="24"/>
          <w:lang w:eastAsia="lt-LT"/>
        </w:rPr>
        <w:t> </w:t>
      </w:r>
      <w:r w:rsidRPr="00512519">
        <w:rPr>
          <w:szCs w:val="24"/>
          <w:lang w:eastAsia="lt-LT"/>
        </w:rPr>
        <w:t>eur</w:t>
      </w:r>
      <w:r>
        <w:rPr>
          <w:szCs w:val="24"/>
          <w:lang w:eastAsia="lt-LT"/>
        </w:rPr>
        <w:t>us</w:t>
      </w:r>
      <w:r w:rsidRPr="00512519">
        <w:rPr>
          <w:szCs w:val="24"/>
          <w:lang w:eastAsia="lt-LT"/>
        </w:rPr>
        <w:t xml:space="preserve"> Savivaldybės </w:t>
      </w:r>
      <w:r>
        <w:rPr>
          <w:szCs w:val="24"/>
          <w:lang w:eastAsia="lt-LT"/>
        </w:rPr>
        <w:t xml:space="preserve">mero </w:t>
      </w:r>
      <w:r w:rsidRPr="00512519">
        <w:rPr>
          <w:szCs w:val="24"/>
          <w:lang w:eastAsia="lt-LT"/>
        </w:rPr>
        <w:t xml:space="preserve">rezervui. </w:t>
      </w:r>
    </w:p>
    <w:p w14:paraId="6577CB59" w14:textId="77777777" w:rsidR="00785DFE" w:rsidRDefault="00785DFE" w:rsidP="004F791A">
      <w:pPr>
        <w:spacing w:line="360" w:lineRule="auto"/>
        <w:ind w:firstLine="1298"/>
        <w:jc w:val="both"/>
        <w:rPr>
          <w:szCs w:val="24"/>
          <w:lang w:eastAsia="lt-LT"/>
        </w:rPr>
      </w:pPr>
      <w:r w:rsidRPr="00512519">
        <w:rPr>
          <w:szCs w:val="24"/>
          <w:lang w:eastAsia="lt-LT"/>
        </w:rPr>
        <w:t xml:space="preserve">Savivaldybės </w:t>
      </w:r>
      <w:r>
        <w:rPr>
          <w:szCs w:val="24"/>
          <w:lang w:eastAsia="lt-LT"/>
        </w:rPr>
        <w:t xml:space="preserve">mero </w:t>
      </w:r>
      <w:r w:rsidRPr="00512519">
        <w:rPr>
          <w:szCs w:val="24"/>
          <w:lang w:eastAsia="lt-LT"/>
        </w:rPr>
        <w:t xml:space="preserve">rezervo lėšos Savivaldybės tarybos </w:t>
      </w:r>
      <w:r w:rsidRPr="595EF4A2">
        <w:rPr>
          <w:szCs w:val="24"/>
          <w:lang w:eastAsia="lt-LT"/>
        </w:rPr>
        <w:t>nustatyta tvarka</w:t>
      </w:r>
      <w:r w:rsidR="0041162D" w:rsidRPr="0041162D">
        <w:rPr>
          <w:szCs w:val="24"/>
          <w:lang w:eastAsia="lt-LT"/>
        </w:rPr>
        <w:t xml:space="preserve"> </w:t>
      </w:r>
      <w:r w:rsidR="0041162D" w:rsidRPr="00586818">
        <w:rPr>
          <w:szCs w:val="24"/>
          <w:lang w:eastAsia="lt-LT"/>
        </w:rPr>
        <w:t>naudojamos</w:t>
      </w:r>
      <w:r w:rsidRPr="595EF4A2">
        <w:rPr>
          <w:szCs w:val="24"/>
          <w:lang w:eastAsia="lt-LT"/>
        </w:rPr>
        <w:t>:</w:t>
      </w:r>
      <w:r>
        <w:rPr>
          <w:szCs w:val="24"/>
          <w:lang w:eastAsia="lt-LT"/>
        </w:rPr>
        <w:t xml:space="preserve"> </w:t>
      </w:r>
    </w:p>
    <w:p w14:paraId="3FC0F431" w14:textId="77777777" w:rsidR="00785DFE" w:rsidRPr="0009053C" w:rsidRDefault="00785DFE" w:rsidP="004F791A">
      <w:pPr>
        <w:spacing w:line="360" w:lineRule="auto"/>
        <w:ind w:firstLine="1298"/>
        <w:jc w:val="both"/>
        <w:rPr>
          <w:szCs w:val="24"/>
          <w:lang w:eastAsia="lt-LT"/>
        </w:rPr>
      </w:pPr>
      <w:r w:rsidRPr="0009053C">
        <w:rPr>
          <w:szCs w:val="24"/>
          <w:lang w:eastAsia="lt-LT"/>
        </w:rPr>
        <w:t>ekstremaliosioms situacijoms ir (arba) ekstremaliesiems įvykiams likviduoti, jų padariniams šalinti ir padarytiems nuostoliams iš dalies apmokėti;</w:t>
      </w:r>
      <w:r>
        <w:rPr>
          <w:szCs w:val="24"/>
          <w:lang w:eastAsia="lt-LT"/>
        </w:rPr>
        <w:t xml:space="preserve"> </w:t>
      </w:r>
    </w:p>
    <w:p w14:paraId="6864D3FD" w14:textId="77777777" w:rsidR="00785DFE" w:rsidRPr="0009053C" w:rsidRDefault="00785DFE" w:rsidP="004F791A">
      <w:pPr>
        <w:spacing w:line="360" w:lineRule="auto"/>
        <w:ind w:firstLine="1298"/>
        <w:jc w:val="both"/>
        <w:rPr>
          <w:szCs w:val="24"/>
          <w:lang w:eastAsia="lt-LT"/>
        </w:rPr>
      </w:pPr>
      <w:bookmarkStart w:id="11" w:name="part_876a1f17f8194ca4b675027f7bb2b27d"/>
      <w:bookmarkEnd w:id="11"/>
      <w:r w:rsidRPr="0009053C">
        <w:rPr>
          <w:szCs w:val="24"/>
          <w:lang w:eastAsia="lt-LT"/>
        </w:rPr>
        <w:t>gaisrų, stichinių nelaimių ir kitų įvykių padariniams likviduoti ir jų padarytiems nuostoliams iš dalies apmokėti;</w:t>
      </w:r>
      <w:r>
        <w:rPr>
          <w:szCs w:val="24"/>
          <w:lang w:eastAsia="lt-LT"/>
        </w:rPr>
        <w:t xml:space="preserve"> </w:t>
      </w:r>
    </w:p>
    <w:p w14:paraId="7F258917" w14:textId="77777777" w:rsidR="00785DFE" w:rsidRPr="00785DFE" w:rsidRDefault="00785DFE" w:rsidP="004F791A">
      <w:pPr>
        <w:spacing w:line="360" w:lineRule="auto"/>
        <w:ind w:firstLine="1298"/>
        <w:jc w:val="both"/>
        <w:rPr>
          <w:szCs w:val="24"/>
          <w:lang w:eastAsia="lt-LT"/>
        </w:rPr>
      </w:pPr>
      <w:bookmarkStart w:id="12" w:name="part_18d6e80c45de4cb19c14764dec1cb05b"/>
      <w:bookmarkEnd w:id="12"/>
      <w:r w:rsidRPr="0009053C">
        <w:rPr>
          <w:szCs w:val="24"/>
          <w:lang w:eastAsia="lt-LT"/>
        </w:rPr>
        <w:t>dėl nepaprastosios padėties atsiradusioms išlaidoms iš dalies apmokėti ir</w:t>
      </w:r>
      <w:r>
        <w:rPr>
          <w:szCs w:val="24"/>
          <w:lang w:eastAsia="lt-LT"/>
        </w:rPr>
        <w:t xml:space="preserve"> (arba) jos padariniams šalinti.“ </w:t>
      </w:r>
    </w:p>
    <w:p w14:paraId="5E09450B" w14:textId="77777777" w:rsidR="00E31671" w:rsidRDefault="00785DFE" w:rsidP="004F791A">
      <w:pPr>
        <w:pStyle w:val="Pagrindinistekstas"/>
        <w:jc w:val="both"/>
      </w:pPr>
      <w:r>
        <w:t>1.2</w:t>
      </w:r>
      <w:r w:rsidR="00C606A4">
        <w:t xml:space="preserve">. </w:t>
      </w:r>
      <w:r w:rsidR="00266488">
        <w:t>P</w:t>
      </w:r>
      <w:r w:rsidR="00C606A4">
        <w:t>akeisti 3</w:t>
      </w:r>
      <w:r w:rsidR="00897DFD">
        <w:t xml:space="preserve"> priedo lentelę </w:t>
      </w:r>
      <w:r w:rsidR="00897DFD" w:rsidRPr="00586818">
        <w:t>„Bendras lėšų poreikis ir numatomi finansavimo šaltiniai“</w:t>
      </w:r>
      <w:r w:rsidR="00897DFD">
        <w:t xml:space="preserve"> ir ją išdėstyti taip:</w:t>
      </w:r>
      <w:r w:rsidR="00266488">
        <w:t xml:space="preserve"> </w:t>
      </w: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6"/>
        <w:gridCol w:w="3480"/>
        <w:gridCol w:w="2537"/>
      </w:tblGrid>
      <w:tr w:rsidR="00C606A4" w:rsidRPr="00C606A4" w14:paraId="68F8F210" w14:textId="77777777" w:rsidTr="004F791A">
        <w:trPr>
          <w:trHeight w:val="40"/>
        </w:trPr>
        <w:tc>
          <w:tcPr>
            <w:tcW w:w="3906" w:type="dxa"/>
          </w:tcPr>
          <w:p w14:paraId="24AAA36B" w14:textId="77777777" w:rsidR="00C606A4" w:rsidRPr="00C606A4" w:rsidRDefault="00C606A4" w:rsidP="00C606A4">
            <w:pPr>
              <w:rPr>
                <w:sz w:val="2"/>
                <w:lang w:eastAsia="lt-LT" w:bidi="ar-SA"/>
              </w:rPr>
            </w:pPr>
          </w:p>
        </w:tc>
        <w:tc>
          <w:tcPr>
            <w:tcW w:w="3480" w:type="dxa"/>
          </w:tcPr>
          <w:p w14:paraId="414C1357" w14:textId="77777777" w:rsidR="00C606A4" w:rsidRPr="00C606A4" w:rsidRDefault="00C606A4" w:rsidP="00C606A4">
            <w:pPr>
              <w:rPr>
                <w:sz w:val="2"/>
                <w:lang w:eastAsia="lt-LT" w:bidi="ar-SA"/>
              </w:rPr>
            </w:pPr>
          </w:p>
        </w:tc>
        <w:tc>
          <w:tcPr>
            <w:tcW w:w="2537" w:type="dxa"/>
          </w:tcPr>
          <w:p w14:paraId="1E8ED7C9" w14:textId="77777777" w:rsidR="00C606A4" w:rsidRPr="00C606A4" w:rsidRDefault="00C606A4" w:rsidP="00C606A4">
            <w:pPr>
              <w:rPr>
                <w:sz w:val="2"/>
                <w:lang w:eastAsia="lt-LT" w:bidi="ar-SA"/>
              </w:rPr>
            </w:pPr>
          </w:p>
        </w:tc>
      </w:tr>
      <w:tr w:rsidR="00C606A4" w:rsidRPr="00C606A4" w14:paraId="2FEF0C00" w14:textId="77777777" w:rsidTr="004F791A">
        <w:tc>
          <w:tcPr>
            <w:tcW w:w="9923" w:type="dxa"/>
            <w:gridSpan w:val="3"/>
            <w:shd w:val="clear" w:color="auto" w:fill="auto"/>
          </w:tcPr>
          <w:tbl>
            <w:tblPr>
              <w:tblW w:w="9913" w:type="dxa"/>
              <w:tblLook w:val="04A0" w:firstRow="1" w:lastRow="0" w:firstColumn="1" w:lastColumn="0" w:noHBand="0" w:noVBand="1"/>
            </w:tblPr>
            <w:tblGrid>
              <w:gridCol w:w="989"/>
              <w:gridCol w:w="2179"/>
              <w:gridCol w:w="2140"/>
              <w:gridCol w:w="2295"/>
              <w:gridCol w:w="2310"/>
            </w:tblGrid>
            <w:tr w:rsidR="00C606A4" w:rsidRPr="00C606A4" w14:paraId="45EBE8BE" w14:textId="77777777" w:rsidTr="004F791A">
              <w:trPr>
                <w:trHeight w:val="300"/>
              </w:trPr>
              <w:tc>
                <w:tcPr>
                  <w:tcW w:w="31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16B4AEC" w14:textId="77777777" w:rsidR="00C606A4" w:rsidRPr="00C606A4" w:rsidRDefault="007342D7" w:rsidP="00C606A4">
                  <w:pPr>
                    <w:jc w:val="center"/>
                    <w:rPr>
                      <w:bCs/>
                      <w:szCs w:val="24"/>
                      <w:lang w:eastAsia="lt-LT" w:bidi="ar-SA"/>
                    </w:rPr>
                  </w:pPr>
                  <w:r>
                    <w:rPr>
                      <w:lang w:eastAsia="lt-LT" w:bidi="ar-SA"/>
                    </w:rPr>
                    <w:t>„</w:t>
                  </w:r>
                  <w:r w:rsidR="00C606A4" w:rsidRPr="00C606A4">
                    <w:rPr>
                      <w:lang w:eastAsia="lt-LT" w:bidi="ar-SA"/>
                    </w:rPr>
                    <w:t>Finansavimo šaltiniai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2603EA" w14:textId="77777777" w:rsidR="00C606A4" w:rsidRPr="00C606A4" w:rsidRDefault="00C606A4" w:rsidP="00C606A4">
                  <w:pPr>
                    <w:jc w:val="center"/>
                    <w:rPr>
                      <w:bCs/>
                      <w:szCs w:val="24"/>
                      <w:lang w:eastAsia="lt-LT" w:bidi="ar-SA"/>
                    </w:rPr>
                  </w:pPr>
                  <w:r w:rsidRPr="00C606A4">
                    <w:rPr>
                      <w:lang w:eastAsia="lt-LT" w:bidi="ar-SA"/>
                    </w:rPr>
                    <w:t>2023 m. asignavimų planas</w:t>
                  </w:r>
                </w:p>
              </w:tc>
              <w:tc>
                <w:tcPr>
                  <w:tcW w:w="2295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713373" w14:textId="77777777" w:rsidR="00C606A4" w:rsidRPr="00C606A4" w:rsidRDefault="00C606A4" w:rsidP="00C606A4">
                  <w:pPr>
                    <w:jc w:val="center"/>
                    <w:rPr>
                      <w:bCs/>
                      <w:szCs w:val="24"/>
                      <w:lang w:eastAsia="lt-LT" w:bidi="ar-SA"/>
                    </w:rPr>
                  </w:pPr>
                  <w:r w:rsidRPr="00C606A4">
                    <w:rPr>
                      <w:lang w:eastAsia="lt-LT" w:bidi="ar-SA"/>
                    </w:rPr>
                    <w:t>2024 m. asignavimų planas</w:t>
                  </w:r>
                </w:p>
              </w:tc>
              <w:tc>
                <w:tcPr>
                  <w:tcW w:w="231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6CF9DF7" w14:textId="77777777" w:rsidR="00C606A4" w:rsidRPr="00C606A4" w:rsidRDefault="00C606A4" w:rsidP="00C606A4">
                  <w:pPr>
                    <w:jc w:val="center"/>
                    <w:rPr>
                      <w:lang w:eastAsia="lt-LT" w:bidi="ar-SA"/>
                    </w:rPr>
                  </w:pPr>
                  <w:r w:rsidRPr="00C606A4">
                    <w:rPr>
                      <w:lang w:eastAsia="lt-LT" w:bidi="ar-SA"/>
                    </w:rPr>
                    <w:t>2025 m. asignavimų planas</w:t>
                  </w:r>
                </w:p>
              </w:tc>
            </w:tr>
            <w:tr w:rsidR="00C606A4" w:rsidRPr="00C606A4" w14:paraId="3E66F0FC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4C9CF7" w14:textId="77777777" w:rsidR="00C606A4" w:rsidRPr="00C606A4" w:rsidRDefault="00C606A4" w:rsidP="00C606A4">
                  <w:pPr>
                    <w:jc w:val="center"/>
                    <w:rPr>
                      <w:bCs/>
                      <w:szCs w:val="24"/>
                      <w:lang w:eastAsia="lt-LT" w:bidi="ar-SA"/>
                    </w:rPr>
                  </w:pPr>
                  <w:r w:rsidRPr="00C606A4">
                    <w:rPr>
                      <w:bCs/>
                      <w:szCs w:val="24"/>
                      <w:lang w:eastAsia="lt-LT" w:bidi="ar-SA"/>
                    </w:rPr>
                    <w:t>Kodas</w:t>
                  </w:r>
                </w:p>
              </w:tc>
              <w:tc>
                <w:tcPr>
                  <w:tcW w:w="217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2E5E56" w14:textId="77777777" w:rsidR="00C606A4" w:rsidRPr="00C606A4" w:rsidRDefault="00C606A4" w:rsidP="00C606A4">
                  <w:pPr>
                    <w:jc w:val="center"/>
                    <w:rPr>
                      <w:bCs/>
                      <w:szCs w:val="24"/>
                      <w:lang w:eastAsia="lt-LT" w:bidi="ar-SA"/>
                    </w:rPr>
                  </w:pPr>
                  <w:r w:rsidRPr="00C606A4">
                    <w:rPr>
                      <w:bCs/>
                      <w:szCs w:val="24"/>
                      <w:lang w:eastAsia="lt-LT" w:bidi="ar-SA"/>
                    </w:rPr>
                    <w:t>Pavadinimas</w:t>
                  </w:r>
                </w:p>
              </w:tc>
              <w:tc>
                <w:tcPr>
                  <w:tcW w:w="2140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E5E255" w14:textId="77777777" w:rsidR="00C606A4" w:rsidRPr="00C606A4" w:rsidRDefault="00C606A4" w:rsidP="00C606A4">
                  <w:pPr>
                    <w:jc w:val="center"/>
                    <w:rPr>
                      <w:b/>
                      <w:bCs/>
                      <w:szCs w:val="24"/>
                      <w:lang w:eastAsia="lt-LT" w:bidi="ar-SA"/>
                    </w:rPr>
                  </w:pPr>
                </w:p>
              </w:tc>
              <w:tc>
                <w:tcPr>
                  <w:tcW w:w="22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28AF98" w14:textId="77777777" w:rsidR="00C606A4" w:rsidRPr="00C606A4" w:rsidRDefault="00C606A4" w:rsidP="00C606A4">
                  <w:pPr>
                    <w:jc w:val="center"/>
                    <w:rPr>
                      <w:b/>
                      <w:bCs/>
                      <w:szCs w:val="24"/>
                      <w:lang w:eastAsia="lt-LT" w:bidi="ar-SA"/>
                    </w:rPr>
                  </w:pPr>
                </w:p>
              </w:tc>
              <w:tc>
                <w:tcPr>
                  <w:tcW w:w="23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E53674" w14:textId="77777777" w:rsidR="00C606A4" w:rsidRPr="00C606A4" w:rsidRDefault="00C606A4" w:rsidP="00C606A4">
                  <w:pPr>
                    <w:jc w:val="center"/>
                    <w:rPr>
                      <w:b/>
                      <w:bCs/>
                      <w:szCs w:val="24"/>
                      <w:lang w:eastAsia="lt-LT" w:bidi="ar-SA"/>
                    </w:rPr>
                  </w:pPr>
                </w:p>
              </w:tc>
            </w:tr>
            <w:tr w:rsidR="00C606A4" w:rsidRPr="00C606A4" w14:paraId="3243B12D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37BC28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lastRenderedPageBreak/>
                    <w:t>1.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39FE63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Savivaldybės biudžeto lėšos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E0C3C0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184 355 250,66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C287E6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176 589 450,70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E452A7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182 353 650,70</w:t>
                  </w:r>
                </w:p>
              </w:tc>
            </w:tr>
            <w:tr w:rsidR="00C606A4" w:rsidRPr="00C606A4" w14:paraId="06B91CC4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F0E363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1.1.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503736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Savivaldybės biudžeto asignavimai savarankiškosioms funkcijoms atlikti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63022F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164 174 410,51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57B0AB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156 018 208,70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218A08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166 790 408,70</w:t>
                  </w:r>
                </w:p>
              </w:tc>
            </w:tr>
            <w:tr w:rsidR="00C606A4" w:rsidRPr="00C606A4" w14:paraId="63AAA3D4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91461A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1.1.1.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E3AFE15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Pajamų lėšos programai finansuoti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322CAC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8 517 923,89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7E86914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5 457 048,00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13C648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4 835 823,00</w:t>
                  </w:r>
                </w:p>
              </w:tc>
            </w:tr>
            <w:tr w:rsidR="00C606A4" w:rsidRPr="00C606A4" w14:paraId="2F8CCBDB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5BD69B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1.1.2.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244C2EF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Asignavimai kitoms savarankiškosioms funkcijoms atlikti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F747BB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155 656 486,62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87A2FA" w14:textId="77777777" w:rsidR="00C606A4" w:rsidRPr="00C606A4" w:rsidRDefault="0069191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>
                    <w:rPr>
                      <w:szCs w:val="24"/>
                      <w:lang w:eastAsia="lt-LT" w:bidi="ar-SA"/>
                    </w:rPr>
                    <w:t>151 101 160</w:t>
                  </w:r>
                  <w:r w:rsidR="00C606A4" w:rsidRPr="00C606A4">
                    <w:rPr>
                      <w:szCs w:val="24"/>
                      <w:lang w:eastAsia="lt-LT" w:bidi="ar-SA"/>
                    </w:rPr>
                    <w:t>,70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844D0D" w14:textId="77777777" w:rsidR="00C606A4" w:rsidRPr="00C606A4" w:rsidRDefault="0069191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>
                    <w:rPr>
                      <w:szCs w:val="24"/>
                      <w:lang w:eastAsia="lt-LT" w:bidi="ar-SA"/>
                    </w:rPr>
                    <w:t>162 764 585</w:t>
                  </w:r>
                  <w:r w:rsidR="00C606A4" w:rsidRPr="00C606A4">
                    <w:rPr>
                      <w:szCs w:val="24"/>
                      <w:lang w:eastAsia="lt-LT" w:bidi="ar-SA"/>
                    </w:rPr>
                    <w:t>,70</w:t>
                  </w:r>
                </w:p>
              </w:tc>
            </w:tr>
            <w:tr w:rsidR="00C606A4" w:rsidRPr="00C606A4" w14:paraId="77B66048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7756C1F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1.2.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EC1B9C0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Skolintos lėšos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8FFE871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2 000 000,00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C853442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328F75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</w:p>
              </w:tc>
            </w:tr>
            <w:tr w:rsidR="00C606A4" w:rsidRPr="00C606A4" w14:paraId="2A895443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988FC3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1.3.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9CFEB01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Dotacijos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87763EB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18 180 840,15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41376B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20 571 242,00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BF7BFE4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15 563 242,00</w:t>
                  </w:r>
                </w:p>
              </w:tc>
            </w:tr>
            <w:tr w:rsidR="00C606A4" w:rsidRPr="00C606A4" w14:paraId="17EA5059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725E49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1.3.1.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980F74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Valstybinėms (valstybės perduotoms savivaldybėms) funkcijoms atlikti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395B593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750 332,00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163997A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750 332,00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503A554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750 332,00</w:t>
                  </w:r>
                </w:p>
              </w:tc>
            </w:tr>
            <w:tr w:rsidR="00C606A4" w:rsidRPr="00C606A4" w14:paraId="65B11725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3192F17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1.3.5.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304724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Kelių priežiūros ir plėtros programos finansavimo lėšos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261C59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16 509 600,00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41A6E3A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18 900 000,00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503967D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13 892 000,00</w:t>
                  </w:r>
                </w:p>
              </w:tc>
            </w:tr>
            <w:tr w:rsidR="00C606A4" w:rsidRPr="00C606A4" w14:paraId="7A38F186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5D1C932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1.3.6.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C206C70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Kita dotacija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2ECE665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920 908,15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4F8523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920 910,00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6B35E64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920 910,00</w:t>
                  </w:r>
                </w:p>
              </w:tc>
            </w:tr>
            <w:tr w:rsidR="00C606A4" w:rsidRPr="00C606A4" w14:paraId="6C6752B6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96A1A7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2.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EC48D2A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Europos Sąjungos struktūrinių fondų ir kitų fondų paramos lėšos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6843B9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5 611 243,00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FAE447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7 743 790,70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31449FD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14 046 912,70</w:t>
                  </w:r>
                </w:p>
              </w:tc>
            </w:tr>
            <w:tr w:rsidR="00C606A4" w:rsidRPr="00C606A4" w14:paraId="712DCEE8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DD0E38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3.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776F29" w14:textId="77777777" w:rsidR="00C606A4" w:rsidRPr="00C606A4" w:rsidRDefault="00C606A4" w:rsidP="00C606A4">
                  <w:pPr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Lėšos iš valstybės biudžeto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1F03230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  <w:r w:rsidRPr="00C606A4">
                    <w:rPr>
                      <w:szCs w:val="24"/>
                      <w:lang w:eastAsia="lt-LT" w:bidi="ar-SA"/>
                    </w:rPr>
                    <w:t>255 124,00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6C2416B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546183" w14:textId="77777777" w:rsidR="00C606A4" w:rsidRPr="00C606A4" w:rsidRDefault="00C606A4" w:rsidP="00C606A4">
                  <w:pPr>
                    <w:jc w:val="center"/>
                    <w:rPr>
                      <w:szCs w:val="24"/>
                      <w:lang w:eastAsia="lt-LT" w:bidi="ar-SA"/>
                    </w:rPr>
                  </w:pPr>
                </w:p>
              </w:tc>
            </w:tr>
            <w:tr w:rsidR="00C606A4" w:rsidRPr="00C606A4" w14:paraId="7E691BD7" w14:textId="77777777" w:rsidTr="004F791A">
              <w:trPr>
                <w:trHeight w:val="300"/>
              </w:trPr>
              <w:tc>
                <w:tcPr>
                  <w:tcW w:w="9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14:paraId="05677ED7" w14:textId="77777777" w:rsidR="00C606A4" w:rsidRPr="004F791A" w:rsidRDefault="00C606A4" w:rsidP="00C606A4">
                  <w:pPr>
                    <w:rPr>
                      <w:bCs/>
                      <w:szCs w:val="24"/>
                      <w:lang w:eastAsia="lt-LT" w:bidi="ar-SA"/>
                    </w:rPr>
                  </w:pPr>
                  <w:r w:rsidRPr="004F791A">
                    <w:rPr>
                      <w:bCs/>
                      <w:szCs w:val="24"/>
                      <w:lang w:eastAsia="lt-LT" w:bidi="ar-SA"/>
                    </w:rPr>
                    <w:t> </w:t>
                  </w:r>
                </w:p>
              </w:tc>
              <w:tc>
                <w:tcPr>
                  <w:tcW w:w="2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14:paraId="6E79A896" w14:textId="77777777" w:rsidR="00C606A4" w:rsidRPr="00C606A4" w:rsidRDefault="00C606A4" w:rsidP="00C606A4">
                  <w:pPr>
                    <w:jc w:val="right"/>
                    <w:rPr>
                      <w:b/>
                      <w:bCs/>
                      <w:szCs w:val="24"/>
                      <w:lang w:eastAsia="lt-LT" w:bidi="ar-SA"/>
                    </w:rPr>
                  </w:pPr>
                  <w:r w:rsidRPr="00C606A4">
                    <w:rPr>
                      <w:b/>
                      <w:bCs/>
                      <w:szCs w:val="24"/>
                      <w:lang w:eastAsia="lt-LT" w:bidi="ar-SA"/>
                    </w:rPr>
                    <w:t>Iš viso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14:paraId="4C458252" w14:textId="77777777" w:rsidR="00C606A4" w:rsidRPr="00C606A4" w:rsidRDefault="00C606A4" w:rsidP="00C606A4">
                  <w:pPr>
                    <w:jc w:val="right"/>
                    <w:rPr>
                      <w:b/>
                      <w:bCs/>
                      <w:szCs w:val="24"/>
                      <w:lang w:eastAsia="lt-LT" w:bidi="ar-SA"/>
                    </w:rPr>
                  </w:pPr>
                  <w:r w:rsidRPr="00C606A4">
                    <w:rPr>
                      <w:b/>
                      <w:bCs/>
                      <w:szCs w:val="24"/>
                      <w:lang w:eastAsia="lt-LT" w:bidi="ar-SA"/>
                    </w:rPr>
                    <w:t>190 221 617,66</w:t>
                  </w:r>
                </w:p>
              </w:tc>
              <w:tc>
                <w:tcPr>
                  <w:tcW w:w="22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14:paraId="21A55922" w14:textId="77777777" w:rsidR="00C606A4" w:rsidRPr="00C606A4" w:rsidRDefault="009C0513" w:rsidP="00C606A4">
                  <w:pPr>
                    <w:jc w:val="right"/>
                    <w:rPr>
                      <w:b/>
                      <w:bCs/>
                      <w:szCs w:val="24"/>
                      <w:lang w:eastAsia="lt-LT" w:bidi="ar-SA"/>
                    </w:rPr>
                  </w:pPr>
                  <w:r>
                    <w:rPr>
                      <w:b/>
                      <w:bCs/>
                      <w:szCs w:val="24"/>
                      <w:lang w:eastAsia="lt-LT" w:bidi="ar-SA"/>
                    </w:rPr>
                    <w:t>184 873 241</w:t>
                  </w:r>
                  <w:r w:rsidR="00C606A4" w:rsidRPr="00C606A4">
                    <w:rPr>
                      <w:b/>
                      <w:bCs/>
                      <w:szCs w:val="24"/>
                      <w:lang w:eastAsia="lt-LT" w:bidi="ar-SA"/>
                    </w:rPr>
                    <w:t>,40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noWrap/>
                  <w:hideMark/>
                </w:tcPr>
                <w:p w14:paraId="5F5942EB" w14:textId="77777777" w:rsidR="00C606A4" w:rsidRPr="00C606A4" w:rsidRDefault="009C0513" w:rsidP="002545A7">
                  <w:pPr>
                    <w:jc w:val="center"/>
                    <w:rPr>
                      <w:b/>
                      <w:bCs/>
                      <w:szCs w:val="24"/>
                      <w:lang w:eastAsia="lt-LT" w:bidi="ar-SA"/>
                    </w:rPr>
                  </w:pPr>
                  <w:r>
                    <w:rPr>
                      <w:b/>
                      <w:bCs/>
                      <w:szCs w:val="24"/>
                      <w:lang w:eastAsia="lt-LT" w:bidi="ar-SA"/>
                    </w:rPr>
                    <w:t>197 210 563</w:t>
                  </w:r>
                  <w:r w:rsidR="00C606A4" w:rsidRPr="00C606A4">
                    <w:rPr>
                      <w:b/>
                      <w:bCs/>
                      <w:szCs w:val="24"/>
                      <w:lang w:eastAsia="lt-LT" w:bidi="ar-SA"/>
                    </w:rPr>
                    <w:t>,40</w:t>
                  </w:r>
                  <w:r w:rsidR="00394D75" w:rsidRPr="00394D75">
                    <w:rPr>
                      <w:bCs/>
                      <w:szCs w:val="24"/>
                      <w:lang w:eastAsia="lt-LT" w:bidi="ar-SA"/>
                    </w:rPr>
                    <w:t>.</w:t>
                  </w:r>
                  <w:r w:rsidR="007342D7" w:rsidRPr="007342D7">
                    <w:rPr>
                      <w:bCs/>
                      <w:szCs w:val="24"/>
                      <w:lang w:eastAsia="lt-LT" w:bidi="ar-SA"/>
                    </w:rPr>
                    <w:t>“</w:t>
                  </w:r>
                </w:p>
              </w:tc>
            </w:tr>
          </w:tbl>
          <w:p w14:paraId="215E0B95" w14:textId="77777777" w:rsidR="00C606A4" w:rsidRPr="00C606A4" w:rsidRDefault="00C606A4" w:rsidP="00C606A4">
            <w:pPr>
              <w:jc w:val="center"/>
              <w:rPr>
                <w:sz w:val="20"/>
                <w:lang w:eastAsia="lt-LT" w:bidi="ar-SA"/>
              </w:rPr>
            </w:pPr>
          </w:p>
        </w:tc>
      </w:tr>
    </w:tbl>
    <w:p w14:paraId="00AC30AC" w14:textId="77777777" w:rsidR="00A41F88" w:rsidRDefault="0081313D" w:rsidP="004F791A">
      <w:pPr>
        <w:pStyle w:val="Pagrindinistekstas"/>
        <w:ind w:firstLine="1276"/>
        <w:jc w:val="both"/>
      </w:pPr>
      <w:r w:rsidRPr="008F1FDF">
        <w:lastRenderedPageBreak/>
        <w:t>1.</w:t>
      </w:r>
      <w:r w:rsidR="00785DFE">
        <w:t>3</w:t>
      </w:r>
      <w:r w:rsidR="006A2EE9">
        <w:t xml:space="preserve">. </w:t>
      </w:r>
      <w:r w:rsidR="00266488">
        <w:t>P</w:t>
      </w:r>
      <w:r w:rsidRPr="008F1FDF">
        <w:t>a</w:t>
      </w:r>
      <w:r w:rsidR="007473C3">
        <w:t>pildyti 3</w:t>
      </w:r>
      <w:r>
        <w:t xml:space="preserve"> priedą nauja pastraipa pagal </w:t>
      </w:r>
      <w:r w:rsidRPr="00DE73D8">
        <w:t>kodą:</w:t>
      </w:r>
      <w:r w:rsidR="00266488">
        <w:t xml:space="preserve"> </w:t>
      </w:r>
    </w:p>
    <w:tbl>
      <w:tblPr>
        <w:tblW w:w="103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8"/>
        <w:gridCol w:w="1567"/>
        <w:gridCol w:w="993"/>
        <w:gridCol w:w="708"/>
        <w:gridCol w:w="567"/>
        <w:gridCol w:w="1276"/>
        <w:gridCol w:w="1276"/>
        <w:gridCol w:w="850"/>
        <w:gridCol w:w="567"/>
        <w:gridCol w:w="284"/>
        <w:gridCol w:w="425"/>
        <w:gridCol w:w="533"/>
      </w:tblGrid>
      <w:tr w:rsidR="00534C35" w:rsidRPr="00A17420" w14:paraId="6377CF23" w14:textId="77777777" w:rsidTr="002545A7">
        <w:trPr>
          <w:trHeight w:val="220"/>
        </w:trPr>
        <w:tc>
          <w:tcPr>
            <w:tcW w:w="126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3F3B3" w14:textId="77777777" w:rsidR="00534C35" w:rsidRPr="00A17420" w:rsidRDefault="007473C3" w:rsidP="00450B98">
            <w:pPr>
              <w:spacing w:line="276" w:lineRule="auto"/>
              <w:ind w:left="684" w:hanging="684"/>
              <w:rPr>
                <w:szCs w:val="24"/>
              </w:rPr>
            </w:pPr>
            <w:r>
              <w:rPr>
                <w:szCs w:val="24"/>
              </w:rPr>
              <w:t>„3.4.1.3.005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39033B" w14:textId="77777777" w:rsidR="00534C35" w:rsidRPr="00A17420" w:rsidRDefault="007473C3" w:rsidP="00450B98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bookmarkStart w:id="13" w:name="_GoBack"/>
            <w:bookmarkEnd w:id="13"/>
            <w:r w:rsidRPr="007473C3">
              <w:t>Kauno miesto savivaldybės daugiabučių namų bendrųjų statinio inžinerinių sistemų kapitalinio remonto ir (ar) naujų įrengimo programos įgyvendinimas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DAE45" w14:textId="77777777" w:rsidR="00534C35" w:rsidRPr="00A17420" w:rsidRDefault="007473C3" w:rsidP="004F791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Būsto moderni</w:t>
            </w:r>
            <w:r w:rsidR="002545A7">
              <w:rPr>
                <w:szCs w:val="24"/>
              </w:rPr>
              <w:t>-</w:t>
            </w:r>
            <w:r>
              <w:rPr>
                <w:szCs w:val="24"/>
              </w:rPr>
              <w:t>zavimo, adminis</w:t>
            </w:r>
            <w:r w:rsidR="004F791A">
              <w:rPr>
                <w:szCs w:val="24"/>
              </w:rPr>
              <w:t>t</w:t>
            </w:r>
            <w:r w:rsidR="002545A7">
              <w:rPr>
                <w:szCs w:val="24"/>
              </w:rPr>
              <w:t>-</w:t>
            </w:r>
            <w:r>
              <w:rPr>
                <w:szCs w:val="24"/>
              </w:rPr>
              <w:t>ravimo ir ener</w:t>
            </w:r>
            <w:r w:rsidR="004F791A">
              <w:rPr>
                <w:szCs w:val="24"/>
              </w:rPr>
              <w:t>ge-</w:t>
            </w:r>
            <w:r>
              <w:rPr>
                <w:szCs w:val="24"/>
              </w:rPr>
              <w:t>tikos skyrius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383F9" w14:textId="77777777" w:rsidR="00534C35" w:rsidRPr="00A17420" w:rsidRDefault="00534C35" w:rsidP="00BC3744">
            <w:pPr>
              <w:spacing w:line="276" w:lineRule="auto"/>
              <w:jc w:val="center"/>
              <w:rPr>
                <w:szCs w:val="24"/>
              </w:rPr>
            </w:pPr>
            <w:r w:rsidRPr="00A17420">
              <w:rPr>
                <w:szCs w:val="24"/>
              </w:rPr>
              <w:t>Iš viso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AF1DA" w14:textId="77777777" w:rsidR="00534C35" w:rsidRPr="00A17420" w:rsidRDefault="00A41F88" w:rsidP="000437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CFE8E" w14:textId="77777777" w:rsidR="00534C35" w:rsidRPr="00A17420" w:rsidRDefault="00A41F88" w:rsidP="00B221DC">
            <w:pPr>
              <w:ind w:right="-26"/>
              <w:jc w:val="center"/>
              <w:rPr>
                <w:szCs w:val="24"/>
              </w:rPr>
            </w:pPr>
            <w:r w:rsidRPr="00A41F88">
              <w:rPr>
                <w:szCs w:val="24"/>
              </w:rPr>
              <w:t>540</w:t>
            </w:r>
            <w:r w:rsidR="002545A7">
              <w:rPr>
                <w:szCs w:val="24"/>
              </w:rPr>
              <w:t> </w:t>
            </w:r>
            <w:r w:rsidRPr="00A41F88">
              <w:rPr>
                <w:szCs w:val="24"/>
              </w:rPr>
              <w:t>000</w:t>
            </w:r>
            <w:r w:rsidR="002545A7">
              <w:rPr>
                <w:szCs w:val="24"/>
              </w:rPr>
              <w:t>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E5692" w14:textId="77777777" w:rsidR="00534C35" w:rsidRPr="00A17420" w:rsidRDefault="002545A7" w:rsidP="002545A7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2545A7">
              <w:rPr>
                <w:kern w:val="3"/>
                <w:szCs w:val="24"/>
                <w:lang w:eastAsia="lt-LT" w:bidi="ar-SA"/>
              </w:rPr>
              <w:t>810</w:t>
            </w:r>
            <w:r>
              <w:rPr>
                <w:kern w:val="3"/>
                <w:szCs w:val="24"/>
                <w:lang w:eastAsia="lt-LT" w:bidi="ar-SA"/>
              </w:rPr>
              <w:t xml:space="preserve"> </w:t>
            </w:r>
            <w:r w:rsidRPr="002545A7">
              <w:rPr>
                <w:kern w:val="3"/>
                <w:szCs w:val="24"/>
                <w:lang w:eastAsia="lt-LT" w:bidi="ar-SA"/>
              </w:rPr>
              <w:t>000</w:t>
            </w:r>
            <w:r>
              <w:rPr>
                <w:kern w:val="3"/>
                <w:szCs w:val="24"/>
                <w:lang w:eastAsia="lt-LT" w:bidi="ar-SA"/>
              </w:rPr>
              <w:t>,00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BCF5F" w14:textId="77777777" w:rsidR="00534C35" w:rsidRPr="00A17420" w:rsidRDefault="002F5859" w:rsidP="00450B98">
            <w:pPr>
              <w:rPr>
                <w:szCs w:val="24"/>
                <w:lang w:eastAsia="lt-LT" w:bidi="ar-SA"/>
              </w:rPr>
            </w:pPr>
            <w:r>
              <w:rPr>
                <w:szCs w:val="24"/>
              </w:rPr>
              <w:t>Pasira-šytų sutarčių</w:t>
            </w:r>
            <w:r w:rsidR="002545A7" w:rsidRPr="002545A7">
              <w:rPr>
                <w:szCs w:val="24"/>
              </w:rPr>
              <w:t xml:space="preserve"> skaičius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BF290F" w14:textId="77777777" w:rsidR="00534C35" w:rsidRPr="00A17420" w:rsidRDefault="002460B8" w:rsidP="00450B98">
            <w:pPr>
              <w:rPr>
                <w:szCs w:val="24"/>
              </w:rPr>
            </w:pPr>
            <w:r>
              <w:rPr>
                <w:szCs w:val="24"/>
              </w:rPr>
              <w:t>Vnt</w:t>
            </w:r>
            <w:r w:rsidR="00534C35" w:rsidRPr="00A17420">
              <w:rPr>
                <w:szCs w:val="24"/>
              </w:rPr>
              <w:t>.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6EB1B" w14:textId="77777777" w:rsidR="00534C35" w:rsidRPr="00A17420" w:rsidRDefault="002545A7" w:rsidP="00534C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64FAB" w14:textId="77777777" w:rsidR="00534C35" w:rsidRPr="00A17420" w:rsidRDefault="002F5859" w:rsidP="00534C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3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AF2F8" w14:textId="77777777" w:rsidR="00534C35" w:rsidRPr="00A17420" w:rsidRDefault="002F5859" w:rsidP="00534C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87750" w:rsidRPr="00A17420">
              <w:rPr>
                <w:szCs w:val="24"/>
              </w:rPr>
              <w:t>.</w:t>
            </w:r>
            <w:r w:rsidR="006134A3" w:rsidRPr="00A17420">
              <w:rPr>
                <w:szCs w:val="24"/>
              </w:rPr>
              <w:t>“</w:t>
            </w:r>
          </w:p>
        </w:tc>
      </w:tr>
      <w:tr w:rsidR="006A2EE9" w:rsidRPr="00A17420" w14:paraId="2C874B2B" w14:textId="77777777" w:rsidTr="002545A7">
        <w:trPr>
          <w:trHeight w:val="3012"/>
        </w:trPr>
        <w:tc>
          <w:tcPr>
            <w:tcW w:w="1268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267A8" w14:textId="77777777" w:rsidR="00534C35" w:rsidRPr="00A17420" w:rsidRDefault="00534C35" w:rsidP="00450B98">
            <w:pPr>
              <w:spacing w:line="276" w:lineRule="auto"/>
              <w:ind w:left="684" w:hanging="684"/>
              <w:rPr>
                <w:szCs w:val="24"/>
              </w:rPr>
            </w:pPr>
          </w:p>
        </w:tc>
        <w:tc>
          <w:tcPr>
            <w:tcW w:w="1567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F47C3" w14:textId="77777777" w:rsidR="00534C35" w:rsidRPr="00A17420" w:rsidRDefault="00534C35" w:rsidP="00450B98">
            <w:pPr>
              <w:suppressAutoHyphens/>
              <w:autoSpaceDN w:val="0"/>
              <w:textAlignment w:val="baseline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0D25E" w14:textId="77777777" w:rsidR="00534C35" w:rsidRPr="00A17420" w:rsidRDefault="00534C35" w:rsidP="00450B98">
            <w:pPr>
              <w:spacing w:line="276" w:lineRule="auto"/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3216A" w14:textId="77777777" w:rsidR="00534C35" w:rsidRPr="00A17420" w:rsidRDefault="007473C3" w:rsidP="00043769">
            <w:pPr>
              <w:jc w:val="center"/>
              <w:rPr>
                <w:szCs w:val="24"/>
                <w:lang w:eastAsia="lt-LT" w:bidi="ar-SA"/>
              </w:rPr>
            </w:pPr>
            <w:r>
              <w:rPr>
                <w:szCs w:val="24"/>
              </w:rPr>
              <w:t>1.1.</w:t>
            </w:r>
            <w:r w:rsidR="00534C35" w:rsidRPr="00A17420">
              <w:rPr>
                <w:szCs w:val="24"/>
              </w:rPr>
              <w:t>2</w:t>
            </w:r>
            <w:r w:rsidR="006A2EE9" w:rsidRPr="00A17420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59B01" w14:textId="77777777" w:rsidR="00534C35" w:rsidRPr="00A17420" w:rsidRDefault="00A41F88" w:rsidP="000437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83162" w14:textId="77777777" w:rsidR="00534C35" w:rsidRPr="00A17420" w:rsidRDefault="00A41F88" w:rsidP="00043769">
            <w:pPr>
              <w:jc w:val="center"/>
              <w:rPr>
                <w:szCs w:val="24"/>
              </w:rPr>
            </w:pPr>
            <w:r w:rsidRPr="00A41F88">
              <w:rPr>
                <w:szCs w:val="24"/>
              </w:rPr>
              <w:t>540</w:t>
            </w:r>
            <w:r w:rsidR="002545A7">
              <w:rPr>
                <w:szCs w:val="24"/>
              </w:rPr>
              <w:t> </w:t>
            </w:r>
            <w:r w:rsidRPr="00A41F88">
              <w:rPr>
                <w:szCs w:val="24"/>
              </w:rPr>
              <w:t>000</w:t>
            </w:r>
            <w:r w:rsidR="002545A7">
              <w:rPr>
                <w:szCs w:val="24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B4308" w14:textId="77777777" w:rsidR="00534C35" w:rsidRPr="00A17420" w:rsidRDefault="002545A7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2545A7">
              <w:rPr>
                <w:kern w:val="3"/>
                <w:szCs w:val="24"/>
                <w:lang w:eastAsia="lt-LT" w:bidi="ar-SA"/>
              </w:rPr>
              <w:t>810</w:t>
            </w:r>
            <w:r>
              <w:rPr>
                <w:kern w:val="3"/>
                <w:szCs w:val="24"/>
                <w:lang w:eastAsia="lt-LT" w:bidi="ar-SA"/>
              </w:rPr>
              <w:t xml:space="preserve"> </w:t>
            </w:r>
            <w:r w:rsidRPr="002545A7">
              <w:rPr>
                <w:kern w:val="3"/>
                <w:szCs w:val="24"/>
                <w:lang w:eastAsia="lt-LT" w:bidi="ar-SA"/>
              </w:rPr>
              <w:t>000</w:t>
            </w:r>
            <w:r>
              <w:rPr>
                <w:kern w:val="3"/>
                <w:szCs w:val="24"/>
                <w:lang w:eastAsia="lt-LT" w:bidi="ar-SA"/>
              </w:rPr>
              <w:t>,00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78038" w14:textId="77777777" w:rsidR="00534C35" w:rsidRPr="00A17420" w:rsidRDefault="00534C35" w:rsidP="00450B98">
            <w:pPr>
              <w:suppressAutoHyphens/>
              <w:autoSpaceDN w:val="0"/>
              <w:snapToGrid w:val="0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EB6E9" w14:textId="77777777" w:rsidR="00534C35" w:rsidRPr="00A17420" w:rsidRDefault="00534C35" w:rsidP="00450B98">
            <w:pPr>
              <w:rPr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C0F4B" w14:textId="77777777" w:rsidR="00534C35" w:rsidRPr="00A17420" w:rsidRDefault="00534C35" w:rsidP="00450B98">
            <w:pPr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37375" w14:textId="77777777" w:rsidR="00534C35" w:rsidRPr="00A17420" w:rsidRDefault="00534C35" w:rsidP="00450B98">
            <w:pPr>
              <w:rPr>
                <w:szCs w:val="24"/>
              </w:rPr>
            </w:pPr>
          </w:p>
        </w:tc>
        <w:tc>
          <w:tcPr>
            <w:tcW w:w="533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126B9" w14:textId="77777777" w:rsidR="00534C35" w:rsidRPr="00A17420" w:rsidRDefault="00534C35" w:rsidP="00450B98">
            <w:pPr>
              <w:rPr>
                <w:szCs w:val="24"/>
              </w:rPr>
            </w:pPr>
          </w:p>
        </w:tc>
      </w:tr>
    </w:tbl>
    <w:p w14:paraId="5D5B80CB" w14:textId="77777777" w:rsidR="00BD5C61" w:rsidRPr="00FC1BE7" w:rsidRDefault="00785DFE" w:rsidP="004F791A">
      <w:pPr>
        <w:pStyle w:val="Pagrindinistekstas"/>
        <w:jc w:val="both"/>
      </w:pPr>
      <w:r>
        <w:t>1.4</w:t>
      </w:r>
      <w:r w:rsidR="00BD5C61">
        <w:t>. P</w:t>
      </w:r>
      <w:r w:rsidR="00BD5C61" w:rsidRPr="00FC1BE7">
        <w:t>a</w:t>
      </w:r>
      <w:r w:rsidR="00BD5C61">
        <w:t xml:space="preserve">keisti </w:t>
      </w:r>
      <w:r w:rsidR="00A64E92">
        <w:t>3</w:t>
      </w:r>
      <w:r w:rsidR="00BD5C61" w:rsidRPr="00FC1BE7">
        <w:t xml:space="preserve"> priedo pastraipą, prasidedančią</w:t>
      </w:r>
      <w:r w:rsidR="00A64E92">
        <w:t xml:space="preserve"> 3</w:t>
      </w:r>
      <w:r w:rsidR="00BD5C61" w:rsidRPr="00FC1BE7">
        <w:t xml:space="preserve"> kodu, ir ją išdėstyti taip:</w:t>
      </w:r>
      <w:r w:rsidR="00BD5C61">
        <w:t xml:space="preserve"> 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843"/>
        <w:gridCol w:w="1843"/>
        <w:gridCol w:w="1984"/>
      </w:tblGrid>
      <w:tr w:rsidR="00BD5C61" w:rsidRPr="00B221DC" w14:paraId="1C1C99EC" w14:textId="77777777" w:rsidTr="007B516C">
        <w:trPr>
          <w:trHeight w:val="746"/>
        </w:trPr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8D33A" w14:textId="77777777" w:rsidR="00BD5C61" w:rsidRPr="00B221DC" w:rsidRDefault="00A64E92" w:rsidP="00903686">
            <w:pPr>
              <w:spacing w:line="276" w:lineRule="auto"/>
              <w:ind w:left="684" w:hanging="684"/>
              <w:rPr>
                <w:szCs w:val="24"/>
              </w:rPr>
            </w:pPr>
            <w:r>
              <w:rPr>
                <w:szCs w:val="24"/>
              </w:rPr>
              <w:t>„3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C05A0" w14:textId="77777777" w:rsidR="00BD5C61" w:rsidRPr="00B221DC" w:rsidRDefault="00A64E92" w:rsidP="00903686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A64E92">
              <w:rPr>
                <w:szCs w:val="24"/>
              </w:rPr>
              <w:t>Tvarumo bei žaliojo kurso principais tvariai valdomo miesto programa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0B5C0" w14:textId="77777777" w:rsidR="00BD5C61" w:rsidRPr="00B221DC" w:rsidRDefault="00961114" w:rsidP="00903686">
            <w:pPr>
              <w:jc w:val="center"/>
              <w:rPr>
                <w:szCs w:val="24"/>
              </w:rPr>
            </w:pPr>
            <w:r w:rsidRPr="00961114">
              <w:rPr>
                <w:szCs w:val="24"/>
              </w:rPr>
              <w:t>190</w:t>
            </w:r>
            <w:r>
              <w:rPr>
                <w:szCs w:val="24"/>
              </w:rPr>
              <w:t> </w:t>
            </w:r>
            <w:r w:rsidRPr="00961114">
              <w:rPr>
                <w:szCs w:val="24"/>
              </w:rPr>
              <w:t>221</w:t>
            </w:r>
            <w:r>
              <w:rPr>
                <w:szCs w:val="24"/>
              </w:rPr>
              <w:t xml:space="preserve"> </w:t>
            </w:r>
            <w:r w:rsidRPr="00961114">
              <w:rPr>
                <w:szCs w:val="24"/>
              </w:rPr>
              <w:t>617,66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94C6E" w14:textId="77777777" w:rsidR="00BD5C61" w:rsidRPr="00B221DC" w:rsidRDefault="00C2615D" w:rsidP="00903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184 873 241,4</w:t>
            </w:r>
            <w:r w:rsidR="00BD5C61" w:rsidRPr="00B221DC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761552" w14:textId="77777777" w:rsidR="00BD5C61" w:rsidRPr="00B221DC" w:rsidRDefault="00C2615D" w:rsidP="0090368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Cs w:val="24"/>
                <w:lang w:eastAsia="lt-LT" w:bidi="ar-SA"/>
              </w:rPr>
            </w:pPr>
            <w:r>
              <w:rPr>
                <w:kern w:val="3"/>
                <w:szCs w:val="24"/>
                <w:lang w:eastAsia="lt-LT" w:bidi="ar-SA"/>
              </w:rPr>
              <w:t>197 210 563,4</w:t>
            </w:r>
            <w:r w:rsidR="00BD5C61" w:rsidRPr="00B221DC">
              <w:rPr>
                <w:kern w:val="3"/>
                <w:szCs w:val="24"/>
                <w:lang w:eastAsia="lt-LT" w:bidi="ar-SA"/>
              </w:rPr>
              <w:t>0.“</w:t>
            </w:r>
          </w:p>
        </w:tc>
      </w:tr>
    </w:tbl>
    <w:p w14:paraId="1049AFE1" w14:textId="77777777" w:rsidR="00BD5C61" w:rsidRPr="00B221DC" w:rsidRDefault="00785DFE" w:rsidP="004F791A">
      <w:pPr>
        <w:pStyle w:val="Pagrindinistekstas"/>
        <w:jc w:val="both"/>
        <w:rPr>
          <w:szCs w:val="24"/>
        </w:rPr>
      </w:pPr>
      <w:r>
        <w:rPr>
          <w:szCs w:val="24"/>
        </w:rPr>
        <w:t>1.5</w:t>
      </w:r>
      <w:r w:rsidR="00BD5C61" w:rsidRPr="00B221DC">
        <w:rPr>
          <w:szCs w:val="24"/>
        </w:rPr>
        <w:t xml:space="preserve">. </w:t>
      </w:r>
      <w:r w:rsidR="00BD5C61">
        <w:rPr>
          <w:szCs w:val="24"/>
        </w:rPr>
        <w:t>P</w:t>
      </w:r>
      <w:r w:rsidR="00C2615D">
        <w:rPr>
          <w:szCs w:val="24"/>
        </w:rPr>
        <w:t>akeisti 3</w:t>
      </w:r>
      <w:r w:rsidR="00BD5C61" w:rsidRPr="00B221DC">
        <w:rPr>
          <w:szCs w:val="24"/>
        </w:rPr>
        <w:t xml:space="preserve"> p</w:t>
      </w:r>
      <w:r w:rsidR="00C2615D">
        <w:rPr>
          <w:szCs w:val="24"/>
        </w:rPr>
        <w:t>riedo pastraipą, prasidedančią 3.4</w:t>
      </w:r>
      <w:r w:rsidR="00BD5C61" w:rsidRPr="00B221DC">
        <w:rPr>
          <w:szCs w:val="24"/>
        </w:rPr>
        <w:t xml:space="preserve"> kodu, ir ją išdėstyti taip: 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843"/>
        <w:gridCol w:w="1843"/>
        <w:gridCol w:w="1984"/>
      </w:tblGrid>
      <w:tr w:rsidR="00BD5C61" w:rsidRPr="00B221DC" w14:paraId="082B97DA" w14:textId="77777777" w:rsidTr="007B516C">
        <w:trPr>
          <w:trHeight w:val="619"/>
        </w:trPr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D069A" w14:textId="77777777" w:rsidR="00BD5C61" w:rsidRPr="00B221DC" w:rsidRDefault="00C2615D" w:rsidP="00903686">
            <w:pPr>
              <w:spacing w:line="276" w:lineRule="auto"/>
              <w:ind w:left="684" w:hanging="684"/>
              <w:rPr>
                <w:szCs w:val="24"/>
              </w:rPr>
            </w:pPr>
            <w:r>
              <w:rPr>
                <w:szCs w:val="24"/>
              </w:rPr>
              <w:lastRenderedPageBreak/>
              <w:t>„3.4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3472C" w14:textId="77777777" w:rsidR="00BD5C61" w:rsidRPr="00B221DC" w:rsidRDefault="007B516C" w:rsidP="00903686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7B516C">
              <w:rPr>
                <w:kern w:val="3"/>
                <w:szCs w:val="24"/>
                <w:lang w:eastAsia="lt-LT" w:bidi="ar-SA"/>
              </w:rPr>
              <w:t>Žaliojo kurso principais paremtas modernus, efektyviai išteklius naudojantis, klimato kaitą švelninantis ir konkurencingas miestas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E14F6" w14:textId="77777777" w:rsidR="00BD5C61" w:rsidRPr="00B221DC" w:rsidRDefault="00C2615D" w:rsidP="00903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12 548 192,70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70120" w14:textId="77777777" w:rsidR="00BD5C61" w:rsidRPr="00B221DC" w:rsidRDefault="00C2615D" w:rsidP="009036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12 705 663,40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307B6" w14:textId="77777777" w:rsidR="00BD5C61" w:rsidRPr="00B221DC" w:rsidRDefault="00C2615D" w:rsidP="0090368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Cs w:val="24"/>
                <w:lang w:eastAsia="lt-LT" w:bidi="ar-SA"/>
              </w:rPr>
            </w:pPr>
            <w:r>
              <w:rPr>
                <w:kern w:val="3"/>
                <w:szCs w:val="24"/>
                <w:lang w:eastAsia="lt-LT" w:bidi="ar-SA"/>
              </w:rPr>
              <w:t>13 904 457,40</w:t>
            </w:r>
            <w:r w:rsidR="00BD5C61" w:rsidRPr="00B221DC">
              <w:rPr>
                <w:kern w:val="3"/>
                <w:szCs w:val="24"/>
                <w:lang w:eastAsia="lt-LT" w:bidi="ar-SA"/>
              </w:rPr>
              <w:t>.“</w:t>
            </w:r>
          </w:p>
        </w:tc>
      </w:tr>
    </w:tbl>
    <w:p w14:paraId="0B6D4BA8" w14:textId="77777777" w:rsidR="00BE23D3" w:rsidRPr="00B221DC" w:rsidRDefault="00785DFE" w:rsidP="00492281">
      <w:pPr>
        <w:pStyle w:val="Pagrindinistekstas"/>
        <w:jc w:val="both"/>
        <w:rPr>
          <w:szCs w:val="24"/>
        </w:rPr>
      </w:pPr>
      <w:r>
        <w:rPr>
          <w:szCs w:val="24"/>
        </w:rPr>
        <w:t>1.6</w:t>
      </w:r>
      <w:r w:rsidR="00C2615D">
        <w:rPr>
          <w:szCs w:val="24"/>
        </w:rPr>
        <w:t xml:space="preserve">. </w:t>
      </w:r>
      <w:r w:rsidR="00266488">
        <w:rPr>
          <w:szCs w:val="24"/>
        </w:rPr>
        <w:t>P</w:t>
      </w:r>
      <w:r w:rsidR="00C2615D">
        <w:rPr>
          <w:szCs w:val="24"/>
        </w:rPr>
        <w:t>akeisti 3</w:t>
      </w:r>
      <w:r w:rsidR="00BE23D3" w:rsidRPr="00B221DC">
        <w:rPr>
          <w:szCs w:val="24"/>
        </w:rPr>
        <w:t xml:space="preserve"> pried</w:t>
      </w:r>
      <w:r w:rsidR="00C2615D">
        <w:rPr>
          <w:szCs w:val="24"/>
        </w:rPr>
        <w:t>o pastraipą, prasidedančią 3.4.1</w:t>
      </w:r>
      <w:r w:rsidR="00BE23D3" w:rsidRPr="00B221DC">
        <w:rPr>
          <w:szCs w:val="24"/>
        </w:rPr>
        <w:t xml:space="preserve"> kodu, ir ją išdėstyti taip: 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843"/>
        <w:gridCol w:w="1843"/>
        <w:gridCol w:w="1984"/>
      </w:tblGrid>
      <w:tr w:rsidR="00BE23D3" w:rsidRPr="00B221DC" w14:paraId="7575DF50" w14:textId="77777777" w:rsidTr="007B516C">
        <w:trPr>
          <w:trHeight w:val="605"/>
        </w:trPr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C2E1D" w14:textId="77777777" w:rsidR="00BE23D3" w:rsidRPr="00B221DC" w:rsidRDefault="00C2615D" w:rsidP="00FF6E5F">
            <w:pPr>
              <w:spacing w:line="276" w:lineRule="auto"/>
              <w:ind w:left="684" w:hanging="684"/>
              <w:rPr>
                <w:szCs w:val="24"/>
              </w:rPr>
            </w:pPr>
            <w:r>
              <w:rPr>
                <w:szCs w:val="24"/>
              </w:rPr>
              <w:t>„3.4.1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216AE" w14:textId="77777777" w:rsidR="00BE23D3" w:rsidRPr="00B221DC" w:rsidRDefault="007B516C" w:rsidP="00FF6E5F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7B516C">
              <w:rPr>
                <w:kern w:val="3"/>
                <w:szCs w:val="24"/>
                <w:lang w:eastAsia="lt-LT" w:bidi="ar-SA"/>
              </w:rPr>
              <w:t>Skatinti efektyvų išteklių valdymą ir atliekų prevenciją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CECB4" w14:textId="77777777" w:rsidR="00BE23D3" w:rsidRPr="00B221DC" w:rsidRDefault="00C2615D" w:rsidP="00FF6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2 082 830,00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1608D" w14:textId="77777777" w:rsidR="00BE23D3" w:rsidRPr="00B221DC" w:rsidRDefault="00C2615D" w:rsidP="00FF6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1 485 000</w:t>
            </w:r>
            <w:r w:rsidR="00E519E6" w:rsidRPr="00B221DC">
              <w:rPr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1CCAD" w14:textId="77777777" w:rsidR="00BE23D3" w:rsidRPr="00B221DC" w:rsidRDefault="00C2615D" w:rsidP="00FF6E5F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Cs w:val="24"/>
                <w:lang w:eastAsia="lt-LT" w:bidi="ar-SA"/>
              </w:rPr>
            </w:pPr>
            <w:r>
              <w:rPr>
                <w:kern w:val="3"/>
                <w:szCs w:val="24"/>
                <w:lang w:eastAsia="lt-LT" w:bidi="ar-SA"/>
              </w:rPr>
              <w:t>1 955 000</w:t>
            </w:r>
            <w:r w:rsidR="00E519E6" w:rsidRPr="00B221DC">
              <w:rPr>
                <w:kern w:val="3"/>
                <w:szCs w:val="24"/>
                <w:lang w:eastAsia="lt-LT" w:bidi="ar-SA"/>
              </w:rPr>
              <w:t>,00</w:t>
            </w:r>
            <w:r w:rsidR="00BE23D3" w:rsidRPr="00B221DC">
              <w:rPr>
                <w:kern w:val="3"/>
                <w:szCs w:val="24"/>
                <w:lang w:eastAsia="lt-LT" w:bidi="ar-SA"/>
              </w:rPr>
              <w:t>.“</w:t>
            </w:r>
          </w:p>
        </w:tc>
      </w:tr>
    </w:tbl>
    <w:p w14:paraId="4604F16E" w14:textId="77777777" w:rsidR="00BE23D3" w:rsidRPr="00B221DC" w:rsidRDefault="00785DFE" w:rsidP="00492281">
      <w:pPr>
        <w:pStyle w:val="Pagrindinistekstas"/>
        <w:jc w:val="both"/>
        <w:rPr>
          <w:szCs w:val="24"/>
        </w:rPr>
      </w:pPr>
      <w:r>
        <w:rPr>
          <w:szCs w:val="24"/>
        </w:rPr>
        <w:t>1.7</w:t>
      </w:r>
      <w:r w:rsidR="00C2615D">
        <w:rPr>
          <w:szCs w:val="24"/>
        </w:rPr>
        <w:t xml:space="preserve">. </w:t>
      </w:r>
      <w:r w:rsidR="00266488">
        <w:rPr>
          <w:szCs w:val="24"/>
        </w:rPr>
        <w:t>P</w:t>
      </w:r>
      <w:r w:rsidR="00C2615D">
        <w:rPr>
          <w:szCs w:val="24"/>
        </w:rPr>
        <w:t>akeisti 3</w:t>
      </w:r>
      <w:r w:rsidR="00BE23D3" w:rsidRPr="00B221DC">
        <w:rPr>
          <w:szCs w:val="24"/>
        </w:rPr>
        <w:t xml:space="preserve"> priedo pastraipą, prasidedančią </w:t>
      </w:r>
      <w:r w:rsidR="00C2615D">
        <w:rPr>
          <w:szCs w:val="24"/>
        </w:rPr>
        <w:t>3.4.1.</w:t>
      </w:r>
      <w:r w:rsidR="00BE23D3" w:rsidRPr="00B221DC">
        <w:rPr>
          <w:szCs w:val="24"/>
        </w:rPr>
        <w:t xml:space="preserve">3 kodu, ir ją išdėstyti taip: 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1843"/>
        <w:gridCol w:w="1843"/>
        <w:gridCol w:w="1984"/>
      </w:tblGrid>
      <w:tr w:rsidR="00BE23D3" w:rsidRPr="00B221DC" w14:paraId="7C34F335" w14:textId="77777777" w:rsidTr="007B516C">
        <w:trPr>
          <w:trHeight w:val="663"/>
        </w:trPr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AEDC0E" w14:textId="77777777" w:rsidR="00BE23D3" w:rsidRPr="00B221DC" w:rsidRDefault="00BE23D3" w:rsidP="00FF6E5F">
            <w:pPr>
              <w:spacing w:line="276" w:lineRule="auto"/>
              <w:ind w:left="684" w:hanging="684"/>
              <w:rPr>
                <w:szCs w:val="24"/>
              </w:rPr>
            </w:pPr>
            <w:r w:rsidRPr="00B221DC">
              <w:rPr>
                <w:szCs w:val="24"/>
              </w:rPr>
              <w:t>„</w:t>
            </w:r>
            <w:r w:rsidR="00C2615D">
              <w:rPr>
                <w:szCs w:val="24"/>
              </w:rPr>
              <w:t>3.4.1</w:t>
            </w:r>
            <w:r w:rsidRPr="00B221DC">
              <w:rPr>
                <w:szCs w:val="24"/>
              </w:rPr>
              <w:t>.3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CEFC9" w14:textId="77777777" w:rsidR="00BE23D3" w:rsidRPr="00B221DC" w:rsidRDefault="007B516C" w:rsidP="00FF6E5F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7B516C">
              <w:rPr>
                <w:kern w:val="3"/>
                <w:szCs w:val="24"/>
                <w:lang w:eastAsia="lt-LT" w:bidi="ar-SA"/>
              </w:rPr>
              <w:t>Skatinti kompleksinę renovaciją daugiabučiuose gyvenamuosiuose namuose ir savivaldybės viešuosiuose pastatuose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7BEAB" w14:textId="77777777" w:rsidR="00BE23D3" w:rsidRPr="00B221DC" w:rsidRDefault="00C2615D" w:rsidP="00FF6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825 000,00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A9F5B" w14:textId="77777777" w:rsidR="00BE23D3" w:rsidRPr="00B221DC" w:rsidRDefault="00C2615D" w:rsidP="00FF6E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1 485 000,00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03BDA" w14:textId="77777777" w:rsidR="00BE23D3" w:rsidRPr="00B221DC" w:rsidRDefault="00C2615D" w:rsidP="00FF6E5F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Cs w:val="24"/>
                <w:lang w:eastAsia="lt-LT" w:bidi="ar-SA"/>
              </w:rPr>
            </w:pPr>
            <w:r>
              <w:rPr>
                <w:kern w:val="3"/>
                <w:szCs w:val="24"/>
                <w:lang w:eastAsia="lt-LT" w:bidi="ar-SA"/>
              </w:rPr>
              <w:t>1 955 000</w:t>
            </w:r>
            <w:r w:rsidR="00BE23D3" w:rsidRPr="00B221DC">
              <w:rPr>
                <w:kern w:val="3"/>
                <w:szCs w:val="24"/>
                <w:lang w:eastAsia="lt-LT" w:bidi="ar-SA"/>
              </w:rPr>
              <w:t>.“</w:t>
            </w:r>
          </w:p>
        </w:tc>
      </w:tr>
    </w:tbl>
    <w:p w14:paraId="1663305E" w14:textId="77777777" w:rsidR="006A2EE9" w:rsidRDefault="002C11C5" w:rsidP="00492281">
      <w:pPr>
        <w:pStyle w:val="Pagrindinistekstas"/>
        <w:jc w:val="both"/>
      </w:pPr>
      <w:r w:rsidRPr="008C6995">
        <w:t xml:space="preserve">2. Šis sprendimas </w:t>
      </w:r>
      <w:r w:rsidRPr="00534FFE">
        <w:t xml:space="preserve">per vieną mėnesį nuo jo paskelbimo dienos </w:t>
      </w:r>
      <w:r w:rsidRPr="008C6995">
        <w:t>gali būti skundžiamas Regionų apygardos administracinio teismo Kauno rūmams (A.</w:t>
      </w:r>
      <w:r w:rsidR="00BC3744">
        <w:t> </w:t>
      </w:r>
      <w:r w:rsidRPr="008C6995">
        <w:t>Mickevičiaus</w:t>
      </w:r>
      <w:r w:rsidR="00BC3744">
        <w:t> </w:t>
      </w:r>
      <w:r w:rsidRPr="008C6995">
        <w:t>g.</w:t>
      </w:r>
      <w:r w:rsidR="00BC3744">
        <w:t> </w:t>
      </w:r>
      <w:r w:rsidRPr="008C6995">
        <w:t>8A, Kaunas) Lietuvos Respublikos administracinių bylų teisenos įstatymo nustatyta tvarka.</w:t>
      </w:r>
      <w:r>
        <w:t xml:space="preserve"> </w:t>
      </w:r>
      <w:bookmarkEnd w:id="10"/>
    </w:p>
    <w:p w14:paraId="76434037" w14:textId="77777777" w:rsidR="006A2EE9" w:rsidRDefault="006A2EE9">
      <w:pPr>
        <w:ind w:firstLine="1298"/>
        <w:sectPr w:rsidR="006A2E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0D03756B" w14:textId="77777777"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 w14:paraId="6C696E4D" w14:textId="77777777">
        <w:trPr>
          <w:cantSplit/>
        </w:trPr>
        <w:tc>
          <w:tcPr>
            <w:tcW w:w="4321" w:type="dxa"/>
          </w:tcPr>
          <w:p w14:paraId="58BC5207" w14:textId="77777777" w:rsidR="004805E9" w:rsidRDefault="004805E9" w:rsidP="002C11C5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4" w:name="r20_1_1"/>
            <w:r>
              <w:instrText xml:space="preserve"> FORMTEXT </w:instrText>
            </w:r>
            <w:r>
              <w:fldChar w:fldCharType="separate"/>
            </w:r>
            <w:r w:rsidR="002C11C5" w:rsidRPr="002C11C5">
              <w:rPr>
                <w:noProof/>
              </w:rPr>
              <w:t>Savivaldybės meras</w:t>
            </w:r>
            <w:r>
              <w:fldChar w:fldCharType="end"/>
            </w:r>
            <w:bookmarkEnd w:id="14"/>
          </w:p>
        </w:tc>
        <w:tc>
          <w:tcPr>
            <w:tcW w:w="1916" w:type="dxa"/>
          </w:tcPr>
          <w:p w14:paraId="4BA3AD4F" w14:textId="77777777"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14:paraId="613C9693" w14:textId="7AFD090F" w:rsidR="004805E9" w:rsidRDefault="00050B61" w:rsidP="00BC3744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541933">
              <w:t>Visvaldas</w:t>
            </w:r>
            <w:r>
              <w:fldChar w:fldCharType="end"/>
            </w:r>
            <w:bookmarkEnd w:id="15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541933">
              <w:t>Matijošaitis</w:t>
            </w:r>
            <w:r>
              <w:fldChar w:fldCharType="end"/>
            </w:r>
            <w:bookmarkEnd w:id="16"/>
          </w:p>
        </w:tc>
      </w:tr>
    </w:tbl>
    <w:p w14:paraId="23B96534" w14:textId="77777777"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65AC2" w14:textId="77777777" w:rsidR="006D1BD3" w:rsidRDefault="006D1BD3">
      <w:r>
        <w:separator/>
      </w:r>
    </w:p>
  </w:endnote>
  <w:endnote w:type="continuationSeparator" w:id="0">
    <w:p w14:paraId="39BEFCB9" w14:textId="77777777" w:rsidR="006D1BD3" w:rsidRDefault="006D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7991A781" w14:textId="77777777">
      <w:trPr>
        <w:trHeight w:hRule="exact" w:val="794"/>
      </w:trPr>
      <w:tc>
        <w:tcPr>
          <w:tcW w:w="5184" w:type="dxa"/>
        </w:tcPr>
        <w:p w14:paraId="4F3F3983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78E2D82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474A2AD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3D3E5D7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510A3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5E19FB20" w14:textId="77777777">
      <w:trPr>
        <w:trHeight w:hRule="exact" w:val="794"/>
      </w:trPr>
      <w:tc>
        <w:tcPr>
          <w:tcW w:w="5184" w:type="dxa"/>
        </w:tcPr>
        <w:p w14:paraId="2AD61F19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373C8D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BEBBF63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5C3E360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B0F0D8F" w14:textId="77777777">
      <w:trPr>
        <w:trHeight w:hRule="exact" w:val="794"/>
      </w:trPr>
      <w:tc>
        <w:tcPr>
          <w:tcW w:w="5184" w:type="dxa"/>
        </w:tcPr>
        <w:p w14:paraId="20F7898D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364B246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9180F47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B87D69A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117B" w14:textId="77777777" w:rsidR="006D1BD3" w:rsidRDefault="006D1BD3">
      <w:pPr>
        <w:pStyle w:val="Porat"/>
        <w:spacing w:before="240"/>
      </w:pPr>
    </w:p>
  </w:footnote>
  <w:footnote w:type="continuationSeparator" w:id="0">
    <w:p w14:paraId="4A55A253" w14:textId="77777777" w:rsidR="006D1BD3" w:rsidRDefault="006D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415C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166C1" w14:textId="3541FA43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A563D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25953"/>
    <w:multiLevelType w:val="hybridMultilevel"/>
    <w:tmpl w:val="396C42C8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7A8F0AB3"/>
    <w:multiLevelType w:val="hybridMultilevel"/>
    <w:tmpl w:val="C5640A08"/>
    <w:lvl w:ilvl="0" w:tplc="3B524D4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707C2"/>
    <w:rsid w:val="000263EC"/>
    <w:rsid w:val="00042FB3"/>
    <w:rsid w:val="00043769"/>
    <w:rsid w:val="0004523A"/>
    <w:rsid w:val="000508AB"/>
    <w:rsid w:val="00050B61"/>
    <w:rsid w:val="000727A2"/>
    <w:rsid w:val="0008327D"/>
    <w:rsid w:val="00086977"/>
    <w:rsid w:val="000B45F1"/>
    <w:rsid w:val="000C6A37"/>
    <w:rsid w:val="000D29C0"/>
    <w:rsid w:val="0010140D"/>
    <w:rsid w:val="001161B7"/>
    <w:rsid w:val="00116B7E"/>
    <w:rsid w:val="00122D8A"/>
    <w:rsid w:val="0013484D"/>
    <w:rsid w:val="00156F91"/>
    <w:rsid w:val="00167DEF"/>
    <w:rsid w:val="001861BB"/>
    <w:rsid w:val="001C2605"/>
    <w:rsid w:val="001D1071"/>
    <w:rsid w:val="001D7799"/>
    <w:rsid w:val="002460B8"/>
    <w:rsid w:val="002545A7"/>
    <w:rsid w:val="0026073B"/>
    <w:rsid w:val="00266465"/>
    <w:rsid w:val="00266488"/>
    <w:rsid w:val="002B4675"/>
    <w:rsid w:val="002C11C5"/>
    <w:rsid w:val="002C1C65"/>
    <w:rsid w:val="002F5859"/>
    <w:rsid w:val="0030062E"/>
    <w:rsid w:val="00302263"/>
    <w:rsid w:val="0030413C"/>
    <w:rsid w:val="003266FB"/>
    <w:rsid w:val="0034370D"/>
    <w:rsid w:val="00352FBB"/>
    <w:rsid w:val="00357284"/>
    <w:rsid w:val="003637E1"/>
    <w:rsid w:val="0037213C"/>
    <w:rsid w:val="00387750"/>
    <w:rsid w:val="00394D75"/>
    <w:rsid w:val="003A1DED"/>
    <w:rsid w:val="003A563D"/>
    <w:rsid w:val="003E2346"/>
    <w:rsid w:val="003F2C55"/>
    <w:rsid w:val="003F346A"/>
    <w:rsid w:val="00405906"/>
    <w:rsid w:val="0041162D"/>
    <w:rsid w:val="004372D1"/>
    <w:rsid w:val="004422A7"/>
    <w:rsid w:val="00450B98"/>
    <w:rsid w:val="00456142"/>
    <w:rsid w:val="004572E5"/>
    <w:rsid w:val="0047702A"/>
    <w:rsid w:val="004805E9"/>
    <w:rsid w:val="00492281"/>
    <w:rsid w:val="004C4242"/>
    <w:rsid w:val="004F791A"/>
    <w:rsid w:val="005046F1"/>
    <w:rsid w:val="0051690F"/>
    <w:rsid w:val="00531E81"/>
    <w:rsid w:val="00534C35"/>
    <w:rsid w:val="00541933"/>
    <w:rsid w:val="0054223E"/>
    <w:rsid w:val="00564444"/>
    <w:rsid w:val="00572898"/>
    <w:rsid w:val="0057563C"/>
    <w:rsid w:val="00586818"/>
    <w:rsid w:val="00595FA9"/>
    <w:rsid w:val="005E40B3"/>
    <w:rsid w:val="0060662B"/>
    <w:rsid w:val="006134A3"/>
    <w:rsid w:val="006144CF"/>
    <w:rsid w:val="00645B20"/>
    <w:rsid w:val="006707C2"/>
    <w:rsid w:val="00681A4A"/>
    <w:rsid w:val="00691914"/>
    <w:rsid w:val="00693247"/>
    <w:rsid w:val="006A138F"/>
    <w:rsid w:val="006A2EE9"/>
    <w:rsid w:val="006B1DD0"/>
    <w:rsid w:val="006D03C9"/>
    <w:rsid w:val="006D1BD3"/>
    <w:rsid w:val="006E04C4"/>
    <w:rsid w:val="007342D7"/>
    <w:rsid w:val="007473C3"/>
    <w:rsid w:val="00775503"/>
    <w:rsid w:val="00785DFE"/>
    <w:rsid w:val="007B516C"/>
    <w:rsid w:val="007D1D62"/>
    <w:rsid w:val="0081313D"/>
    <w:rsid w:val="0081617A"/>
    <w:rsid w:val="00837232"/>
    <w:rsid w:val="008501B7"/>
    <w:rsid w:val="00851D77"/>
    <w:rsid w:val="008649D0"/>
    <w:rsid w:val="00877452"/>
    <w:rsid w:val="00897DFD"/>
    <w:rsid w:val="008C7C85"/>
    <w:rsid w:val="008D13CF"/>
    <w:rsid w:val="008D50F0"/>
    <w:rsid w:val="00923E6F"/>
    <w:rsid w:val="00926822"/>
    <w:rsid w:val="00931D5C"/>
    <w:rsid w:val="00936E82"/>
    <w:rsid w:val="00961114"/>
    <w:rsid w:val="009653F4"/>
    <w:rsid w:val="00975338"/>
    <w:rsid w:val="00982594"/>
    <w:rsid w:val="0098350B"/>
    <w:rsid w:val="009C0513"/>
    <w:rsid w:val="009D5CDA"/>
    <w:rsid w:val="009F39E5"/>
    <w:rsid w:val="00A17420"/>
    <w:rsid w:val="00A23B95"/>
    <w:rsid w:val="00A41F88"/>
    <w:rsid w:val="00A64E92"/>
    <w:rsid w:val="00A7471E"/>
    <w:rsid w:val="00AC0122"/>
    <w:rsid w:val="00AF1839"/>
    <w:rsid w:val="00B06AD8"/>
    <w:rsid w:val="00B221DC"/>
    <w:rsid w:val="00B462C9"/>
    <w:rsid w:val="00B535F7"/>
    <w:rsid w:val="00B907C1"/>
    <w:rsid w:val="00BA18C1"/>
    <w:rsid w:val="00BA4663"/>
    <w:rsid w:val="00BB3F5F"/>
    <w:rsid w:val="00BC3744"/>
    <w:rsid w:val="00BC54EB"/>
    <w:rsid w:val="00BD5C61"/>
    <w:rsid w:val="00BD77D0"/>
    <w:rsid w:val="00BE23D3"/>
    <w:rsid w:val="00C01CB6"/>
    <w:rsid w:val="00C06CE3"/>
    <w:rsid w:val="00C10BF5"/>
    <w:rsid w:val="00C16830"/>
    <w:rsid w:val="00C2615D"/>
    <w:rsid w:val="00C332C4"/>
    <w:rsid w:val="00C407F2"/>
    <w:rsid w:val="00C606A4"/>
    <w:rsid w:val="00C631BC"/>
    <w:rsid w:val="00C66EE6"/>
    <w:rsid w:val="00C778D2"/>
    <w:rsid w:val="00CC2FCB"/>
    <w:rsid w:val="00CD1B2C"/>
    <w:rsid w:val="00D01551"/>
    <w:rsid w:val="00D13647"/>
    <w:rsid w:val="00D500B6"/>
    <w:rsid w:val="00D62DE4"/>
    <w:rsid w:val="00D86282"/>
    <w:rsid w:val="00D92A9D"/>
    <w:rsid w:val="00D9503F"/>
    <w:rsid w:val="00DA61DF"/>
    <w:rsid w:val="00DC7665"/>
    <w:rsid w:val="00DC7CDF"/>
    <w:rsid w:val="00DD09AB"/>
    <w:rsid w:val="00DD7FB0"/>
    <w:rsid w:val="00E03719"/>
    <w:rsid w:val="00E31671"/>
    <w:rsid w:val="00E519E6"/>
    <w:rsid w:val="00E82B24"/>
    <w:rsid w:val="00E87B48"/>
    <w:rsid w:val="00EC360E"/>
    <w:rsid w:val="00EE05F0"/>
    <w:rsid w:val="00EE42F2"/>
    <w:rsid w:val="00F2223C"/>
    <w:rsid w:val="00F26A7E"/>
    <w:rsid w:val="00F321E4"/>
    <w:rsid w:val="00F53445"/>
    <w:rsid w:val="00F74426"/>
    <w:rsid w:val="00FA09F4"/>
    <w:rsid w:val="00FB39F8"/>
    <w:rsid w:val="00FB789B"/>
    <w:rsid w:val="00FC1BE7"/>
    <w:rsid w:val="00FD4307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494DD"/>
  <w15:chartTrackingRefBased/>
  <w15:docId w15:val="{FF7157AB-813E-4E97-90DF-C072126C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2C11C5"/>
    <w:rPr>
      <w:sz w:val="24"/>
      <w:lang w:eastAsia="en-US" w:bidi="he-IL"/>
    </w:rPr>
  </w:style>
  <w:style w:type="paragraph" w:styleId="Sraopastraipa">
    <w:name w:val="List Paragraph"/>
    <w:basedOn w:val="prastasis"/>
    <w:uiPriority w:val="99"/>
    <w:qFormat/>
    <w:rsid w:val="00BA18C1"/>
    <w:pPr>
      <w:ind w:left="720"/>
      <w:contextualSpacing/>
    </w:pPr>
  </w:style>
  <w:style w:type="paragraph" w:customStyle="1" w:styleId="EmptyCellLayoutStyle">
    <w:name w:val="EmptyCellLayoutStyle"/>
    <w:rsid w:val="00C606A4"/>
    <w:pPr>
      <w:spacing w:after="160" w:line="259" w:lineRule="auto"/>
    </w:pPr>
    <w:rPr>
      <w:sz w:val="2"/>
    </w:rPr>
  </w:style>
  <w:style w:type="paragraph" w:styleId="Betarp">
    <w:name w:val="No Spacing"/>
    <w:link w:val="BetarpDiagrama"/>
    <w:uiPriority w:val="1"/>
    <w:qFormat/>
    <w:rsid w:val="00C606A4"/>
    <w:pPr>
      <w:jc w:val="both"/>
    </w:pPr>
    <w:rPr>
      <w:rFonts w:ascii="Open Sans" w:hAnsi="Open Sans"/>
      <w:sz w:val="21"/>
      <w:szCs w:val="21"/>
      <w:lang w:val="en-US" w:eastAsia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C606A4"/>
    <w:rPr>
      <w:rFonts w:ascii="Open Sans" w:hAnsi="Open San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A8AE-50CC-4E0E-9C47-A7A508F9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3</Pages>
  <Words>2920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2023-09-12   SPRENDIMAS   Nr. T-</vt:lpstr>
      <vt:lpstr> </vt:lpstr>
    </vt:vector>
  </TitlesOfParts>
  <Manager>Savivaldybės meras Visvaldas</Manager>
  <Company>KAUNO MIESTO SAVIVALDYBĖ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2023-09-12   SPRENDIMAS   Nr. T-</dc:title>
  <dc:subject>DĖL KAUNO MIESTO SAVIVALDYBĖS TARYBOS 2023 M. VASARIO 7 D. SPRENDIMO NR. T-1 „DĖL KAUNO MIESTO SAVIVALDYBĖS 2023–2025 METŲ STRATEGINIO VEIKLOS PLANO PATVIRTINIMO“ PAKEITIMO</dc:subject>
  <dc:creator>Windows User</dc:creator>
  <cp:keywords/>
  <cp:lastModifiedBy>Laura Bačiliūnienė</cp:lastModifiedBy>
  <cp:revision>2</cp:revision>
  <cp:lastPrinted>2023-09-13T06:05:00Z</cp:lastPrinted>
  <dcterms:created xsi:type="dcterms:W3CDTF">2023-09-18T06:22:00Z</dcterms:created>
  <dcterms:modified xsi:type="dcterms:W3CDTF">2023-09-18T06:22:00Z</dcterms:modified>
</cp:coreProperties>
</file>