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9A2F51" w:rsidTr="009A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A2F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7A157A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7A157A"/>
        </w:tc>
        <w:tc>
          <w:tcPr>
            <w:tcW w:w="1133" w:type="dxa"/>
          </w:tcPr>
          <w:p w:rsidR="00000000" w:rsidRDefault="007A157A">
            <w:pPr>
              <w:pStyle w:val="EmptyLayoutCell"/>
            </w:pPr>
          </w:p>
        </w:tc>
      </w:tr>
      <w:tr w:rsidR="009A2F51" w:rsidTr="009A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9A2F51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000000" w:rsidRDefault="007A157A"/>
        </w:tc>
        <w:tc>
          <w:tcPr>
            <w:tcW w:w="1133" w:type="dxa"/>
          </w:tcPr>
          <w:p w:rsidR="00000000" w:rsidRDefault="007A157A">
            <w:pPr>
              <w:pStyle w:val="EmptyLayoutCell"/>
            </w:pPr>
          </w:p>
        </w:tc>
      </w:tr>
      <w:tr w:rsidR="009A2F51" w:rsidTr="009A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7A157A"/>
        </w:tc>
        <w:tc>
          <w:tcPr>
            <w:tcW w:w="1133" w:type="dxa"/>
          </w:tcPr>
          <w:p w:rsidR="00000000" w:rsidRDefault="007A157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7A157A">
            <w:pPr>
              <w:pStyle w:val="EmptyLayoutCell"/>
            </w:pPr>
          </w:p>
        </w:tc>
        <w:tc>
          <w:tcPr>
            <w:tcW w:w="847" w:type="dxa"/>
          </w:tcPr>
          <w:p w:rsidR="00000000" w:rsidRDefault="007A157A">
            <w:pPr>
              <w:pStyle w:val="EmptyLayoutCell"/>
            </w:pPr>
          </w:p>
        </w:tc>
        <w:tc>
          <w:tcPr>
            <w:tcW w:w="2383" w:type="dxa"/>
          </w:tcPr>
          <w:p w:rsidR="00000000" w:rsidRDefault="007A157A">
            <w:pPr>
              <w:pStyle w:val="EmptyLayoutCell"/>
            </w:pPr>
          </w:p>
        </w:tc>
        <w:tc>
          <w:tcPr>
            <w:tcW w:w="1133" w:type="dxa"/>
          </w:tcPr>
          <w:p w:rsidR="00000000" w:rsidRDefault="007A157A">
            <w:pPr>
              <w:pStyle w:val="EmptyLayoutCell"/>
            </w:pPr>
          </w:p>
        </w:tc>
      </w:tr>
      <w:tr w:rsidR="009A2F51" w:rsidTr="009A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2023-05-15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9A2F51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9A2F51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9A2F51">
                    <w:rPr>
                      <w:color w:val="000000"/>
                      <w:sz w:val="24"/>
                    </w:rPr>
                    <w:t>. K14-D-5</w:t>
                  </w:r>
                </w:p>
              </w:tc>
            </w:tr>
          </w:tbl>
          <w:p w:rsidR="00000000" w:rsidRDefault="007A157A"/>
        </w:tc>
        <w:tc>
          <w:tcPr>
            <w:tcW w:w="1133" w:type="dxa"/>
          </w:tcPr>
          <w:p w:rsidR="00000000" w:rsidRDefault="007A157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7A157A">
            <w:pPr>
              <w:pStyle w:val="EmptyLayoutCell"/>
            </w:pPr>
          </w:p>
        </w:tc>
        <w:tc>
          <w:tcPr>
            <w:tcW w:w="847" w:type="dxa"/>
          </w:tcPr>
          <w:p w:rsidR="00000000" w:rsidRDefault="007A157A">
            <w:pPr>
              <w:pStyle w:val="EmptyLayoutCell"/>
            </w:pPr>
          </w:p>
        </w:tc>
        <w:tc>
          <w:tcPr>
            <w:tcW w:w="2383" w:type="dxa"/>
          </w:tcPr>
          <w:p w:rsidR="00000000" w:rsidRDefault="007A157A">
            <w:pPr>
              <w:pStyle w:val="EmptyLayoutCell"/>
            </w:pPr>
          </w:p>
        </w:tc>
        <w:tc>
          <w:tcPr>
            <w:tcW w:w="1133" w:type="dxa"/>
          </w:tcPr>
          <w:p w:rsidR="00000000" w:rsidRDefault="007A157A">
            <w:pPr>
              <w:pStyle w:val="EmptyLayoutCell"/>
            </w:pPr>
          </w:p>
        </w:tc>
      </w:tr>
      <w:tr w:rsidR="009A2F51" w:rsidTr="009A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A2F51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7A157A"/>
        </w:tc>
        <w:tc>
          <w:tcPr>
            <w:tcW w:w="1133" w:type="dxa"/>
          </w:tcPr>
          <w:p w:rsidR="00000000" w:rsidRDefault="007A157A">
            <w:pPr>
              <w:pStyle w:val="EmptyLayoutCell"/>
            </w:pPr>
          </w:p>
        </w:tc>
      </w:tr>
      <w:tr w:rsidR="009A2F51" w:rsidTr="009A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9A2F51" w:rsidRDefault="009A2F51"/>
          <w:p w:rsidR="009A2F51" w:rsidRPr="009A2F51" w:rsidRDefault="009A2F51" w:rsidP="009A2F5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308 KABINETE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T-162 </w:t>
                  </w:r>
                  <w:r>
                    <w:rPr>
                      <w:color w:val="000000"/>
                      <w:sz w:val="24"/>
                    </w:rPr>
                    <w:t>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komitetų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(TR-235)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A2F51" w:rsidP="009A2F5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</w:t>
                  </w:r>
                  <w:r w:rsidR="007A157A">
                    <w:rPr>
                      <w:b/>
                      <w:color w:val="000000"/>
                      <w:sz w:val="24"/>
                    </w:rPr>
                    <w:t>Audronė Petkienė (</w:t>
                  </w:r>
                  <w:proofErr w:type="spellStart"/>
                  <w:r w:rsidR="007A157A">
                    <w:rPr>
                      <w:b/>
                      <w:color w:val="000000"/>
                      <w:sz w:val="24"/>
                    </w:rPr>
                    <w:t>Tarybos</w:t>
                  </w:r>
                  <w:proofErr w:type="spellEnd"/>
                  <w:r w:rsidR="007A157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A157A">
                    <w:rPr>
                      <w:b/>
                      <w:color w:val="000000"/>
                      <w:sz w:val="24"/>
                    </w:rPr>
                    <w:t>veiklos</w:t>
                  </w:r>
                  <w:proofErr w:type="spellEnd"/>
                  <w:r w:rsidR="007A157A">
                    <w:rPr>
                      <w:b/>
                      <w:color w:val="000000"/>
                      <w:sz w:val="24"/>
                    </w:rPr>
                    <w:t xml:space="preserve"> administravimo </w:t>
                  </w:r>
                  <w:proofErr w:type="spellStart"/>
                  <w:r w:rsidR="007A157A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7A157A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F9079C">
                    <w:rPr>
                      <w:b/>
                      <w:color w:val="000000"/>
                      <w:sz w:val="24"/>
                    </w:rPr>
                    <w:t xml:space="preserve">             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A157A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7A157A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Pr="009A2F51">
                    <w:rPr>
                      <w:b/>
                      <w:color w:val="000000"/>
                      <w:sz w:val="24"/>
                    </w:rPr>
                    <w:t>15:00</w:t>
                  </w:r>
                  <w:r w:rsidRPr="009A2F5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</w:t>
                  </w:r>
                  <w:r>
                    <w:rPr>
                      <w:color w:val="000000"/>
                      <w:sz w:val="24"/>
                    </w:rPr>
                    <w:t>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T-168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daugiabučių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patalpų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valdymo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jungtinės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įstatymų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(TR-248)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A2F51" w:rsidP="009A2F5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7A157A">
                    <w:rPr>
                      <w:b/>
                      <w:color w:val="000000"/>
                      <w:sz w:val="24"/>
                    </w:rPr>
                    <w:t xml:space="preserve"> -  Karolina Sakalauskienė (Būsto modernizavimo, administravimo ir energe</w:t>
                  </w:r>
                  <w:r w:rsidR="007A157A">
                    <w:rPr>
                      <w:b/>
                      <w:color w:val="000000"/>
                      <w:sz w:val="24"/>
                    </w:rPr>
                    <w:t xml:space="preserve">tikos </w:t>
                  </w:r>
                  <w:proofErr w:type="spellStart"/>
                  <w:r w:rsidR="007A157A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7A157A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7A157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A157A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7A157A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</w:t>
                  </w:r>
                  <w:r w:rsidRPr="009A2F51">
                    <w:rPr>
                      <w:b/>
                      <w:color w:val="000000"/>
                      <w:sz w:val="24"/>
                    </w:rPr>
                    <w:t>15:05</w:t>
                  </w:r>
                  <w:r w:rsidRPr="009A2F5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kirsti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kitaip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pašalinti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intensyviai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genėti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saugotinus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želdinius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perskaičiuoti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želdinių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atkuriamosios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sumokėtos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grąžini</w:t>
                  </w:r>
                  <w:r>
                    <w:rPr>
                      <w:color w:val="000000"/>
                      <w:sz w:val="24"/>
                    </w:rPr>
                    <w:t>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(TR-287)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Radeta Savickienė (Aplinkos apsaugos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A2F5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A2F51">
                    <w:rPr>
                      <w:b/>
                      <w:color w:val="000000"/>
                      <w:sz w:val="24"/>
                    </w:rPr>
                    <w:t xml:space="preserve">              </w:t>
                  </w:r>
                  <w:r w:rsidR="009A2F51">
                    <w:rPr>
                      <w:color w:val="000000"/>
                      <w:sz w:val="24"/>
                    </w:rPr>
                    <w:t xml:space="preserve"> 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>15:10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</w:t>
                  </w:r>
                  <w:r>
                    <w:rPr>
                      <w:color w:val="000000"/>
                      <w:sz w:val="24"/>
                    </w:rPr>
                    <w:t>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(TR-277)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A2F5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A2F51">
                    <w:rPr>
                      <w:color w:val="000000"/>
                      <w:sz w:val="24"/>
                    </w:rPr>
                    <w:t xml:space="preserve">           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>15:15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23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T-342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</w:t>
                  </w:r>
                  <w:r>
                    <w:rPr>
                      <w:color w:val="000000"/>
                      <w:sz w:val="24"/>
                    </w:rPr>
                    <w:t>arkavimas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(TR-255)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įkrovimo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viešosiose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prieigose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įkainio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apskaičiavimo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(TR-282)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Martynas Matusevičius (Tr</w:t>
                  </w:r>
                  <w:r>
                    <w:rPr>
                      <w:b/>
                      <w:color w:val="000000"/>
                      <w:sz w:val="24"/>
                    </w:rPr>
                    <w:t xml:space="preserve">ansporto ir eismo organizavimo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A2F5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A2F51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</w:t>
                  </w:r>
                  <w:r w:rsidR="009A2F51">
                    <w:rPr>
                      <w:color w:val="000000"/>
                      <w:sz w:val="24"/>
                    </w:rPr>
                    <w:t xml:space="preserve"> 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>15:25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9A2F51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T-594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reglamento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(TR-231)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T-608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reikšmės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važiuojant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didžiagabaritėmis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sunkiasvo</w:t>
                  </w:r>
                  <w:r>
                    <w:rPr>
                      <w:color w:val="000000"/>
                      <w:sz w:val="24"/>
                    </w:rPr>
                    <w:t>rėmis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    </w:t>
                  </w:r>
                  <w:r>
                    <w:rPr>
                      <w:color w:val="000000"/>
                      <w:sz w:val="24"/>
                    </w:rPr>
                    <w:t xml:space="preserve">(TR-276)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23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T-474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kapinių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tvarkymo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palaikų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</w:t>
                  </w:r>
                  <w:r>
                    <w:rPr>
                      <w:color w:val="000000"/>
                      <w:sz w:val="24"/>
                    </w:rPr>
                    <w:t>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color w:val="000000"/>
                      <w:sz w:val="24"/>
                    </w:rPr>
                    <w:t xml:space="preserve">(TR-284)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30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T-185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šienavimo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Aleksoto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Panemunės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seniūnijose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UAB „K</w:t>
                  </w:r>
                  <w:r>
                    <w:rPr>
                      <w:color w:val="000000"/>
                      <w:sz w:val="24"/>
                    </w:rPr>
                    <w:t xml:space="preserve">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apšvietimas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(TR-288)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30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T-186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šienavimo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Centro,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Vilijampolės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Dainavos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Eigulių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Gričiupio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Petrašiū</w:t>
                  </w:r>
                  <w:r>
                    <w:rPr>
                      <w:color w:val="000000"/>
                      <w:sz w:val="24"/>
                    </w:rPr>
                    <w:t>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Žaliakalnio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seniūnijose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UAB „Kauno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švara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"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(TR-289)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Aloyzas Pakalniškis (Miesto tvarkymo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A2F51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A2F51">
                    <w:rPr>
                      <w:color w:val="000000"/>
                      <w:sz w:val="24"/>
                    </w:rPr>
                    <w:t xml:space="preserve">            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>15:35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Jūratei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Furm</w:t>
                  </w:r>
                  <w:r>
                    <w:rPr>
                      <w:color w:val="000000"/>
                      <w:sz w:val="24"/>
                    </w:rPr>
                    <w:t>anavičienei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Teresei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Kulikauskienei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Jurgitai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Vasiliauskienei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(TR-224)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Mingailai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Teresei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Kulikauskienei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Jurgitai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Vasiliauskienei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(TR-227)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</w:t>
                  </w:r>
                  <w:r>
                    <w:rPr>
                      <w:color w:val="000000"/>
                      <w:sz w:val="24"/>
                    </w:rPr>
                    <w:t>rgitai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Vasiliauskienei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Aušrai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Narkuvienei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Romenai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Čepulienei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(TR-251)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19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T-383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</w:t>
                  </w:r>
                  <w:r>
                    <w:rPr>
                      <w:color w:val="000000"/>
                      <w:sz w:val="24"/>
                    </w:rPr>
                    <w:t>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(TR-260)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Olgai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Ridzevičienei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Dangirai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Naujokienei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Dianai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Macijauskienei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(TR-218)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balsuoti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daugiabučių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nuosavybės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priklausančių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patalpų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Greblikienei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Neringai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Stelmokienei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Olgai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Ridzevičienei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(TR-222)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Lin</w:t>
                  </w:r>
                  <w:r>
                    <w:rPr>
                      <w:color w:val="000000"/>
                      <w:sz w:val="24"/>
                    </w:rPr>
                    <w:t>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Greblikienei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Neringai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Stelmokienei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Olgai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Ridzevičienei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(TR-223)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109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Veiverių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132,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(TR-262)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apsaugos zonas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4</w:t>
                  </w:r>
                  <w:r>
                    <w:rPr>
                      <w:color w:val="000000"/>
                      <w:sz w:val="24"/>
                    </w:rPr>
                    <w:t xml:space="preserve">400-0605-4826)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4400-1004-0056)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Veiverių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ir H. ir O.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Minkovskių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(TR-265)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šilumos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4400-6025-7790)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Pašilės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39A,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(TR-263)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4400-3857-0575) </w:t>
                  </w:r>
                  <w:r w:rsidR="00F9079C">
                    <w:rPr>
                      <w:color w:val="000000"/>
                      <w:sz w:val="24"/>
                    </w:rPr>
                    <w:t xml:space="preserve">                </w:t>
                  </w:r>
                  <w:r>
                    <w:rPr>
                      <w:color w:val="000000"/>
                      <w:sz w:val="24"/>
                    </w:rPr>
                    <w:t xml:space="preserve">L.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Strolio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(TR-266)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šilumos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4400-1039-5443) </w:t>
                  </w:r>
                  <w:r w:rsidR="00F9079C">
                    <w:rPr>
                      <w:color w:val="000000"/>
                      <w:sz w:val="24"/>
                    </w:rPr>
                    <w:t xml:space="preserve">                 </w:t>
                  </w:r>
                  <w:r>
                    <w:rPr>
                      <w:color w:val="000000"/>
                      <w:sz w:val="24"/>
                    </w:rPr>
                    <w:t>A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Juozapavičiaus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20A,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>,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4400-2139-6407)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                            </w:t>
                  </w:r>
                  <w:r>
                    <w:rPr>
                      <w:color w:val="000000"/>
                      <w:sz w:val="24"/>
                    </w:rPr>
                    <w:t xml:space="preserve">A.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Juozapavičiaus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4400-2137-5906)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Tilto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(TR-264)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šilumos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4400-</w:t>
                  </w:r>
                  <w:r>
                    <w:rPr>
                      <w:color w:val="000000"/>
                      <w:sz w:val="24"/>
                    </w:rPr>
                    <w:br/>
                    <w:t xml:space="preserve">4929-6186)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</w:t>
                  </w:r>
                  <w:r>
                    <w:rPr>
                      <w:color w:val="000000"/>
                      <w:sz w:val="24"/>
                    </w:rPr>
                    <w:t>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27,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(TR-267)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šilumos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4400-</w:t>
                  </w:r>
                  <w:r>
                    <w:rPr>
                      <w:color w:val="000000"/>
                      <w:sz w:val="24"/>
                    </w:rPr>
                    <w:br/>
                    <w:t xml:space="preserve">5040-5424)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Karaliaus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Mindaugo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50,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(TR-268)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Partizanų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68,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neatlygintinai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Juozo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Urbšio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progimnazijai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(TR-270) </w:t>
                  </w:r>
                </w:p>
              </w:tc>
            </w:tr>
            <w:tr w:rsidR="00000000" w:rsidTr="009A2F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A157A" w:rsidP="009A2F51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Donatas Valiukas (Nekilnojamojo turto skyrius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A2F51">
                    <w:rPr>
                      <w:color w:val="000000"/>
                      <w:sz w:val="24"/>
                    </w:rPr>
                    <w:t xml:space="preserve">           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>15:55</w:t>
                  </w:r>
                  <w:r w:rsidR="009A2F51" w:rsidRPr="009A2F5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000000" w:rsidRDefault="007A157A" w:rsidP="009A2F51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7A157A" w:rsidP="009A2F51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7A157A" w:rsidP="009A2F51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7A157A" w:rsidP="009A2F51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7A157A" w:rsidP="009A2F51">
            <w:pPr>
              <w:pStyle w:val="EmptyLayoutCell"/>
              <w:jc w:val="both"/>
            </w:pPr>
          </w:p>
        </w:tc>
      </w:tr>
      <w:tr w:rsidR="009A2F51" w:rsidTr="009A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A2F51" w:rsidP="009A2F51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K</w:t>
                  </w:r>
                  <w:r w:rsidR="007A157A">
                    <w:rPr>
                      <w:color w:val="000000"/>
                      <w:sz w:val="24"/>
                    </w:rPr>
                    <w:t>omiteto</w:t>
                  </w:r>
                  <w:proofErr w:type="spellEnd"/>
                  <w:r w:rsidR="007A157A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A157A">
                    <w:rPr>
                      <w:color w:val="000000"/>
                      <w:sz w:val="24"/>
                    </w:rPr>
                    <w:t>pirmininkas</w:t>
                  </w:r>
                  <w:proofErr w:type="spellEnd"/>
                </w:p>
              </w:tc>
            </w:tr>
          </w:tbl>
          <w:p w:rsidR="00000000" w:rsidRDefault="007A157A" w:rsidP="009A2F51">
            <w:pPr>
              <w:jc w:val="both"/>
            </w:pPr>
          </w:p>
        </w:tc>
        <w:tc>
          <w:tcPr>
            <w:tcW w:w="847" w:type="dxa"/>
          </w:tcPr>
          <w:p w:rsidR="00000000" w:rsidRDefault="007A157A" w:rsidP="009A2F51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9079C" w:rsidP="009A2F5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</w:t>
                  </w:r>
                  <w:r w:rsidR="007A157A">
                    <w:rPr>
                      <w:color w:val="000000"/>
                      <w:sz w:val="24"/>
                    </w:rPr>
                    <w:t>Rosvydas Marcinkevičius</w:t>
                  </w:r>
                </w:p>
              </w:tc>
            </w:tr>
          </w:tbl>
          <w:p w:rsidR="00000000" w:rsidRDefault="007A157A" w:rsidP="009A2F51">
            <w:pPr>
              <w:jc w:val="both"/>
            </w:pPr>
          </w:p>
        </w:tc>
      </w:tr>
    </w:tbl>
    <w:p w:rsidR="00000000" w:rsidRDefault="007A157A" w:rsidP="009A2F51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157A">
      <w:r>
        <w:separator/>
      </w:r>
    </w:p>
  </w:endnote>
  <w:endnote w:type="continuationSeparator" w:id="0">
    <w:p w:rsidR="00000000" w:rsidRDefault="007A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157A">
      <w:r>
        <w:separator/>
      </w:r>
    </w:p>
  </w:footnote>
  <w:footnote w:type="continuationSeparator" w:id="0">
    <w:p w:rsidR="00000000" w:rsidRDefault="007A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7A157A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7A157A"/>
      </w:tc>
      <w:tc>
        <w:tcPr>
          <w:tcW w:w="1133" w:type="dxa"/>
        </w:tcPr>
        <w:p w:rsidR="00000000" w:rsidRDefault="007A157A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51"/>
    <w:rsid w:val="007A157A"/>
    <w:rsid w:val="009A2F51"/>
    <w:rsid w:val="00F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90219"/>
  <w15:chartTrackingRefBased/>
  <w15:docId w15:val="{C177F16B-5F1E-4CAF-9F59-3672D2AA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4</cp:revision>
  <dcterms:created xsi:type="dcterms:W3CDTF">2023-05-12T07:01:00Z</dcterms:created>
  <dcterms:modified xsi:type="dcterms:W3CDTF">2023-05-12T07:03:00Z</dcterms:modified>
</cp:coreProperties>
</file>