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5F" w:rsidRDefault="00D7595F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B59C6" w:rsidRDefault="00FB59C6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527E4" w:rsidRPr="006A08E4" w:rsidRDefault="006527E4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8E4">
        <w:rPr>
          <w:rFonts w:ascii="Times New Roman" w:eastAsia="Calibri" w:hAnsi="Times New Roman" w:cs="Times New Roman"/>
          <w:sz w:val="24"/>
          <w:szCs w:val="24"/>
        </w:rPr>
        <w:t>PATVIRTINTA</w:t>
      </w:r>
    </w:p>
    <w:p w:rsidR="003512D2" w:rsidRPr="006A08E4" w:rsidRDefault="003512D2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8E4">
        <w:rPr>
          <w:rFonts w:ascii="Times New Roman" w:eastAsia="Calibri" w:hAnsi="Times New Roman" w:cs="Times New Roman"/>
          <w:sz w:val="24"/>
          <w:szCs w:val="24"/>
        </w:rPr>
        <w:t>Kauno miesto savivaldybės administracijos direktoriaus</w:t>
      </w:r>
    </w:p>
    <w:p w:rsidR="00A872EA" w:rsidRPr="006A08E4" w:rsidRDefault="00EF74EE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8E4">
        <w:rPr>
          <w:rFonts w:ascii="Times New Roman" w:eastAsia="Calibri" w:hAnsi="Times New Roman" w:cs="Times New Roman"/>
          <w:sz w:val="24"/>
          <w:szCs w:val="24"/>
        </w:rPr>
        <w:t>20</w:t>
      </w:r>
      <w:r w:rsidR="00663F4A"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="006E0A4F" w:rsidRPr="006A08E4">
        <w:rPr>
          <w:rFonts w:ascii="Times New Roman" w:eastAsia="Calibri" w:hAnsi="Times New Roman" w:cs="Times New Roman"/>
          <w:sz w:val="24"/>
          <w:szCs w:val="24"/>
        </w:rPr>
        <w:t>m.</w:t>
      </w:r>
      <w:r w:rsidR="00663F4A">
        <w:rPr>
          <w:rFonts w:ascii="Times New Roman" w:eastAsia="Calibri" w:hAnsi="Times New Roman" w:cs="Times New Roman"/>
          <w:sz w:val="24"/>
          <w:szCs w:val="24"/>
        </w:rPr>
        <w:t xml:space="preserve"> gegužės 31 d.</w:t>
      </w:r>
      <w:r w:rsidR="006E0A4F" w:rsidRPr="006A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19B" w:rsidRPr="006A08E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41368E" w:rsidRPr="006A08E4" w:rsidRDefault="006E0A4F" w:rsidP="001A675A">
      <w:pPr>
        <w:spacing w:after="0" w:line="312" w:lineRule="auto"/>
        <w:ind w:left="11340"/>
        <w:contextualSpacing/>
        <w:rPr>
          <w:rStyle w:val="Hipersaitas"/>
          <w:rFonts w:ascii="Times New Roman" w:eastAsia="Calibri" w:hAnsi="Times New Roman" w:cs="Times New Roman"/>
          <w:color w:val="auto"/>
          <w:sz w:val="24"/>
          <w:szCs w:val="24"/>
        </w:rPr>
      </w:pPr>
      <w:r w:rsidRPr="006A08E4">
        <w:rPr>
          <w:rFonts w:ascii="Times New Roman" w:eastAsia="Calibri" w:hAnsi="Times New Roman" w:cs="Times New Roman"/>
          <w:sz w:val="24"/>
          <w:szCs w:val="24"/>
        </w:rPr>
        <w:t>įsakymu Nr.</w:t>
      </w:r>
      <w:r w:rsidR="00EF74EE" w:rsidRPr="006A0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F4A">
        <w:rPr>
          <w:rFonts w:ascii="Times New Roman" w:eastAsia="Calibri" w:hAnsi="Times New Roman" w:cs="Times New Roman"/>
          <w:sz w:val="24"/>
          <w:szCs w:val="24"/>
        </w:rPr>
        <w:t>A-1694</w:t>
      </w:r>
      <w:bookmarkStart w:id="0" w:name="_GoBack"/>
      <w:bookmarkEnd w:id="0"/>
    </w:p>
    <w:p w:rsidR="00942A43" w:rsidRPr="006A08E4" w:rsidRDefault="00942A43" w:rsidP="001A675A">
      <w:pPr>
        <w:spacing w:after="0" w:line="312" w:lineRule="auto"/>
        <w:ind w:left="113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527E4" w:rsidRPr="006A08E4" w:rsidRDefault="006527E4" w:rsidP="00A850DE">
      <w:pPr>
        <w:spacing w:line="360" w:lineRule="auto"/>
        <w:ind w:right="17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08E4">
        <w:rPr>
          <w:rFonts w:ascii="Times New Roman" w:eastAsia="Calibri" w:hAnsi="Times New Roman" w:cs="Times New Roman"/>
          <w:b/>
          <w:sz w:val="24"/>
          <w:szCs w:val="24"/>
        </w:rPr>
        <w:t>KVIETIMAS TEIKTI PARAIŠKAS</w:t>
      </w:r>
      <w:r w:rsidR="00B43DFE" w:rsidRPr="006A08E4">
        <w:rPr>
          <w:rFonts w:ascii="Times New Roman" w:hAnsi="Times New Roman" w:cs="Times New Roman"/>
          <w:sz w:val="24"/>
          <w:szCs w:val="24"/>
        </w:rPr>
        <w:t xml:space="preserve"> </w:t>
      </w:r>
      <w:r w:rsidR="006E0A4F" w:rsidRPr="006A08E4">
        <w:rPr>
          <w:rFonts w:ascii="Times New Roman" w:hAnsi="Times New Roman" w:cs="Times New Roman"/>
          <w:b/>
          <w:sz w:val="24"/>
          <w:szCs w:val="24"/>
        </w:rPr>
        <w:t xml:space="preserve">ĮGYVENDINTI </w:t>
      </w:r>
      <w:r w:rsidR="00EF74EE" w:rsidRPr="006A08E4">
        <w:rPr>
          <w:rFonts w:ascii="Times New Roman" w:eastAsia="Calibri" w:hAnsi="Times New Roman" w:cs="Times New Roman"/>
          <w:b/>
          <w:sz w:val="24"/>
          <w:szCs w:val="24"/>
        </w:rPr>
        <w:t>KAUNO MIESTO SAVIVALDYBĖS 202</w:t>
      </w:r>
      <w:r w:rsidR="00AA41AF" w:rsidRPr="006A08E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F74EE" w:rsidRPr="006A08E4">
        <w:rPr>
          <w:rFonts w:ascii="Times New Roman" w:eastAsia="Calibri" w:hAnsi="Times New Roman" w:cs="Times New Roman"/>
          <w:b/>
          <w:sz w:val="24"/>
          <w:szCs w:val="24"/>
        </w:rPr>
        <w:t>–202</w:t>
      </w:r>
      <w:r w:rsidR="00AA41AF" w:rsidRPr="006A08E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850DE" w:rsidRPr="006A08E4">
        <w:rPr>
          <w:rFonts w:ascii="Times New Roman" w:eastAsia="Calibri" w:hAnsi="Times New Roman" w:cs="Times New Roman"/>
          <w:b/>
          <w:sz w:val="24"/>
          <w:szCs w:val="24"/>
        </w:rPr>
        <w:t xml:space="preserve"> METŲ UŽIMTUMO DIDINIMO PROGRAMOS </w:t>
      </w:r>
      <w:r w:rsidR="00AA41AF" w:rsidRPr="006A08E4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EF74EE" w:rsidRPr="006A08E4">
        <w:rPr>
          <w:rFonts w:ascii="Times New Roman" w:eastAsia="Calibri" w:hAnsi="Times New Roman" w:cs="Times New Roman"/>
          <w:b/>
          <w:sz w:val="24"/>
          <w:szCs w:val="24"/>
        </w:rPr>
        <w:t xml:space="preserve">.3 </w:t>
      </w:r>
      <w:r w:rsidR="00392FDA" w:rsidRPr="006A08E4">
        <w:rPr>
          <w:rFonts w:ascii="Times New Roman" w:eastAsia="Calibri" w:hAnsi="Times New Roman" w:cs="Times New Roman"/>
          <w:b/>
          <w:sz w:val="24"/>
          <w:szCs w:val="24"/>
        </w:rPr>
        <w:t>PRIEMONĘ</w:t>
      </w:r>
      <w:r w:rsidR="00B43DFE" w:rsidRPr="006A08E4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3E4FBA" w:rsidRPr="006A08E4">
        <w:rPr>
          <w:rFonts w:ascii="Times New Roman" w:eastAsia="Times New Roman" w:hAnsi="Times New Roman" w:cs="Times New Roman"/>
          <w:b/>
          <w:bCs/>
          <w:sz w:val="24"/>
          <w:szCs w:val="24"/>
        </w:rPr>
        <w:t>SKATINTI BEDARBIŲ ASMENŲ ĮSITRAUKIMĄ Į DARBO RINKĄ SUKURIANT PERKVALIFIKAVIMO, MOKYMŲ, PROFESINI</w:t>
      </w:r>
      <w:r w:rsidR="00070AC3" w:rsidRPr="006A08E4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  <w:r w:rsidR="003E4FBA" w:rsidRPr="006A08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 KITŲ DARBINIŲ ĮGŪDŽIŲ IR ŽINIŲ SUTEIKIMO GALIMYBES</w:t>
      </w:r>
      <w:r w:rsidR="00337D27" w:rsidRPr="006A08E4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:rsidR="001A675A" w:rsidRPr="006A08E4" w:rsidRDefault="001A675A" w:rsidP="005372C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15323" w:type="dxa"/>
        <w:tblLayout w:type="fixed"/>
        <w:tblLook w:val="04A0" w:firstRow="1" w:lastRow="0" w:firstColumn="1" w:lastColumn="0" w:noHBand="0" w:noVBand="1"/>
      </w:tblPr>
      <w:tblGrid>
        <w:gridCol w:w="666"/>
        <w:gridCol w:w="8"/>
        <w:gridCol w:w="1588"/>
        <w:gridCol w:w="13042"/>
        <w:gridCol w:w="19"/>
      </w:tblGrid>
      <w:tr w:rsidR="00D50F27" w:rsidRPr="006A08E4" w:rsidTr="000A14A7">
        <w:trPr>
          <w:gridAfter w:val="1"/>
          <w:wAfter w:w="19" w:type="dxa"/>
          <w:trHeight w:val="818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420B2A" w:rsidRPr="006A08E4" w:rsidRDefault="00420B2A" w:rsidP="003920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20B2A" w:rsidRPr="006A08E4" w:rsidRDefault="00004A31" w:rsidP="0039203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Finansavimo s</w:t>
            </w:r>
            <w:r w:rsidR="00420B2A" w:rsidRPr="006A08E4">
              <w:rPr>
                <w:rFonts w:ascii="Times New Roman" w:hAnsi="Times New Roman" w:cs="Times New Roman"/>
                <w:sz w:val="24"/>
                <w:szCs w:val="24"/>
              </w:rPr>
              <w:t>ąlygos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420B2A" w:rsidRPr="006A08E4" w:rsidRDefault="00A51650" w:rsidP="00C6065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</w:tc>
      </w:tr>
      <w:tr w:rsidR="00D50F27" w:rsidRPr="006A08E4" w:rsidTr="000A14A7">
        <w:trPr>
          <w:gridAfter w:val="1"/>
          <w:wAfter w:w="19" w:type="dxa"/>
        </w:trPr>
        <w:tc>
          <w:tcPr>
            <w:tcW w:w="675" w:type="dxa"/>
            <w:gridSpan w:val="2"/>
          </w:tcPr>
          <w:p w:rsidR="001E2C8B" w:rsidRPr="006A08E4" w:rsidRDefault="000A6EAE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</w:tcPr>
          <w:p w:rsidR="001E2C8B" w:rsidRPr="006A08E4" w:rsidRDefault="000D0D26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13041" w:type="dxa"/>
          </w:tcPr>
          <w:p w:rsidR="000040B5" w:rsidRPr="006A08E4" w:rsidRDefault="006E0A4F" w:rsidP="0096671F">
            <w:pPr>
              <w:shd w:val="clear" w:color="auto" w:fill="FFFFFF"/>
              <w:tabs>
                <w:tab w:val="left" w:pos="538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Įgyvendinama </w:t>
            </w:r>
            <w:r w:rsidR="00AA41AF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EF74EE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  <w:r w:rsidR="00513629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priemonė „</w:t>
            </w:r>
            <w:r w:rsidR="000040B5" w:rsidRPr="006A08E4">
              <w:rPr>
                <w:rFonts w:ascii="Times New Roman" w:hAnsi="Times New Roman" w:cs="Times New Roman"/>
                <w:sz w:val="24"/>
                <w:szCs w:val="24"/>
              </w:rPr>
              <w:t>Skatinti bedarbių įsitraukimą į darbo rinką sukuriant perkvalifikavimo, mokymų, profesinių ar kitų darbinių įgūdžių ir žinių suteikimo galimybes</w:t>
            </w:r>
            <w:r w:rsidR="00E35B3B" w:rsidRPr="006A08E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040B5"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 (toliau – 17.3 priemonė).</w:t>
            </w:r>
          </w:p>
          <w:p w:rsidR="000A14A7" w:rsidRPr="006A08E4" w:rsidRDefault="000A14A7" w:rsidP="000A14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4A7" w:rsidRPr="006A08E4" w:rsidTr="000A14A7">
        <w:trPr>
          <w:gridAfter w:val="1"/>
          <w:wAfter w:w="19" w:type="dxa"/>
        </w:trPr>
        <w:tc>
          <w:tcPr>
            <w:tcW w:w="675" w:type="dxa"/>
            <w:gridSpan w:val="2"/>
          </w:tcPr>
          <w:p w:rsidR="000A14A7" w:rsidRPr="006A08E4" w:rsidRDefault="000A14A7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8" w:type="dxa"/>
          </w:tcPr>
          <w:p w:rsidR="000A14A7" w:rsidRPr="006A08E4" w:rsidRDefault="000A14A7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/>
                <w:sz w:val="24"/>
                <w:szCs w:val="24"/>
              </w:rPr>
              <w:t>Tinkamos veiklos</w:t>
            </w:r>
          </w:p>
        </w:tc>
        <w:tc>
          <w:tcPr>
            <w:tcW w:w="13041" w:type="dxa"/>
          </w:tcPr>
          <w:p w:rsidR="000A14A7" w:rsidRPr="006A08E4" w:rsidRDefault="00AA41AF" w:rsidP="000A14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2.1</w:t>
            </w:r>
            <w:r w:rsidR="00E35B3B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Tikslinę grupę atitinkančių </w:t>
            </w:r>
            <w:r w:rsidR="000A14A7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asmenų perkvalifikavimas, mokymai, profesinių ar kitų darbinių įgūdžių ir žinių suteikimo galimybės, įdarbinimas.</w:t>
            </w:r>
          </w:p>
          <w:p w:rsidR="00AA41AF" w:rsidRPr="006A08E4" w:rsidRDefault="00AA41AF" w:rsidP="000A14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2.2. Asmenų mokymui gali būti skiriama ne daugiau kaip 2 mėn., o įgyvendinus paraiškoje nurodytas veiklas ne mažiau kaip pusė Kauno miesto savivaldybės 2023–2025 metų užimtumo didinimo programoje (toliau – Programa) dalyvavusių asmenų turi būti įdarbinti ne trumpiau kaip 6 mėn. </w:t>
            </w: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Paraiškoje nurodytų veiklų </w:t>
            </w:r>
            <w:r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pabaigos data laikoma data, iki kurios naudojamos Programos lėšos paraiškoje nurodytoms veikloms finansuoti.</w:t>
            </w:r>
          </w:p>
          <w:p w:rsidR="000A14A7" w:rsidRPr="006A08E4" w:rsidRDefault="00B8776F" w:rsidP="00E35B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AA41AF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Paraiškoj</w:t>
            </w:r>
            <w:r w:rsidR="000A14A7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nurodytos veiklos turi būti įgyvendintos iki 202</w:t>
            </w:r>
            <w:r w:rsidR="00EF6039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0A14A7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m. gruodžio </w:t>
            </w:r>
            <w:r w:rsidR="00EF6039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0A14A7" w:rsidRPr="006A0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dienos.</w:t>
            </w:r>
          </w:p>
        </w:tc>
      </w:tr>
      <w:tr w:rsidR="00D50F27" w:rsidRPr="006A08E4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:rsidR="001C2B27" w:rsidRPr="006A08E4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88" w:type="dxa"/>
          </w:tcPr>
          <w:p w:rsidR="001C2B27" w:rsidRPr="006A08E4" w:rsidRDefault="001C2B27" w:rsidP="0034128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Tikslinė grupė</w:t>
            </w:r>
          </w:p>
        </w:tc>
        <w:tc>
          <w:tcPr>
            <w:tcW w:w="13046" w:type="dxa"/>
          </w:tcPr>
          <w:p w:rsidR="0095392D" w:rsidRPr="006A08E4" w:rsidRDefault="00EB350E" w:rsidP="00D7595F">
            <w:pPr>
              <w:tabs>
                <w:tab w:val="left" w:pos="1701"/>
              </w:tabs>
              <w:spacing w:line="360" w:lineRule="auto"/>
              <w:ind w:right="17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EE2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Užimtumo tarnybos prie Lietuvos Respublikos socialinės apsaugos ir darbo ministerijos Kauno skyriuje registruoti kaip bedarbiai (suteiktas bedarbio statusas) (bedarbio statusas nebūtinas Lietuvos Respublikos užimtumo įstatymo (toliau – Įstatymas) 48 straipsnio 2 dalies 11 punkte nurodytiems asmenims) ir bent vienai Įstatymo 48 straipsnio 2 dalyje nurodytai tikslinei grupei priskirtini asmenys, kurių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deklaruota</w:t>
            </w:r>
            <w:r w:rsidRPr="00EE2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0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gyvenamoji </w:t>
            </w:r>
            <w:r w:rsidRPr="00EE22CE">
              <w:rPr>
                <w:rFonts w:ascii="Times New Roman" w:eastAsia="Calibri" w:hAnsi="Times New Roman" w:cs="Times New Roman"/>
                <w:sz w:val="24"/>
                <w:szCs w:val="24"/>
              </w:rPr>
              <w:t>vieta Kauno mieste (</w:t>
            </w:r>
            <w:r w:rsidRPr="00EE22C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už tikslinės grupės atranką ir atitiktį šiame kvietime nustatytiems reikalavimams atsakingas pareiškėjas).</w:t>
            </w:r>
          </w:p>
        </w:tc>
      </w:tr>
      <w:tr w:rsidR="00D50F27" w:rsidRPr="006A08E4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:rsidR="00A05C4C" w:rsidRPr="006A08E4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C4C" w:rsidRPr="006A0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95392D" w:rsidRPr="006A08E4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Tinkamos </w:t>
            </w:r>
          </w:p>
          <w:p w:rsidR="00A05C4C" w:rsidRPr="006A08E4" w:rsidRDefault="0095392D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finansuoti </w:t>
            </w:r>
            <w:r w:rsidR="00A05C4C" w:rsidRPr="006A08E4">
              <w:rPr>
                <w:rFonts w:ascii="Times New Roman" w:hAnsi="Times New Roman" w:cs="Times New Roman"/>
                <w:sz w:val="24"/>
                <w:szCs w:val="24"/>
              </w:rPr>
              <w:t>išlaidos</w:t>
            </w:r>
          </w:p>
        </w:tc>
        <w:tc>
          <w:tcPr>
            <w:tcW w:w="13046" w:type="dxa"/>
          </w:tcPr>
          <w:p w:rsidR="00070AC3" w:rsidRPr="006A08E4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0AC3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.1. </w:t>
            </w:r>
            <w:r w:rsidR="0095392D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Įdarbinto asmens ir dalyvaujančio mokymo programoje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asmens darbo užmokestis 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(įskaitant visus mokesčius).</w:t>
            </w:r>
          </w:p>
          <w:p w:rsidR="00070AC3" w:rsidRPr="006A08E4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.2</w:t>
            </w:r>
            <w:r w:rsidR="00070AC3" w:rsidRPr="006A08E4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. 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Asmens, kuris moko</w:t>
            </w:r>
            <w:r w:rsidR="00E35B3B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bet </w:t>
            </w:r>
            <w:r w:rsidR="00E35B3B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 ilgiau kaip 2 mėn.)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darbo užmokestis (įskaitant visus mokesčius)</w:t>
            </w:r>
            <w:r w:rsidR="00E92C4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070AC3" w:rsidRPr="006A08E4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.3.</w:t>
            </w:r>
            <w:r w:rsidR="00070AC3" w:rsidRPr="006A08E4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0E4E80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medžiagų ir priemonių, reikalingų</w:t>
            </w:r>
            <w:r w:rsidR="00947B1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364D4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asmens mokymui</w:t>
            </w:r>
            <w:r w:rsidR="000E4E80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įsigijimo išlaidos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070AC3" w:rsidRPr="006A08E4" w:rsidRDefault="005D18DF" w:rsidP="002837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.4. Asmens</w:t>
            </w:r>
            <w:r w:rsidR="00947B1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vykimo į darbo vietą ir iš </w:t>
            </w:r>
            <w:r w:rsidR="00D13105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vietos</w:t>
            </w:r>
            <w:r w:rsidR="00947B1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išlaidos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337D27" w:rsidRPr="006A08E4" w:rsidRDefault="005D18DF" w:rsidP="00337D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.5. D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arbo vietos įrengimo (atnaujinimo) išlaidos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B02187" w:rsidRPr="006A08E4" w:rsidRDefault="005D18DF" w:rsidP="009364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.6. </w:t>
            </w:r>
            <w:r w:rsidR="00B0218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Ilgalaikio turto vieneto vertė – 10000 </w:t>
            </w:r>
            <w:proofErr w:type="spellStart"/>
            <w:r w:rsidR="00B0218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="00B0218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turi sudaryti ne didesnę nei 20 proc. visos sąmatos sumos.</w:t>
            </w:r>
          </w:p>
          <w:p w:rsidR="006945A4" w:rsidRPr="006A08E4" w:rsidRDefault="00B02187" w:rsidP="009364D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4.7. </w:t>
            </w:r>
            <w:r w:rsidR="00337D27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itos išlaidos (įskaitant visus mokesčius), tiesiogiai susijusios su asmens mokymu, perkvalifikavimu (</w:t>
            </w:r>
            <w:r w:rsidR="009364D4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paraiškoje </w:t>
            </w:r>
            <w:r w:rsidR="00070AC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konkrečiai turi būti nurodytas šių išlaidų ryšys su vykdoma veikla). </w:t>
            </w:r>
          </w:p>
        </w:tc>
      </w:tr>
      <w:tr w:rsidR="00D50F27" w:rsidRPr="006A08E4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:rsidR="00A05C4C" w:rsidRPr="006A08E4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5C4C" w:rsidRPr="006A0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95392D" w:rsidRPr="006A08E4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Netinkamos </w:t>
            </w:r>
          </w:p>
          <w:p w:rsidR="0095392D" w:rsidRPr="006A08E4" w:rsidRDefault="0095392D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finansuoti</w:t>
            </w:r>
          </w:p>
          <w:p w:rsidR="00A05C4C" w:rsidRPr="006A08E4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išlaidos</w:t>
            </w:r>
          </w:p>
        </w:tc>
        <w:tc>
          <w:tcPr>
            <w:tcW w:w="13046" w:type="dxa"/>
          </w:tcPr>
          <w:p w:rsidR="002D346A" w:rsidRPr="006A08E4" w:rsidRDefault="00337D27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Paraiškos rengimo išlaidos.</w:t>
            </w:r>
          </w:p>
          <w:p w:rsidR="00F56484" w:rsidRPr="006A08E4" w:rsidRDefault="00337D27" w:rsidP="00947B13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ind w:left="3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</w:t>
            </w:r>
            <w:r w:rsidR="00694352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šlaidos, tiesiogiai </w:t>
            </w:r>
            <w:r w:rsidR="00F56484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</w:t>
            </w:r>
            <w:r w:rsidR="00694352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susijusios su asmens mokymu, perkvalifikavimu (pavyzdžiui, </w:t>
            </w:r>
            <w:r w:rsidR="0041404A" w:rsidRPr="006A08E4">
              <w:rPr>
                <w:rFonts w:ascii="Times New Roman" w:hAnsi="Times New Roman" w:cs="Times New Roman"/>
                <w:sz w:val="24"/>
                <w:szCs w:val="24"/>
              </w:rPr>
              <w:t>mokymams, skirtiems komandos, organizacijos kultūrai formuoti, asmeniniam efektyvumui ugdyti, konfliktams spręsti, stresui valdyti, laikui planuoti, bendravimui, motyvavimui, emociniam intelektui, lyderystei, pozityviam mąstymui, kūrybiškumui ugdyti ir pan.)</w:t>
            </w:r>
            <w:r w:rsidR="00A850DE"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, mokymai, privalomi pagal </w:t>
            </w: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Lietuvos Respublikos teisės aktus (d</w:t>
            </w:r>
            <w:r w:rsidR="00A850DE" w:rsidRPr="006A08E4">
              <w:rPr>
                <w:rFonts w:ascii="Times New Roman" w:hAnsi="Times New Roman" w:cs="Times New Roman"/>
                <w:sz w:val="24"/>
                <w:szCs w:val="24"/>
              </w:rPr>
              <w:t>arbų saugos</w:t>
            </w: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, priešgaisrinės saugos ir kt.).</w:t>
            </w:r>
            <w:r w:rsidR="00A850DE"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04A" w:rsidRPr="006A08E4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92D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Išlaidos b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audo</w:t>
            </w:r>
            <w:r w:rsidR="0095392D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ms, delspinigiams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, finansinėms nuo</w:t>
            </w: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baudoms, bylinėjimosi išlaidos.</w:t>
            </w:r>
          </w:p>
          <w:p w:rsidR="0022279E" w:rsidRPr="006A08E4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šlaidos paskolų palūkanom</w:t>
            </w:r>
            <w:r w:rsidR="009364D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s ir skoloms padengti</w:t>
            </w: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2279E" w:rsidRPr="006A08E4" w:rsidRDefault="006945A4" w:rsidP="005D18DF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14A2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17.3 p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riemonės įgyvendinimo išlaidos, finansuojam</w:t>
            </w: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os iš kitų finansavimo šaltinių.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2279E" w:rsidRPr="006A08E4" w:rsidRDefault="006945A4" w:rsidP="009211B7">
            <w:pPr>
              <w:pStyle w:val="Sraopastraipa"/>
              <w:numPr>
                <w:ilvl w:val="1"/>
                <w:numId w:val="23"/>
              </w:numPr>
              <w:tabs>
                <w:tab w:val="left" w:pos="59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šlaidos ilgalaikiam materialiajam ir nematerialiajam turtui, tiesiogiai nesusijusiam su </w:t>
            </w:r>
            <w:r w:rsidR="004214A2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17.3 </w:t>
            </w:r>
            <w:r w:rsidR="009211B7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įgyvendinimu, įsigyti.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2279E" w:rsidRPr="006A08E4" w:rsidRDefault="00947B13" w:rsidP="00947B13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5.7.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11B7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Pareiškėjo veiklos plėtros ar jo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kasdienės veiklos </w:t>
            </w:r>
            <w:r w:rsidR="00F27121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išlaidos 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(pavyzdžiui, biuro nuomai ar komunalinėms paslaugoms),</w:t>
            </w:r>
            <w:r w:rsidR="0041404A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tiesiogiai nesusij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usios su</w:t>
            </w:r>
            <w:r w:rsidR="004214A2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17.3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11B7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įgyvendinimu.</w:t>
            </w:r>
          </w:p>
          <w:p w:rsidR="0022279E" w:rsidRPr="006A08E4" w:rsidRDefault="005D42BB" w:rsidP="005D42BB">
            <w:p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5.8. 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šlaidos pastatų ir patalpų remontui, tiesiogiai nesusijusiam su </w:t>
            </w:r>
            <w:r w:rsidR="004214A2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17.3 </w:t>
            </w:r>
            <w:r w:rsidR="009211B7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priemonės 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įgyvendinimu.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6CBE" w:rsidRPr="006A08E4" w:rsidRDefault="005D42BB" w:rsidP="00EB7798">
            <w:pPr>
              <w:tabs>
                <w:tab w:val="left" w:pos="599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5.9. 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šlaidos, skirtos veikloms, kurios bet kokiomis formomis, metodais ar būdais pažeidžia Lietuvos Respublikos Konstituciją, įstatymus ir kitus teisė</w:t>
            </w:r>
            <w:r w:rsidR="009211B7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s aktus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50F27" w:rsidRPr="006A08E4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:rsidR="00A05C4C" w:rsidRPr="006A08E4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05C4C" w:rsidRPr="006A0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6945A4" w:rsidRPr="006A08E4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Reikalavimai pareiškėjams</w:t>
            </w:r>
          </w:p>
        </w:tc>
        <w:tc>
          <w:tcPr>
            <w:tcW w:w="13046" w:type="dxa"/>
          </w:tcPr>
          <w:p w:rsidR="00886CBE" w:rsidRPr="006A08E4" w:rsidRDefault="00886CBE" w:rsidP="00EF7C2C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6945A4" w:rsidRPr="006A08E4">
              <w:rPr>
                <w:rFonts w:ascii="Times New Roman" w:hAnsi="Times New Roman" w:cs="Times New Roman"/>
                <w:sz w:val="24"/>
                <w:szCs w:val="24"/>
              </w:rPr>
              <w:t>Pareiškėjais gali būti d</w:t>
            </w:r>
            <w:r w:rsidR="00B34B5F" w:rsidRPr="006A08E4">
              <w:rPr>
                <w:rFonts w:ascii="Times New Roman" w:hAnsi="Times New Roman" w:cs="Times New Roman"/>
                <w:sz w:val="24"/>
                <w:szCs w:val="24"/>
              </w:rPr>
              <w:t>arbdaviai, kurių nuolatinė buveinė yra Lietuvos Respublikoje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 ir veikianty</w:t>
            </w: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s Kauno mieste</w:t>
            </w:r>
            <w:r w:rsidR="006D0C7A" w:rsidRPr="006A0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C5E" w:rsidRPr="006A08E4" w:rsidRDefault="0001582E" w:rsidP="00EF7C2C">
            <w:pPr>
              <w:tabs>
                <w:tab w:val="left" w:pos="59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6.2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Pareiškėjas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įgyvendindamas </w:t>
            </w:r>
            <w:r w:rsidR="004214A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17.3 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priemonę,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įsipareigoja įdarbinti 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Kauno miesto s</w:t>
            </w:r>
            <w:r w:rsidR="00276C5E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avivaldybės siunčiamus asmenis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276C5E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dalyvaujančius Programoje, jei 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tuo </w:t>
            </w:r>
            <w:r w:rsidR="00276C5E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metu 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jis </w:t>
            </w:r>
            <w:r w:rsidR="00276C5E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 l</w:t>
            </w:r>
            <w:r w:rsidR="00EF7C2C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aisvų darbo vietų, sukurtų pagal p</w:t>
            </w:r>
            <w:r w:rsidR="00276C5E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araišką.</w:t>
            </w:r>
          </w:p>
          <w:p w:rsidR="00886CBE" w:rsidRPr="006A08E4" w:rsidRDefault="00EF7C2C" w:rsidP="00EF7C2C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6.3. </w:t>
            </w:r>
            <w:r w:rsidR="0062516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Pareišk</w:t>
            </w:r>
            <w:r w:rsidR="00E35B3B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ėjas įsipareigoja neįtraukti į P</w:t>
            </w:r>
            <w:r w:rsidR="0062516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rogramą 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="0062516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ikslinės grupės asmenų, kurie su 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juo </w:t>
            </w:r>
            <w:r w:rsidR="0062516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susiję 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šiais </w:t>
            </w:r>
            <w:r w:rsidR="0062516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giminystės ryšiais: tėvai, vaikai, broliai, seserys, sutuoktiniai.</w:t>
            </w:r>
          </w:p>
        </w:tc>
      </w:tr>
      <w:tr w:rsidR="00D50F27" w:rsidRPr="006A08E4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:rsidR="00A05C4C" w:rsidRPr="006A08E4" w:rsidRDefault="005D18DF" w:rsidP="009E36A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5C4C" w:rsidRPr="006A0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A05C4C" w:rsidRPr="006A08E4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Finansavimo intensyvumas</w:t>
            </w:r>
          </w:p>
        </w:tc>
        <w:tc>
          <w:tcPr>
            <w:tcW w:w="13046" w:type="dxa"/>
          </w:tcPr>
          <w:p w:rsidR="00BC3A5C" w:rsidRPr="006A08E4" w:rsidRDefault="00D56063" w:rsidP="007F141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7.1. 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14A2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17.3 p</w:t>
            </w: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riemonei 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įgyvendinti gali būti skiriama </w:t>
            </w:r>
            <w:r w:rsidR="00BC3A5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lėšų </w:t>
            </w:r>
            <w:r w:rsidR="00D13105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iki 100 proc. (atsižvelgiant į 4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punkte nurodytas išlaidų grupes) tinkamų finansuoti išlaidų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padengti. </w:t>
            </w:r>
          </w:p>
          <w:p w:rsidR="00A05C4C" w:rsidRPr="006A08E4" w:rsidRDefault="00BC3A5C" w:rsidP="007F141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7.2. 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Pareiškėjo ir (ar) kitų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finansavimo šaltinių įnašas suteikia galimybę gauti papildomų vertinimo balų</w:t>
            </w:r>
            <w:r w:rsidR="007F1411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D43C6" w:rsidRPr="006A08E4" w:rsidRDefault="00ED43C6" w:rsidP="002E518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7.3. </w:t>
            </w:r>
            <w:r w:rsidR="002E518A" w:rsidRPr="006A08E4">
              <w:rPr>
                <w:rFonts w:ascii="Times New Roman" w:hAnsi="Times New Roman"/>
                <w:sz w:val="24"/>
                <w:szCs w:val="24"/>
              </w:rPr>
              <w:t>Konkrečioms išlaidoms</w:t>
            </w:r>
            <w:r w:rsidRPr="006A0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121" w:rsidRPr="006A08E4">
              <w:rPr>
                <w:rFonts w:ascii="Times New Roman" w:hAnsi="Times New Roman"/>
                <w:sz w:val="24"/>
                <w:szCs w:val="24"/>
              </w:rPr>
              <w:t xml:space="preserve">finansuoti </w:t>
            </w:r>
            <w:r w:rsidRPr="006A08E4">
              <w:rPr>
                <w:rFonts w:ascii="Times New Roman" w:hAnsi="Times New Roman"/>
                <w:sz w:val="24"/>
                <w:szCs w:val="24"/>
              </w:rPr>
              <w:t>taikomos paraiškos formoje nurodytos</w:t>
            </w:r>
            <w:r w:rsidR="00F27121" w:rsidRPr="006A08E4">
              <w:rPr>
                <w:rFonts w:ascii="Times New Roman" w:hAnsi="Times New Roman"/>
                <w:sz w:val="24"/>
                <w:szCs w:val="24"/>
              </w:rPr>
              <w:t xml:space="preserve"> finansavimo</w:t>
            </w:r>
            <w:r w:rsidRPr="006A08E4">
              <w:rPr>
                <w:rFonts w:ascii="Times New Roman" w:hAnsi="Times New Roman"/>
                <w:sz w:val="24"/>
                <w:szCs w:val="24"/>
              </w:rPr>
              <w:t xml:space="preserve"> ribos.</w:t>
            </w:r>
          </w:p>
        </w:tc>
      </w:tr>
      <w:tr w:rsidR="00D50F27" w:rsidRPr="006A08E4" w:rsidTr="000A14A7">
        <w:trPr>
          <w:gridAfter w:val="1"/>
          <w:wAfter w:w="1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A" w:rsidRPr="006A08E4" w:rsidRDefault="00337E1A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A" w:rsidRPr="006A08E4" w:rsidRDefault="00337E1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Paraiškų  rengimo ir teikimo tvarka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A" w:rsidRPr="006A08E4" w:rsidRDefault="00337E1A">
            <w:pPr>
              <w:spacing w:line="33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>8.1. Paraiška rengiama pagal Kauno miesto savivaldybės administracijos direktoriaus įsakymu patvirtintą formą, kurioje nurodyti privalomi pateikti duomenys ir informacija. Paraiška turi būti užpildyta kompiuteriu, lietuvių kalba, atspausdinta ir susegta į lengvai išardomus segtuvus. Paraiškos dokumentai negali būti įrišti spiraliniu ar terminiu būdu, įkišti į įmautes. Visi paraiškos lapai turi būti sunumeruoti eilės tvarka. Ranka užpildytos paraiškos nepriimamos. Paraiška turi būti pasirašyta ją teikiančio juridinio asmen</w:t>
            </w:r>
            <w:r w:rsidR="000E0F82"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>s vadovo ar jo įgalioto asmens.</w:t>
            </w:r>
            <w:r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14A2"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>17.3 p</w:t>
            </w:r>
            <w:r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>riemonei įgyvendinti vienas pareiškėjas gali teikti tik vieną paraišką.</w:t>
            </w:r>
          </w:p>
          <w:p w:rsidR="00337E1A" w:rsidRPr="006A08E4" w:rsidRDefault="00337E1A">
            <w:pPr>
              <w:spacing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8.2. Pateikiamų dokumentų kopijos turi būti patvirtintos teisės aktų nustatyta tvarka.</w:t>
            </w:r>
          </w:p>
          <w:p w:rsidR="000145AE" w:rsidRPr="006A08E4" w:rsidRDefault="00337E1A" w:rsidP="000145AE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8.3. Užpildyta ir pasirašyta nustatytos formos paraiška turi būti siunčiama paštu</w:t>
            </w:r>
            <w:r w:rsidR="00E923FA"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(paraiškos pateikimo data laikoma paraiškos išsiuntimo </w:t>
            </w:r>
            <w:r w:rsidR="00B8776F"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iš pašto </w:t>
            </w:r>
            <w:r w:rsidR="00E923FA"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data) </w:t>
            </w:r>
            <w:r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arba pristatoma į vietą adresu: Kauno miesto savivaldybės administracijos Klientų aptarnavimo ir informavimo skyriaus Asmenų apta</w:t>
            </w:r>
            <w:r w:rsidR="00F27121"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rnavimo poskyris, Laisvės al. 94A</w:t>
            </w:r>
            <w:r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(5 darbo vieta), užklijuotame voke (pakete), ant kurio turi būti užrašyta „Paraiška įgyvendinti</w:t>
            </w:r>
            <w:r w:rsidR="000145AE"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Užimtumo didinimo programos </w:t>
            </w:r>
            <w:r w:rsidR="004214A2"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="000145AE"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.3</w:t>
            </w:r>
            <w:r w:rsidRPr="006A08E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A0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priemonę“, pareiškėjo pavadinimas ir adresas. </w:t>
            </w:r>
          </w:p>
          <w:p w:rsidR="00337E1A" w:rsidRPr="006A08E4" w:rsidRDefault="00337E1A" w:rsidP="00AE19BC">
            <w:pPr>
              <w:spacing w:line="33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 xml:space="preserve">8.4. </w:t>
            </w:r>
            <w:r w:rsidR="008530DC" w:rsidRPr="006A08E4">
              <w:rPr>
                <w:rFonts w:ascii="Times New Roman" w:hAnsi="Times New Roman" w:cs="Times New Roman"/>
                <w:sz w:val="24"/>
                <w:szCs w:val="24"/>
              </w:rPr>
              <w:t>Galutinis paraiškų pateikimo terminas – 2023 m. birželio 30 d. 15.00 val</w:t>
            </w:r>
            <w:r w:rsidR="000E0F82" w:rsidRPr="006A0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F27" w:rsidRPr="006A08E4" w:rsidTr="000A14A7">
        <w:trPr>
          <w:gridAfter w:val="1"/>
          <w:wAfter w:w="14" w:type="dxa"/>
        </w:trPr>
        <w:tc>
          <w:tcPr>
            <w:tcW w:w="675" w:type="dxa"/>
            <w:gridSpan w:val="2"/>
          </w:tcPr>
          <w:p w:rsidR="00A05C4C" w:rsidRPr="006A08E4" w:rsidRDefault="005D18DF" w:rsidP="00622DED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A05C4C" w:rsidRPr="006A0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A05C4C" w:rsidRPr="006A08E4" w:rsidRDefault="00A05C4C" w:rsidP="00B43D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Aktualūs dokumentai</w:t>
            </w:r>
          </w:p>
        </w:tc>
        <w:tc>
          <w:tcPr>
            <w:tcW w:w="13046" w:type="dxa"/>
          </w:tcPr>
          <w:p w:rsidR="006945A4" w:rsidRPr="006A08E4" w:rsidRDefault="00CB67BC" w:rsidP="00D13105">
            <w:pPr>
              <w:spacing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9.1. </w:t>
            </w:r>
            <w:r w:rsidR="003F210B" w:rsidRPr="006A08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miesto savivaldybės 2021–2023</w:t>
            </w:r>
            <w:r w:rsidR="00A05C4C" w:rsidRPr="006A08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metų užimtumo didinimo programa, 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patvirtinta Kauno </w:t>
            </w:r>
            <w:r w:rsidR="003F210B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miesto savivaldybės tarybos </w:t>
            </w:r>
            <w:r w:rsidR="008530D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0E0F82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530D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r w:rsidR="000E0F82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kovo 28 d. sprendimu Nr. T-108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„Dė</w:t>
            </w:r>
            <w:r w:rsidR="003F210B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l Kauno miesto savivaldybės 202</w:t>
            </w:r>
            <w:r w:rsidR="008530D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F210B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8530D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05C4C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užimtumo d</w:t>
            </w:r>
            <w:r w:rsidR="006945A4"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idinimo programos patvirtinimo“.</w:t>
            </w:r>
          </w:p>
          <w:p w:rsidR="00A05C4C" w:rsidRPr="006A08E4" w:rsidRDefault="008530DC" w:rsidP="00D13105">
            <w:pPr>
              <w:spacing w:line="32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9.2. Kauno miesto savivaldybės 2023–2025 metų užimtumo didinimo programos įgyvendinimo </w:t>
            </w: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tvarkos aprašas, patvirtintas Kauno miesto savivaldybės mero 2023 m. gegužės 8 d potvarkiu Nr. M-132 </w:t>
            </w:r>
            <w:r w:rsidRPr="006A08E4">
              <w:rPr>
                <w:rFonts w:ascii="Times New Roman" w:hAnsi="Times New Roman" w:cs="Times New Roman"/>
              </w:rPr>
              <w:t>„</w:t>
            </w:r>
            <w:r w:rsidRPr="006A08E4">
              <w:rPr>
                <w:rFonts w:ascii="Times New Roman" w:eastAsia="Calibri" w:hAnsi="Times New Roman" w:cs="Times New Roman"/>
                <w:sz w:val="24"/>
                <w:szCs w:val="24"/>
              </w:rPr>
              <w:t>Dėl Kauno miesto savivaldybės 2023–2025 metų užimtumo didinimo programos įgyvendinimo tvarkos aprašo patvirtinimo“.</w:t>
            </w:r>
          </w:p>
        </w:tc>
      </w:tr>
      <w:tr w:rsidR="00D50F27" w:rsidRPr="006A08E4" w:rsidTr="000A14A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A" w:rsidRPr="006A08E4" w:rsidRDefault="00337E1A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A" w:rsidRPr="006A08E4" w:rsidRDefault="00337E1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</w:p>
        </w:tc>
        <w:tc>
          <w:tcPr>
            <w:tcW w:w="1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A" w:rsidRPr="006A08E4" w:rsidRDefault="000E0F82" w:rsidP="009105B2">
            <w:pPr>
              <w:spacing w:line="32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Informacija ir konsultacijos</w:t>
            </w:r>
            <w:r w:rsidR="00337E1A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7E1A"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>dėl paraiškų pildymo, teikimo, priėmimo</w:t>
            </w:r>
            <w:r w:rsidR="00F27121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</w:t>
            </w:r>
            <w:r w:rsidR="00337E1A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paraiškų turinio (veiklų pobūdžio, veiklų atitikties </w:t>
            </w:r>
            <w:r w:rsidR="004214A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17.3</w:t>
            </w:r>
            <w:r w:rsidR="009105B2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priemonei ir kt.) teikiamos</w:t>
            </w:r>
            <w:r w:rsidR="00337E1A" w:rsidRPr="006A08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7E1A"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darbo dienomis I–IV nuo 8 val. iki 17 val., V – nuo 8 val. iki 15.45 val. (nuo 12  val. iki 12.45 val. pietūs) telefonu </w:t>
            </w:r>
            <w:r w:rsidR="00337E1A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(8 37) </w:t>
            </w:r>
            <w:r w:rsidR="00661C2F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42 56 25</w:t>
            </w:r>
            <w:r w:rsidR="006175E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9105B2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(8 37) </w:t>
            </w:r>
            <w:r w:rsidR="006175E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20 98 21</w:t>
            </w:r>
            <w:r w:rsidR="00F27121" w:rsidRPr="006A0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elektroniniu paštu</w:t>
            </w:r>
            <w:r w:rsidR="00337E1A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11" w:history="1">
              <w:r w:rsidR="00942A43" w:rsidRPr="006A08E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sigita.liateke@kaunas.lt</w:t>
              </w:r>
            </w:hyperlink>
            <w:r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6175E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6175E3" w:rsidRPr="006A08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rita.baltrusaitiene</w:t>
            </w:r>
            <w:proofErr w:type="spellEnd"/>
            <w:r w:rsidR="006175E3" w:rsidRPr="006A08E4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@</w:t>
            </w:r>
            <w:proofErr w:type="spellStart"/>
            <w:r w:rsidR="006175E3" w:rsidRPr="006A08E4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kaunas.lt</w:t>
            </w:r>
            <w:proofErr w:type="spellEnd"/>
            <w:r w:rsidRPr="006A08E4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</w:tr>
    </w:tbl>
    <w:p w:rsidR="001B55EE" w:rsidRPr="00B0367B" w:rsidRDefault="00CA664F" w:rsidP="004867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08E4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</w:t>
      </w:r>
    </w:p>
    <w:sectPr w:rsidR="001B55EE" w:rsidRPr="00B0367B" w:rsidSect="00277D5B">
      <w:headerReference w:type="default" r:id="rId12"/>
      <w:pgSz w:w="16838" w:h="11906" w:orient="landscape"/>
      <w:pgMar w:top="851" w:right="536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42" w:rsidRDefault="00464942" w:rsidP="00241794">
      <w:pPr>
        <w:spacing w:after="0" w:line="240" w:lineRule="auto"/>
      </w:pPr>
      <w:r>
        <w:separator/>
      </w:r>
    </w:p>
  </w:endnote>
  <w:endnote w:type="continuationSeparator" w:id="0">
    <w:p w:rsidR="00464942" w:rsidRDefault="00464942" w:rsidP="0024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42" w:rsidRDefault="00464942" w:rsidP="00241794">
      <w:pPr>
        <w:spacing w:after="0" w:line="240" w:lineRule="auto"/>
      </w:pPr>
      <w:r>
        <w:separator/>
      </w:r>
    </w:p>
  </w:footnote>
  <w:footnote w:type="continuationSeparator" w:id="0">
    <w:p w:rsidR="00464942" w:rsidRDefault="00464942" w:rsidP="0024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46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4FBA" w:rsidRPr="00E85556" w:rsidRDefault="003E4FBA">
        <w:pPr>
          <w:pStyle w:val="Antrats"/>
          <w:jc w:val="center"/>
          <w:rPr>
            <w:rFonts w:ascii="Times New Roman" w:hAnsi="Times New Roman" w:cs="Times New Roman"/>
          </w:rPr>
        </w:pPr>
        <w:r w:rsidRPr="00E85556">
          <w:rPr>
            <w:rFonts w:ascii="Times New Roman" w:hAnsi="Times New Roman" w:cs="Times New Roman"/>
          </w:rPr>
          <w:fldChar w:fldCharType="begin"/>
        </w:r>
        <w:r w:rsidRPr="00E85556">
          <w:rPr>
            <w:rFonts w:ascii="Times New Roman" w:hAnsi="Times New Roman" w:cs="Times New Roman"/>
          </w:rPr>
          <w:instrText>PAGE   \* MERGEFORMAT</w:instrText>
        </w:r>
        <w:r w:rsidRPr="00E85556">
          <w:rPr>
            <w:rFonts w:ascii="Times New Roman" w:hAnsi="Times New Roman" w:cs="Times New Roman"/>
          </w:rPr>
          <w:fldChar w:fldCharType="separate"/>
        </w:r>
        <w:r w:rsidR="00663F4A">
          <w:rPr>
            <w:rFonts w:ascii="Times New Roman" w:hAnsi="Times New Roman" w:cs="Times New Roman"/>
            <w:noProof/>
          </w:rPr>
          <w:t>4</w:t>
        </w:r>
        <w:r w:rsidRPr="00E8555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F91"/>
    <w:multiLevelType w:val="hybridMultilevel"/>
    <w:tmpl w:val="2D0A60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14CC"/>
    <w:multiLevelType w:val="multilevel"/>
    <w:tmpl w:val="2CE81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4650D91"/>
    <w:multiLevelType w:val="hybridMultilevel"/>
    <w:tmpl w:val="4AA61A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C7A54"/>
    <w:multiLevelType w:val="hybridMultilevel"/>
    <w:tmpl w:val="8E7493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C09E4"/>
    <w:multiLevelType w:val="hybridMultilevel"/>
    <w:tmpl w:val="2CE2394E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C59"/>
    <w:multiLevelType w:val="hybridMultilevel"/>
    <w:tmpl w:val="E40E80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52C76"/>
    <w:multiLevelType w:val="multilevel"/>
    <w:tmpl w:val="C4A80F6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</w:rPr>
    </w:lvl>
  </w:abstractNum>
  <w:abstractNum w:abstractNumId="7" w15:restartNumberingAfterBreak="0">
    <w:nsid w:val="27D43C99"/>
    <w:multiLevelType w:val="hybridMultilevel"/>
    <w:tmpl w:val="CE22A4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9181C"/>
    <w:multiLevelType w:val="hybridMultilevel"/>
    <w:tmpl w:val="4DF2D28E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76029"/>
    <w:multiLevelType w:val="hybridMultilevel"/>
    <w:tmpl w:val="91060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6A73"/>
    <w:multiLevelType w:val="hybridMultilevel"/>
    <w:tmpl w:val="0B5E81DA"/>
    <w:lvl w:ilvl="0" w:tplc="0427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24831"/>
    <w:multiLevelType w:val="hybridMultilevel"/>
    <w:tmpl w:val="624A3C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908EB"/>
    <w:multiLevelType w:val="hybridMultilevel"/>
    <w:tmpl w:val="966C11E4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1508"/>
    <w:multiLevelType w:val="multilevel"/>
    <w:tmpl w:val="64F8D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857E54"/>
    <w:multiLevelType w:val="hybridMultilevel"/>
    <w:tmpl w:val="60F63050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34C8E"/>
    <w:multiLevelType w:val="multilevel"/>
    <w:tmpl w:val="497A1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6" w15:restartNumberingAfterBreak="0">
    <w:nsid w:val="587379BF"/>
    <w:multiLevelType w:val="hybridMultilevel"/>
    <w:tmpl w:val="122447F4"/>
    <w:lvl w:ilvl="0" w:tplc="BC64D4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ED2287"/>
    <w:multiLevelType w:val="hybridMultilevel"/>
    <w:tmpl w:val="C194C0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34D10"/>
    <w:multiLevelType w:val="multilevel"/>
    <w:tmpl w:val="517697D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</w:rPr>
    </w:lvl>
  </w:abstractNum>
  <w:abstractNum w:abstractNumId="19" w15:restartNumberingAfterBreak="0">
    <w:nsid w:val="6BBC6600"/>
    <w:multiLevelType w:val="hybridMultilevel"/>
    <w:tmpl w:val="B16635B0"/>
    <w:lvl w:ilvl="0" w:tplc="64D60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B95"/>
    <w:multiLevelType w:val="hybridMultilevel"/>
    <w:tmpl w:val="25547F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66563"/>
    <w:multiLevelType w:val="hybridMultilevel"/>
    <w:tmpl w:val="E5300C84"/>
    <w:lvl w:ilvl="0" w:tplc="64D60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744A95"/>
    <w:multiLevelType w:val="multilevel"/>
    <w:tmpl w:val="B9B83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20"/>
  </w:num>
  <w:num w:numId="11">
    <w:abstractNumId w:val="7"/>
  </w:num>
  <w:num w:numId="12">
    <w:abstractNumId w:val="21"/>
  </w:num>
  <w:num w:numId="13">
    <w:abstractNumId w:val="19"/>
  </w:num>
  <w:num w:numId="14">
    <w:abstractNumId w:val="10"/>
  </w:num>
  <w:num w:numId="15">
    <w:abstractNumId w:val="11"/>
  </w:num>
  <w:num w:numId="16">
    <w:abstractNumId w:val="0"/>
  </w:num>
  <w:num w:numId="17">
    <w:abstractNumId w:val="15"/>
  </w:num>
  <w:num w:numId="18">
    <w:abstractNumId w:val="5"/>
  </w:num>
  <w:num w:numId="19">
    <w:abstractNumId w:val="17"/>
  </w:num>
  <w:num w:numId="20">
    <w:abstractNumId w:val="13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2A"/>
    <w:rsid w:val="00003C91"/>
    <w:rsid w:val="000040B5"/>
    <w:rsid w:val="00004A31"/>
    <w:rsid w:val="00012DF3"/>
    <w:rsid w:val="000145AE"/>
    <w:rsid w:val="0001582E"/>
    <w:rsid w:val="000263A0"/>
    <w:rsid w:val="000265D3"/>
    <w:rsid w:val="00037E4B"/>
    <w:rsid w:val="00063308"/>
    <w:rsid w:val="00070AC3"/>
    <w:rsid w:val="00082502"/>
    <w:rsid w:val="00083A8A"/>
    <w:rsid w:val="00094D9D"/>
    <w:rsid w:val="000A0B13"/>
    <w:rsid w:val="000A14A7"/>
    <w:rsid w:val="000A3ED2"/>
    <w:rsid w:val="000A6EAE"/>
    <w:rsid w:val="000B40A2"/>
    <w:rsid w:val="000B4D05"/>
    <w:rsid w:val="000C24AF"/>
    <w:rsid w:val="000D0D26"/>
    <w:rsid w:val="000E0F82"/>
    <w:rsid w:val="000E4E80"/>
    <w:rsid w:val="000E5CE4"/>
    <w:rsid w:val="000E61B5"/>
    <w:rsid w:val="000F11E5"/>
    <w:rsid w:val="000F6126"/>
    <w:rsid w:val="00101487"/>
    <w:rsid w:val="00103086"/>
    <w:rsid w:val="00103793"/>
    <w:rsid w:val="00107E74"/>
    <w:rsid w:val="00127D25"/>
    <w:rsid w:val="001367DA"/>
    <w:rsid w:val="00143E3D"/>
    <w:rsid w:val="0014550F"/>
    <w:rsid w:val="001533A3"/>
    <w:rsid w:val="001569FA"/>
    <w:rsid w:val="00160111"/>
    <w:rsid w:val="00162471"/>
    <w:rsid w:val="00162AD3"/>
    <w:rsid w:val="0017608A"/>
    <w:rsid w:val="0019178E"/>
    <w:rsid w:val="00195A6E"/>
    <w:rsid w:val="001A1353"/>
    <w:rsid w:val="001A1AE3"/>
    <w:rsid w:val="001A3E8E"/>
    <w:rsid w:val="001A4C7F"/>
    <w:rsid w:val="001A5F75"/>
    <w:rsid w:val="001A675A"/>
    <w:rsid w:val="001A7AD7"/>
    <w:rsid w:val="001B55EE"/>
    <w:rsid w:val="001C222C"/>
    <w:rsid w:val="001C2B27"/>
    <w:rsid w:val="001C71F0"/>
    <w:rsid w:val="001D2043"/>
    <w:rsid w:val="001D24BC"/>
    <w:rsid w:val="001E0613"/>
    <w:rsid w:val="001E14A9"/>
    <w:rsid w:val="001E1CC6"/>
    <w:rsid w:val="001E2C8B"/>
    <w:rsid w:val="001E3346"/>
    <w:rsid w:val="0020241F"/>
    <w:rsid w:val="00206303"/>
    <w:rsid w:val="00217D2C"/>
    <w:rsid w:val="0022279E"/>
    <w:rsid w:val="002259ED"/>
    <w:rsid w:val="00231136"/>
    <w:rsid w:val="00241794"/>
    <w:rsid w:val="002441BA"/>
    <w:rsid w:val="002511FE"/>
    <w:rsid w:val="00252A2F"/>
    <w:rsid w:val="0026158F"/>
    <w:rsid w:val="0027546B"/>
    <w:rsid w:val="00276C5E"/>
    <w:rsid w:val="00277D5B"/>
    <w:rsid w:val="00282D07"/>
    <w:rsid w:val="00292E9D"/>
    <w:rsid w:val="002945ED"/>
    <w:rsid w:val="002A21A2"/>
    <w:rsid w:val="002A4E94"/>
    <w:rsid w:val="002A60B2"/>
    <w:rsid w:val="002B2301"/>
    <w:rsid w:val="002B42D6"/>
    <w:rsid w:val="002B6867"/>
    <w:rsid w:val="002D11FD"/>
    <w:rsid w:val="002D346A"/>
    <w:rsid w:val="002D51F5"/>
    <w:rsid w:val="002D5398"/>
    <w:rsid w:val="002E0589"/>
    <w:rsid w:val="002E518A"/>
    <w:rsid w:val="002E68EE"/>
    <w:rsid w:val="002F3EB3"/>
    <w:rsid w:val="002F722B"/>
    <w:rsid w:val="00304C4E"/>
    <w:rsid w:val="00304EDF"/>
    <w:rsid w:val="0031441C"/>
    <w:rsid w:val="003251E4"/>
    <w:rsid w:val="003349CF"/>
    <w:rsid w:val="00335CC0"/>
    <w:rsid w:val="00337D27"/>
    <w:rsid w:val="00337E1A"/>
    <w:rsid w:val="00341287"/>
    <w:rsid w:val="003512D2"/>
    <w:rsid w:val="003524F8"/>
    <w:rsid w:val="003525CD"/>
    <w:rsid w:val="0035765B"/>
    <w:rsid w:val="00360C88"/>
    <w:rsid w:val="00362D62"/>
    <w:rsid w:val="00363802"/>
    <w:rsid w:val="0038539A"/>
    <w:rsid w:val="0039203B"/>
    <w:rsid w:val="00392BBA"/>
    <w:rsid w:val="00392FDA"/>
    <w:rsid w:val="003B28F7"/>
    <w:rsid w:val="003B5EA8"/>
    <w:rsid w:val="003C3B8D"/>
    <w:rsid w:val="003D4A39"/>
    <w:rsid w:val="003D685F"/>
    <w:rsid w:val="003E0D82"/>
    <w:rsid w:val="003E37C6"/>
    <w:rsid w:val="003E4FBA"/>
    <w:rsid w:val="003F1816"/>
    <w:rsid w:val="003F210B"/>
    <w:rsid w:val="00401587"/>
    <w:rsid w:val="004016B8"/>
    <w:rsid w:val="0041368E"/>
    <w:rsid w:val="0041404A"/>
    <w:rsid w:val="004140EF"/>
    <w:rsid w:val="0041459A"/>
    <w:rsid w:val="0042057F"/>
    <w:rsid w:val="00420B2A"/>
    <w:rsid w:val="004214A2"/>
    <w:rsid w:val="00426315"/>
    <w:rsid w:val="00426583"/>
    <w:rsid w:val="004351B0"/>
    <w:rsid w:val="00436874"/>
    <w:rsid w:val="004610D4"/>
    <w:rsid w:val="00464942"/>
    <w:rsid w:val="00464FBD"/>
    <w:rsid w:val="00470E55"/>
    <w:rsid w:val="00472C6B"/>
    <w:rsid w:val="004744FE"/>
    <w:rsid w:val="004750F8"/>
    <w:rsid w:val="00485458"/>
    <w:rsid w:val="004867C4"/>
    <w:rsid w:val="00487262"/>
    <w:rsid w:val="00490A99"/>
    <w:rsid w:val="00497133"/>
    <w:rsid w:val="004A0A97"/>
    <w:rsid w:val="004C14D0"/>
    <w:rsid w:val="004D7A73"/>
    <w:rsid w:val="004E043E"/>
    <w:rsid w:val="004F13BB"/>
    <w:rsid w:val="004F285E"/>
    <w:rsid w:val="00500217"/>
    <w:rsid w:val="00504474"/>
    <w:rsid w:val="00513629"/>
    <w:rsid w:val="00522192"/>
    <w:rsid w:val="005232B2"/>
    <w:rsid w:val="005243B6"/>
    <w:rsid w:val="0052719B"/>
    <w:rsid w:val="005372C0"/>
    <w:rsid w:val="00542897"/>
    <w:rsid w:val="00557DF3"/>
    <w:rsid w:val="005641A6"/>
    <w:rsid w:val="005644D0"/>
    <w:rsid w:val="0056644C"/>
    <w:rsid w:val="005714C7"/>
    <w:rsid w:val="00574112"/>
    <w:rsid w:val="00575353"/>
    <w:rsid w:val="0057702D"/>
    <w:rsid w:val="00581296"/>
    <w:rsid w:val="005A623F"/>
    <w:rsid w:val="005A7037"/>
    <w:rsid w:val="005B1DD2"/>
    <w:rsid w:val="005D18DF"/>
    <w:rsid w:val="005D2006"/>
    <w:rsid w:val="005D42BB"/>
    <w:rsid w:val="005D5DEF"/>
    <w:rsid w:val="005E10E0"/>
    <w:rsid w:val="005E2465"/>
    <w:rsid w:val="005F2FFE"/>
    <w:rsid w:val="00603C66"/>
    <w:rsid w:val="00606958"/>
    <w:rsid w:val="00611215"/>
    <w:rsid w:val="00612FBE"/>
    <w:rsid w:val="006175E3"/>
    <w:rsid w:val="00622DED"/>
    <w:rsid w:val="00624224"/>
    <w:rsid w:val="00625162"/>
    <w:rsid w:val="00626719"/>
    <w:rsid w:val="006463CE"/>
    <w:rsid w:val="00650148"/>
    <w:rsid w:val="006527E4"/>
    <w:rsid w:val="0065305C"/>
    <w:rsid w:val="00657ED3"/>
    <w:rsid w:val="00661C2F"/>
    <w:rsid w:val="00663F4A"/>
    <w:rsid w:val="00694352"/>
    <w:rsid w:val="006945A4"/>
    <w:rsid w:val="006A08E4"/>
    <w:rsid w:val="006A1DAC"/>
    <w:rsid w:val="006A7B49"/>
    <w:rsid w:val="006B2E0B"/>
    <w:rsid w:val="006B2FB6"/>
    <w:rsid w:val="006D0C7A"/>
    <w:rsid w:val="006D5158"/>
    <w:rsid w:val="006E0A4F"/>
    <w:rsid w:val="006E3F1B"/>
    <w:rsid w:val="006E4178"/>
    <w:rsid w:val="006F060A"/>
    <w:rsid w:val="00701C25"/>
    <w:rsid w:val="00705033"/>
    <w:rsid w:val="007146F0"/>
    <w:rsid w:val="0073674A"/>
    <w:rsid w:val="0074190D"/>
    <w:rsid w:val="00745840"/>
    <w:rsid w:val="00751EB1"/>
    <w:rsid w:val="00753A9D"/>
    <w:rsid w:val="00754431"/>
    <w:rsid w:val="007553E5"/>
    <w:rsid w:val="00755782"/>
    <w:rsid w:val="00755834"/>
    <w:rsid w:val="00776B45"/>
    <w:rsid w:val="00787F83"/>
    <w:rsid w:val="00792072"/>
    <w:rsid w:val="00796430"/>
    <w:rsid w:val="007A2E5E"/>
    <w:rsid w:val="007A73CA"/>
    <w:rsid w:val="007A785E"/>
    <w:rsid w:val="007B0A28"/>
    <w:rsid w:val="007B6B65"/>
    <w:rsid w:val="007B7304"/>
    <w:rsid w:val="007E12C7"/>
    <w:rsid w:val="007E224F"/>
    <w:rsid w:val="007E644E"/>
    <w:rsid w:val="007F0EB1"/>
    <w:rsid w:val="007F1411"/>
    <w:rsid w:val="008038D8"/>
    <w:rsid w:val="0082016E"/>
    <w:rsid w:val="008324EE"/>
    <w:rsid w:val="00835CEC"/>
    <w:rsid w:val="00846EDB"/>
    <w:rsid w:val="008530DC"/>
    <w:rsid w:val="0085661C"/>
    <w:rsid w:val="008652A4"/>
    <w:rsid w:val="00872D3B"/>
    <w:rsid w:val="00873257"/>
    <w:rsid w:val="00880A36"/>
    <w:rsid w:val="008856FD"/>
    <w:rsid w:val="00885D98"/>
    <w:rsid w:val="00886CBE"/>
    <w:rsid w:val="00896D9A"/>
    <w:rsid w:val="008A5700"/>
    <w:rsid w:val="008C5744"/>
    <w:rsid w:val="008C7D5A"/>
    <w:rsid w:val="008C7E62"/>
    <w:rsid w:val="008D3C22"/>
    <w:rsid w:val="008D3EE2"/>
    <w:rsid w:val="008D58D0"/>
    <w:rsid w:val="008E0D49"/>
    <w:rsid w:val="008E3483"/>
    <w:rsid w:val="008E3BDB"/>
    <w:rsid w:val="008F438A"/>
    <w:rsid w:val="009105B2"/>
    <w:rsid w:val="00912D68"/>
    <w:rsid w:val="009162DF"/>
    <w:rsid w:val="009211B7"/>
    <w:rsid w:val="0092156A"/>
    <w:rsid w:val="00921A9F"/>
    <w:rsid w:val="00923E32"/>
    <w:rsid w:val="00925E5B"/>
    <w:rsid w:val="009364D4"/>
    <w:rsid w:val="00942322"/>
    <w:rsid w:val="00942A43"/>
    <w:rsid w:val="00942AAD"/>
    <w:rsid w:val="00945CD4"/>
    <w:rsid w:val="00947B13"/>
    <w:rsid w:val="0095392D"/>
    <w:rsid w:val="0096671F"/>
    <w:rsid w:val="00970C8C"/>
    <w:rsid w:val="009743AB"/>
    <w:rsid w:val="009754F5"/>
    <w:rsid w:val="0098206E"/>
    <w:rsid w:val="009A01E1"/>
    <w:rsid w:val="009B763B"/>
    <w:rsid w:val="009C1C4B"/>
    <w:rsid w:val="009C5BC8"/>
    <w:rsid w:val="009D17F6"/>
    <w:rsid w:val="009D43FD"/>
    <w:rsid w:val="009D6E42"/>
    <w:rsid w:val="009E36A8"/>
    <w:rsid w:val="009E53EF"/>
    <w:rsid w:val="009E75F0"/>
    <w:rsid w:val="009F229A"/>
    <w:rsid w:val="009F27C3"/>
    <w:rsid w:val="009F5C7D"/>
    <w:rsid w:val="00A05C4C"/>
    <w:rsid w:val="00A145D1"/>
    <w:rsid w:val="00A25FB1"/>
    <w:rsid w:val="00A2618F"/>
    <w:rsid w:val="00A46238"/>
    <w:rsid w:val="00A51650"/>
    <w:rsid w:val="00A51F3E"/>
    <w:rsid w:val="00A52C06"/>
    <w:rsid w:val="00A5431A"/>
    <w:rsid w:val="00A64E68"/>
    <w:rsid w:val="00A74ED2"/>
    <w:rsid w:val="00A850DE"/>
    <w:rsid w:val="00A872EA"/>
    <w:rsid w:val="00A977AB"/>
    <w:rsid w:val="00AA17D1"/>
    <w:rsid w:val="00AA2C24"/>
    <w:rsid w:val="00AA41AF"/>
    <w:rsid w:val="00AB0FFA"/>
    <w:rsid w:val="00AB5528"/>
    <w:rsid w:val="00AB76F9"/>
    <w:rsid w:val="00AC5C33"/>
    <w:rsid w:val="00AD1399"/>
    <w:rsid w:val="00AD51E0"/>
    <w:rsid w:val="00AE19BC"/>
    <w:rsid w:val="00AE4287"/>
    <w:rsid w:val="00AF0165"/>
    <w:rsid w:val="00AF1FB8"/>
    <w:rsid w:val="00AF6556"/>
    <w:rsid w:val="00AF7270"/>
    <w:rsid w:val="00B018B0"/>
    <w:rsid w:val="00B02187"/>
    <w:rsid w:val="00B0367B"/>
    <w:rsid w:val="00B0549E"/>
    <w:rsid w:val="00B1324B"/>
    <w:rsid w:val="00B15082"/>
    <w:rsid w:val="00B15C52"/>
    <w:rsid w:val="00B15ED9"/>
    <w:rsid w:val="00B23DC6"/>
    <w:rsid w:val="00B25F2D"/>
    <w:rsid w:val="00B34B5F"/>
    <w:rsid w:val="00B41363"/>
    <w:rsid w:val="00B43AE3"/>
    <w:rsid w:val="00B43DFE"/>
    <w:rsid w:val="00B45CB8"/>
    <w:rsid w:val="00B6441D"/>
    <w:rsid w:val="00B6520F"/>
    <w:rsid w:val="00B71840"/>
    <w:rsid w:val="00B7237A"/>
    <w:rsid w:val="00B752B1"/>
    <w:rsid w:val="00B77388"/>
    <w:rsid w:val="00B804F0"/>
    <w:rsid w:val="00B84669"/>
    <w:rsid w:val="00B8776F"/>
    <w:rsid w:val="00B93C2E"/>
    <w:rsid w:val="00BC225D"/>
    <w:rsid w:val="00BC2407"/>
    <w:rsid w:val="00BC3A5C"/>
    <w:rsid w:val="00BC439C"/>
    <w:rsid w:val="00BC5CF5"/>
    <w:rsid w:val="00BE233E"/>
    <w:rsid w:val="00BE257B"/>
    <w:rsid w:val="00BE772B"/>
    <w:rsid w:val="00BF1E86"/>
    <w:rsid w:val="00BF34D0"/>
    <w:rsid w:val="00C0139D"/>
    <w:rsid w:val="00C13779"/>
    <w:rsid w:val="00C17084"/>
    <w:rsid w:val="00C21044"/>
    <w:rsid w:val="00C22E87"/>
    <w:rsid w:val="00C24F05"/>
    <w:rsid w:val="00C332AF"/>
    <w:rsid w:val="00C6065A"/>
    <w:rsid w:val="00C6101A"/>
    <w:rsid w:val="00C6160F"/>
    <w:rsid w:val="00C64EE2"/>
    <w:rsid w:val="00C72069"/>
    <w:rsid w:val="00C8451C"/>
    <w:rsid w:val="00C93A6E"/>
    <w:rsid w:val="00C93BFD"/>
    <w:rsid w:val="00C9683F"/>
    <w:rsid w:val="00C96E90"/>
    <w:rsid w:val="00CA1CC2"/>
    <w:rsid w:val="00CA3CFE"/>
    <w:rsid w:val="00CA4912"/>
    <w:rsid w:val="00CA664F"/>
    <w:rsid w:val="00CA7BDD"/>
    <w:rsid w:val="00CB67BC"/>
    <w:rsid w:val="00CB7C52"/>
    <w:rsid w:val="00CC2481"/>
    <w:rsid w:val="00CE2B90"/>
    <w:rsid w:val="00CE3347"/>
    <w:rsid w:val="00CE490A"/>
    <w:rsid w:val="00CE5D55"/>
    <w:rsid w:val="00CE63B6"/>
    <w:rsid w:val="00CF441F"/>
    <w:rsid w:val="00D03B2C"/>
    <w:rsid w:val="00D12E57"/>
    <w:rsid w:val="00D13105"/>
    <w:rsid w:val="00D1314B"/>
    <w:rsid w:val="00D2363C"/>
    <w:rsid w:val="00D258EC"/>
    <w:rsid w:val="00D31F3F"/>
    <w:rsid w:val="00D37236"/>
    <w:rsid w:val="00D45CF7"/>
    <w:rsid w:val="00D50F27"/>
    <w:rsid w:val="00D56063"/>
    <w:rsid w:val="00D6047B"/>
    <w:rsid w:val="00D7595F"/>
    <w:rsid w:val="00D778F7"/>
    <w:rsid w:val="00D80D3F"/>
    <w:rsid w:val="00D80DB1"/>
    <w:rsid w:val="00D92014"/>
    <w:rsid w:val="00D938EB"/>
    <w:rsid w:val="00D94572"/>
    <w:rsid w:val="00DA165C"/>
    <w:rsid w:val="00DA6C6F"/>
    <w:rsid w:val="00DB37B0"/>
    <w:rsid w:val="00DB7943"/>
    <w:rsid w:val="00DC54CC"/>
    <w:rsid w:val="00DC609A"/>
    <w:rsid w:val="00DD5ED6"/>
    <w:rsid w:val="00DE188E"/>
    <w:rsid w:val="00DF0F6B"/>
    <w:rsid w:val="00DF19DA"/>
    <w:rsid w:val="00DF39ED"/>
    <w:rsid w:val="00E04B53"/>
    <w:rsid w:val="00E05086"/>
    <w:rsid w:val="00E066C8"/>
    <w:rsid w:val="00E100FA"/>
    <w:rsid w:val="00E10572"/>
    <w:rsid w:val="00E1591F"/>
    <w:rsid w:val="00E163E0"/>
    <w:rsid w:val="00E16DAE"/>
    <w:rsid w:val="00E266BE"/>
    <w:rsid w:val="00E318E8"/>
    <w:rsid w:val="00E33530"/>
    <w:rsid w:val="00E35B3B"/>
    <w:rsid w:val="00E41259"/>
    <w:rsid w:val="00E44406"/>
    <w:rsid w:val="00E5146D"/>
    <w:rsid w:val="00E54FED"/>
    <w:rsid w:val="00E55F4C"/>
    <w:rsid w:val="00E7174A"/>
    <w:rsid w:val="00E7619F"/>
    <w:rsid w:val="00E85556"/>
    <w:rsid w:val="00E91ABD"/>
    <w:rsid w:val="00E923FA"/>
    <w:rsid w:val="00E92C47"/>
    <w:rsid w:val="00E94C7C"/>
    <w:rsid w:val="00EB350E"/>
    <w:rsid w:val="00EB7798"/>
    <w:rsid w:val="00ED196D"/>
    <w:rsid w:val="00ED4334"/>
    <w:rsid w:val="00ED43C6"/>
    <w:rsid w:val="00ED6480"/>
    <w:rsid w:val="00EE164F"/>
    <w:rsid w:val="00EF6039"/>
    <w:rsid w:val="00EF74EE"/>
    <w:rsid w:val="00EF7C2C"/>
    <w:rsid w:val="00F126A3"/>
    <w:rsid w:val="00F143DB"/>
    <w:rsid w:val="00F1611D"/>
    <w:rsid w:val="00F23919"/>
    <w:rsid w:val="00F27121"/>
    <w:rsid w:val="00F33038"/>
    <w:rsid w:val="00F44C74"/>
    <w:rsid w:val="00F5550B"/>
    <w:rsid w:val="00F56484"/>
    <w:rsid w:val="00F6425B"/>
    <w:rsid w:val="00F668B5"/>
    <w:rsid w:val="00F7197A"/>
    <w:rsid w:val="00F965FC"/>
    <w:rsid w:val="00FA75E2"/>
    <w:rsid w:val="00FB13D2"/>
    <w:rsid w:val="00FB58AB"/>
    <w:rsid w:val="00FB59C6"/>
    <w:rsid w:val="00FB6AB1"/>
    <w:rsid w:val="00FB6F23"/>
    <w:rsid w:val="00FC0A97"/>
    <w:rsid w:val="00FC522A"/>
    <w:rsid w:val="00FC7818"/>
    <w:rsid w:val="00FF4F1A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AB5"/>
  <w15:docId w15:val="{349920FE-94FA-4C0B-86EB-50C2B8A5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10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qFormat/>
    <w:rsid w:val="0042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20B2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F7270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53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53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53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53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53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5353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7419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190D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1794"/>
  </w:style>
  <w:style w:type="paragraph" w:styleId="Porat">
    <w:name w:val="footer"/>
    <w:basedOn w:val="prastasis"/>
    <w:link w:val="PoratDiagrama"/>
    <w:uiPriority w:val="99"/>
    <w:unhideWhenUsed/>
    <w:rsid w:val="0024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1794"/>
  </w:style>
  <w:style w:type="character" w:styleId="Perirtashipersaitas">
    <w:name w:val="FollowedHyperlink"/>
    <w:basedOn w:val="Numatytasispastraiposriftas"/>
    <w:uiPriority w:val="99"/>
    <w:semiHidden/>
    <w:unhideWhenUsed/>
    <w:rsid w:val="001A675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2B42D6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F6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2">
    <w:name w:val="Lentelės tinklelis2"/>
    <w:basedOn w:val="prastojilentel"/>
    <w:uiPriority w:val="39"/>
    <w:rsid w:val="00C616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66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gita.liateke@kauna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77CCB79AA914EA7A0077E73EEEF20" ma:contentTypeVersion="11" ma:contentTypeDescription="Create a new document." ma:contentTypeScope="" ma:versionID="f9e9028385f36454f77a31c8e89d05ea">
  <xsd:schema xmlns:xsd="http://www.w3.org/2001/XMLSchema" xmlns:xs="http://www.w3.org/2001/XMLSchema" xmlns:p="http://schemas.microsoft.com/office/2006/metadata/properties" xmlns:ns3="c095585d-59ce-4786-8200-355f7d245ba2" xmlns:ns4="7f267bba-aa25-4273-9a50-d1d6e500b068" targetNamespace="http://schemas.microsoft.com/office/2006/metadata/properties" ma:root="true" ma:fieldsID="6c42948a76396c8b7db2a84c0083cb7d" ns3:_="" ns4:_="">
    <xsd:import namespace="c095585d-59ce-4786-8200-355f7d245ba2"/>
    <xsd:import namespace="7f267bba-aa25-4273-9a50-d1d6e500b0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585d-59ce-4786-8200-355f7d245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7bba-aa25-4273-9a50-d1d6e500b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B7B0-6EDE-4DC3-8DCA-0AA21330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5585d-59ce-4786-8200-355f7d245ba2"/>
    <ds:schemaRef ds:uri="7f267bba-aa25-4273-9a50-d1d6e500b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78503-E0A1-4D71-B81A-08855FE11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931CD-AD4A-488B-92A0-7ECCFDEC65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095585d-59ce-4786-8200-355f7d245ba2"/>
    <ds:schemaRef ds:uri="http://purl.org/dc/elements/1.1/"/>
    <ds:schemaRef ds:uri="http://schemas.microsoft.com/office/2006/metadata/properties"/>
    <ds:schemaRef ds:uri="7f267bba-aa25-4273-9a50-d1d6e500b06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03106F-8ED4-4DA2-841C-A4A21191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4629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KVIETIMAS TEIKTI PARAIŠKAS PAGAL KAUNO MIESTO SAVIVALDYBĖS 2018–2020 METŲ UŽIMTUMO DIDINIMO PROGRAMOS 9.4 PRIEMONĘ „SKATINTI BEDARBIŲ ASMENŲ ĮSITRAUKIMĄ Į DARBO RINKĄ SUKURIANT PERKVALIFIKAVIMO, MOKYMŲ, PROFESINIŲ AR KITŲ DARBINIŲ ĮGŪDŽIŲ IR ŽINIŲ SUTEIKIMO GALIMYBES“</dc:subject>
  <dc:creator>Socialinių paslaugų skyrius</dc:creator>
  <cp:lastModifiedBy>Windows User</cp:lastModifiedBy>
  <cp:revision>3</cp:revision>
  <cp:lastPrinted>2020-04-30T07:50:00Z</cp:lastPrinted>
  <dcterms:created xsi:type="dcterms:W3CDTF">2023-05-31T07:02:00Z</dcterms:created>
  <dcterms:modified xsi:type="dcterms:W3CDTF">2023-05-31T07:08:00Z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0x010100A2177CCB79AA914EA7A0077E73EEEF20</vt:lpwstr>
  </property>
</Properties>
</file>