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840CFB">
              <w:rPr>
                <w:b/>
              </w:rPr>
              <w:t> </w:t>
            </w:r>
            <w:r w:rsidR="00840CFB">
              <w:rPr>
                <w:b/>
              </w:rPr>
              <w:t> </w:t>
            </w:r>
            <w:r w:rsidR="00840CFB">
              <w:rPr>
                <w:b/>
              </w:rPr>
              <w:t> </w:t>
            </w:r>
            <w:r w:rsidR="00840CFB">
              <w:rPr>
                <w:b/>
              </w:rPr>
              <w:t> </w:t>
            </w:r>
            <w:r w:rsidR="00840CFB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840CFB" w:rsidRDefault="00BA4663" w:rsidP="00D13647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 w:rsidRPr="00840CFB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F43DF1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897F6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43DF1" w:rsidRPr="002C11C5">
              <w:rPr>
                <w:b/>
                <w:noProof/>
              </w:rPr>
              <w:t>DĖL KAUNO MIESTO SAVIVALDYBĖS TARYBOS 202</w:t>
            </w:r>
            <w:r w:rsidR="00F43DF1">
              <w:rPr>
                <w:b/>
                <w:noProof/>
              </w:rPr>
              <w:t>2</w:t>
            </w:r>
            <w:r w:rsidR="00F43DF1" w:rsidRPr="002C11C5">
              <w:rPr>
                <w:b/>
                <w:noProof/>
              </w:rPr>
              <w:t xml:space="preserve"> M. VASARIO </w:t>
            </w:r>
            <w:r w:rsidR="00F43DF1">
              <w:rPr>
                <w:b/>
                <w:noProof/>
              </w:rPr>
              <w:t>1 </w:t>
            </w:r>
            <w:r w:rsidR="00F43DF1" w:rsidRPr="002C11C5">
              <w:rPr>
                <w:b/>
                <w:noProof/>
              </w:rPr>
              <w:t>D. SPRENDIMO NR. T-3 „DĖL KAUNO MIESTO SAVIVALDYBĖS 202</w:t>
            </w:r>
            <w:r w:rsidR="00F43DF1">
              <w:rPr>
                <w:b/>
                <w:noProof/>
              </w:rPr>
              <w:t>2</w:t>
            </w:r>
            <w:r w:rsidR="00F43DF1" w:rsidRPr="002C11C5">
              <w:rPr>
                <w:b/>
                <w:noProof/>
              </w:rPr>
              <w:t>–202</w:t>
            </w:r>
            <w:r w:rsidR="00F43DF1">
              <w:rPr>
                <w:b/>
                <w:noProof/>
              </w:rPr>
              <w:t>4</w:t>
            </w:r>
            <w:r w:rsidR="00F43DF1" w:rsidRPr="002C11C5">
              <w:rPr>
                <w:b/>
                <w:noProof/>
              </w:rPr>
              <w:t xml:space="preserve"> METŲ STRATEGINIO VEIKLOS PLANO PATVIRTINIMO“ PAKEITIMO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840CFB">
              <w:t xml:space="preserve">2022 m. lapkričio 22 d.   </w:t>
            </w:r>
            <w:r>
              <w:fldChar w:fldCharType="end"/>
            </w:r>
            <w:bookmarkEnd w:id="8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9" w:name="r10"/>
            <w:r>
              <w:instrText xml:space="preserve"> FORMTEXT </w:instrText>
            </w:r>
            <w:r>
              <w:fldChar w:fldCharType="separate"/>
            </w:r>
            <w:r w:rsidR="00840CFB">
              <w:t>T-</w:t>
            </w:r>
            <w:r w:rsidR="00F43DF1">
              <w:t>532</w:t>
            </w:r>
            <w: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2C11C5" w:rsidRPr="00F24951" w:rsidRDefault="002C11C5" w:rsidP="00897F60">
      <w:pPr>
        <w:pStyle w:val="Pagrindinistekstas"/>
        <w:jc w:val="both"/>
      </w:pPr>
      <w:bookmarkStart w:id="11" w:name="r18"/>
      <w:r w:rsidRPr="002E262F">
        <w:rPr>
          <w:szCs w:val="24"/>
        </w:rPr>
        <w:t>Kauno miesto savivaldybės taryba  n u s p r e n d ž i a:</w:t>
      </w:r>
      <w:r w:rsidR="000B45F1">
        <w:rPr>
          <w:szCs w:val="24"/>
        </w:rPr>
        <w:t xml:space="preserve"> </w:t>
      </w:r>
    </w:p>
    <w:p w:rsidR="002C11C5" w:rsidRDefault="002C11C5" w:rsidP="00897F60">
      <w:pPr>
        <w:pStyle w:val="Pagrindinistekstas"/>
        <w:jc w:val="both"/>
      </w:pPr>
      <w:r>
        <w:t xml:space="preserve">1. </w:t>
      </w:r>
      <w:r w:rsidRPr="00763CAC">
        <w:t>Pakeisti Kauno miesto savivaldybės 20</w:t>
      </w:r>
      <w:r>
        <w:t>22</w:t>
      </w:r>
      <w:r w:rsidRPr="00763CAC">
        <w:t>–202</w:t>
      </w:r>
      <w:r>
        <w:t>4</w:t>
      </w:r>
      <w:r w:rsidRPr="00763CAC">
        <w:t xml:space="preserve"> metų strateginį veiklos planą, patvirtintą Kauno </w:t>
      </w:r>
      <w:r>
        <w:t xml:space="preserve">miesto savivaldybės </w:t>
      </w:r>
      <w:r w:rsidRPr="002C11C5">
        <w:t xml:space="preserve">tarybos 2022 m. vasario 1 d. sprendimu Nr. T-3 „Dėl Kauno miesto savivaldybės 2022–2024 metų strateginio veiklos plano patvirtinimo“: </w:t>
      </w:r>
    </w:p>
    <w:p w:rsidR="0081313D" w:rsidRPr="00520BA3" w:rsidRDefault="0081313D" w:rsidP="00897F60">
      <w:pPr>
        <w:pStyle w:val="Pagrindinistekstas"/>
        <w:ind w:left="1298" w:hanging="22"/>
        <w:jc w:val="both"/>
      </w:pPr>
      <w:r w:rsidRPr="00520BA3">
        <w:t>1.</w:t>
      </w:r>
      <w:r w:rsidR="00520BA3">
        <w:t>1</w:t>
      </w:r>
      <w:r w:rsidRPr="00520BA3">
        <w:t>. Papildyti 2 priedą nauja pastraipa pagal kodą:</w:t>
      </w:r>
      <w:r w:rsidR="00BC3744" w:rsidRPr="00520BA3">
        <w:t xml:space="preserve"> 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1"/>
        <w:gridCol w:w="1526"/>
        <w:gridCol w:w="993"/>
        <w:gridCol w:w="567"/>
        <w:gridCol w:w="850"/>
        <w:gridCol w:w="851"/>
        <w:gridCol w:w="850"/>
        <w:gridCol w:w="1276"/>
        <w:gridCol w:w="567"/>
        <w:gridCol w:w="425"/>
        <w:gridCol w:w="425"/>
        <w:gridCol w:w="567"/>
      </w:tblGrid>
      <w:tr w:rsidR="00450B98" w:rsidRPr="00520BA3" w:rsidTr="00FF1384">
        <w:trPr>
          <w:trHeight w:val="477"/>
        </w:trPr>
        <w:tc>
          <w:tcPr>
            <w:tcW w:w="1451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20BA3" w:rsidRDefault="00450B98" w:rsidP="00897F60">
            <w:pPr>
              <w:ind w:left="684" w:hanging="684"/>
            </w:pPr>
            <w:r w:rsidRPr="00520BA3">
              <w:t>„02.01.01.22</w:t>
            </w:r>
            <w:r w:rsidR="00DC61E2" w:rsidRPr="00520BA3">
              <w:t>8</w:t>
            </w:r>
          </w:p>
        </w:tc>
        <w:tc>
          <w:tcPr>
            <w:tcW w:w="152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20BA3" w:rsidRDefault="00DC61E2" w:rsidP="00897F60">
            <w:pPr>
              <w:suppressAutoHyphens/>
              <w:autoSpaceDN w:val="0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520BA3">
              <w:t>Projekto „Karjeros specialistų tinklo vystymas“ įgyvendinimas</w:t>
            </w:r>
          </w:p>
        </w:tc>
        <w:tc>
          <w:tcPr>
            <w:tcW w:w="993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20BA3" w:rsidRDefault="00450B98" w:rsidP="00897F60">
            <w:r w:rsidRPr="00520BA3">
              <w:t>Švietimo skyrius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FF1384" w:rsidRDefault="00BC3744" w:rsidP="00897F60">
            <w:pPr>
              <w:jc w:val="center"/>
              <w:rPr>
                <w:szCs w:val="24"/>
              </w:rPr>
            </w:pPr>
            <w:r w:rsidRPr="00FF1384">
              <w:rPr>
                <w:szCs w:val="24"/>
              </w:rPr>
              <w:t>Iš v</w:t>
            </w:r>
            <w:r w:rsidR="00450B98" w:rsidRPr="00FF1384">
              <w:rPr>
                <w:szCs w:val="24"/>
              </w:rPr>
              <w:t>iso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FF1384" w:rsidRDefault="00DC61E2" w:rsidP="00897F60">
            <w:pPr>
              <w:jc w:val="center"/>
              <w:rPr>
                <w:szCs w:val="24"/>
              </w:rPr>
            </w:pPr>
            <w:r w:rsidRPr="00FF1384">
              <w:rPr>
                <w:szCs w:val="24"/>
              </w:rPr>
              <w:t>122000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FF1384" w:rsidRDefault="00DC61E2" w:rsidP="00897F60">
            <w:pPr>
              <w:jc w:val="center"/>
              <w:rPr>
                <w:szCs w:val="24"/>
              </w:rPr>
            </w:pPr>
            <w:r w:rsidRPr="00FF1384">
              <w:rPr>
                <w:szCs w:val="24"/>
              </w:rPr>
              <w:t>752000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FF1384" w:rsidRDefault="00DC61E2" w:rsidP="00897F60">
            <w:pPr>
              <w:suppressAutoHyphens/>
              <w:autoSpaceDN w:val="0"/>
              <w:snapToGrid w:val="0"/>
              <w:jc w:val="center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FF1384">
              <w:rPr>
                <w:kern w:val="3"/>
                <w:szCs w:val="24"/>
                <w:lang w:eastAsia="lt-LT" w:bidi="ar-SA"/>
              </w:rPr>
              <w:t>752000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897F60" w:rsidRDefault="00DC61E2" w:rsidP="00897F60">
            <w:pPr>
              <w:rPr>
                <w:szCs w:val="24"/>
                <w:lang w:eastAsia="lt-LT" w:bidi="ar-SA"/>
              </w:rPr>
            </w:pPr>
            <w:r w:rsidRPr="00897F60">
              <w:rPr>
                <w:szCs w:val="24"/>
                <w:lang w:eastAsia="lt-LT" w:bidi="ar-SA"/>
              </w:rPr>
              <w:t>Karjeros sp</w:t>
            </w:r>
            <w:r w:rsidR="00230F32">
              <w:rPr>
                <w:szCs w:val="24"/>
                <w:lang w:eastAsia="lt-LT" w:bidi="ar-SA"/>
              </w:rPr>
              <w:t>ecialistų, teikiančių paslaugas</w:t>
            </w:r>
            <w:r w:rsidRPr="00897F60">
              <w:rPr>
                <w:szCs w:val="24"/>
                <w:lang w:eastAsia="lt-LT" w:bidi="ar-SA"/>
              </w:rPr>
              <w:t xml:space="preserve"> mokyklose, skaičius</w:t>
            </w:r>
            <w:r w:rsidR="00897F60">
              <w:rPr>
                <w:szCs w:val="24"/>
                <w:lang w:eastAsia="lt-LT" w:bidi="ar-SA"/>
              </w:rPr>
              <w:t xml:space="preserve"> (asmenų skaičius)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FF1384" w:rsidRDefault="00DC61E2" w:rsidP="00897F60">
            <w:pPr>
              <w:spacing w:line="360" w:lineRule="auto"/>
              <w:rPr>
                <w:szCs w:val="24"/>
              </w:rPr>
            </w:pPr>
            <w:r w:rsidRPr="00FF1384">
              <w:rPr>
                <w:szCs w:val="24"/>
              </w:rPr>
              <w:t>Vnt.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FF1384" w:rsidRDefault="00DC61E2" w:rsidP="00897F60">
            <w:pPr>
              <w:spacing w:line="360" w:lineRule="auto"/>
              <w:rPr>
                <w:szCs w:val="24"/>
              </w:rPr>
            </w:pPr>
            <w:r w:rsidRPr="00FF1384">
              <w:rPr>
                <w:szCs w:val="24"/>
              </w:rPr>
              <w:t>40</w:t>
            </w:r>
          </w:p>
        </w:tc>
        <w:tc>
          <w:tcPr>
            <w:tcW w:w="425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FF1384" w:rsidRDefault="00DC61E2" w:rsidP="00897F60">
            <w:pPr>
              <w:spacing w:line="360" w:lineRule="auto"/>
              <w:rPr>
                <w:szCs w:val="24"/>
              </w:rPr>
            </w:pPr>
            <w:r w:rsidRPr="00FF1384">
              <w:rPr>
                <w:szCs w:val="24"/>
              </w:rPr>
              <w:t>45</w:t>
            </w:r>
          </w:p>
        </w:tc>
        <w:tc>
          <w:tcPr>
            <w:tcW w:w="56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FF1384" w:rsidRDefault="00DC61E2" w:rsidP="00897F60">
            <w:pPr>
              <w:spacing w:line="360" w:lineRule="auto"/>
              <w:rPr>
                <w:szCs w:val="24"/>
              </w:rPr>
            </w:pPr>
            <w:r w:rsidRPr="00FF1384">
              <w:rPr>
                <w:szCs w:val="24"/>
              </w:rPr>
              <w:t>45“.</w:t>
            </w:r>
          </w:p>
        </w:tc>
      </w:tr>
      <w:tr w:rsidR="00450B98" w:rsidRPr="00520BA3" w:rsidTr="00FF1384">
        <w:trPr>
          <w:trHeight w:val="472"/>
        </w:trPr>
        <w:tc>
          <w:tcPr>
            <w:tcW w:w="1451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20BA3" w:rsidRDefault="00450B98" w:rsidP="00897F60">
            <w:pPr>
              <w:spacing w:line="360" w:lineRule="auto"/>
              <w:ind w:left="684" w:hanging="684"/>
            </w:pPr>
          </w:p>
        </w:tc>
        <w:tc>
          <w:tcPr>
            <w:tcW w:w="152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20BA3" w:rsidRDefault="00450B98" w:rsidP="00897F60">
            <w:pPr>
              <w:suppressAutoHyphens/>
              <w:autoSpaceDN w:val="0"/>
              <w:spacing w:line="360" w:lineRule="auto"/>
              <w:textAlignment w:val="baseline"/>
            </w:pPr>
          </w:p>
        </w:tc>
        <w:tc>
          <w:tcPr>
            <w:tcW w:w="993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20BA3" w:rsidRDefault="00450B98" w:rsidP="00897F60">
            <w:pPr>
              <w:spacing w:line="360" w:lineRule="auto"/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FF1384" w:rsidRDefault="00DC61E2" w:rsidP="00897F60">
            <w:pPr>
              <w:spacing w:line="360" w:lineRule="auto"/>
              <w:jc w:val="center"/>
              <w:rPr>
                <w:szCs w:val="24"/>
                <w:lang w:eastAsia="lt-LT" w:bidi="ar-SA"/>
              </w:rPr>
            </w:pPr>
            <w:r w:rsidRPr="00FF1384">
              <w:rPr>
                <w:szCs w:val="24"/>
                <w:lang w:eastAsia="lt-LT" w:bidi="ar-SA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FF1384" w:rsidRDefault="00DC61E2" w:rsidP="00897F60">
            <w:pPr>
              <w:spacing w:line="360" w:lineRule="auto"/>
              <w:jc w:val="center"/>
              <w:rPr>
                <w:szCs w:val="24"/>
              </w:rPr>
            </w:pPr>
            <w:r w:rsidRPr="00FF1384">
              <w:rPr>
                <w:szCs w:val="24"/>
              </w:rPr>
              <w:t>122000</w:t>
            </w:r>
          </w:p>
        </w:tc>
        <w:tc>
          <w:tcPr>
            <w:tcW w:w="8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FF1384" w:rsidRDefault="00DC61E2" w:rsidP="00897F60">
            <w:pPr>
              <w:spacing w:line="360" w:lineRule="auto"/>
              <w:jc w:val="center"/>
              <w:rPr>
                <w:szCs w:val="24"/>
              </w:rPr>
            </w:pPr>
            <w:r w:rsidRPr="00FF1384">
              <w:rPr>
                <w:szCs w:val="24"/>
              </w:rPr>
              <w:t>752000</w:t>
            </w:r>
          </w:p>
        </w:tc>
        <w:tc>
          <w:tcPr>
            <w:tcW w:w="85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FF1384" w:rsidRDefault="00DC61E2" w:rsidP="00897F60">
            <w:pPr>
              <w:suppressAutoHyphens/>
              <w:autoSpaceDN w:val="0"/>
              <w:snapToGrid w:val="0"/>
              <w:spacing w:line="360" w:lineRule="auto"/>
              <w:jc w:val="center"/>
              <w:textAlignment w:val="baseline"/>
              <w:rPr>
                <w:kern w:val="3"/>
                <w:szCs w:val="24"/>
                <w:lang w:eastAsia="lt-LT" w:bidi="ar-SA"/>
              </w:rPr>
            </w:pPr>
            <w:r w:rsidRPr="00FF1384">
              <w:rPr>
                <w:kern w:val="3"/>
                <w:szCs w:val="24"/>
                <w:lang w:eastAsia="lt-LT" w:bidi="ar-SA"/>
              </w:rPr>
              <w:t>752000</w:t>
            </w: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0B98" w:rsidRPr="00520BA3" w:rsidRDefault="00450B98" w:rsidP="00897F60">
            <w:pPr>
              <w:suppressAutoHyphens/>
              <w:autoSpaceDN w:val="0"/>
              <w:snapToGrid w:val="0"/>
              <w:spacing w:line="360" w:lineRule="auto"/>
              <w:textAlignment w:val="baseline"/>
              <w:rPr>
                <w:kern w:val="3"/>
                <w:sz w:val="22"/>
                <w:szCs w:val="22"/>
                <w:lang w:eastAsia="lt-LT" w:bidi="ar-SA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20BA3" w:rsidRDefault="00450B98" w:rsidP="00897F6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20BA3" w:rsidRDefault="00450B98" w:rsidP="00897F6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20BA3" w:rsidRDefault="00450B98" w:rsidP="00897F6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50B98" w:rsidRPr="00520BA3" w:rsidRDefault="00450B98" w:rsidP="00897F6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C61E2" w:rsidRDefault="00520BA3" w:rsidP="00897F60">
      <w:pPr>
        <w:pStyle w:val="Pagrindinistekstas"/>
        <w:jc w:val="both"/>
      </w:pPr>
      <w:r>
        <w:t xml:space="preserve">1.2. </w:t>
      </w:r>
      <w:r w:rsidR="00DC61E2" w:rsidRPr="00520BA3">
        <w:t>Pakeisti 2 priedo pastraipos, prasidedančios 02.03.04.009 kodu, pavadinimą ir jį išdėstyti taip: „</w:t>
      </w:r>
      <w:r w:rsidR="00FB4E33" w:rsidRPr="00520BA3">
        <w:t>Dienos socialinės globos paslaugos asmenims su negalia ir sunkia negalia</w:t>
      </w:r>
      <w:r w:rsidR="00FF1384">
        <w:t xml:space="preserve"> </w:t>
      </w:r>
      <w:r w:rsidR="00DC61E2" w:rsidRPr="00520BA3">
        <w:t>Kauno</w:t>
      </w:r>
      <w:r w:rsidR="00897F60">
        <w:t> š</w:t>
      </w:r>
      <w:r w:rsidRPr="00520BA3">
        <w:t>v.</w:t>
      </w:r>
      <w:r w:rsidR="00897F60">
        <w:t> </w:t>
      </w:r>
      <w:r w:rsidR="00DC61E2" w:rsidRPr="00520BA3">
        <w:t>Roko mokykloje“.</w:t>
      </w:r>
      <w:r w:rsidR="00DC61E2">
        <w:t xml:space="preserve"> </w:t>
      </w:r>
    </w:p>
    <w:p w:rsidR="00520BA3" w:rsidRDefault="002C11C5" w:rsidP="00897F60">
      <w:pPr>
        <w:pStyle w:val="Pagrindinistekstas"/>
        <w:jc w:val="both"/>
      </w:pPr>
      <w:r w:rsidRPr="008C6995">
        <w:t xml:space="preserve">2. Šis sprendimas </w:t>
      </w:r>
      <w:r w:rsidRPr="00534FFE">
        <w:t xml:space="preserve">per vieną mėnesį nuo jo paskelbimo dienos </w:t>
      </w:r>
      <w:r w:rsidRPr="008C6995">
        <w:t>gali būti skundžiamas Regionų apygardos administracinio teismo Kauno rūmams (A.</w:t>
      </w:r>
      <w:r w:rsidR="00BC3744">
        <w:t> </w:t>
      </w:r>
      <w:r w:rsidRPr="008C6995">
        <w:t>Mickevičiaus</w:t>
      </w:r>
      <w:r w:rsidR="00BC3744">
        <w:t> </w:t>
      </w:r>
      <w:r w:rsidRPr="008C6995">
        <w:t>g.</w:t>
      </w:r>
      <w:r w:rsidR="00BC3744">
        <w:t> </w:t>
      </w:r>
      <w:r w:rsidRPr="008C6995">
        <w:t>8A, Kaunas) Lietuvos Respublikos administracinių bylų teisenos įstatymo nustatyta tvarka.</w:t>
      </w:r>
      <w:r>
        <w:t xml:space="preserve"> </w:t>
      </w:r>
      <w:bookmarkEnd w:id="11"/>
    </w:p>
    <w:p w:rsidR="00520BA3" w:rsidRDefault="00520BA3" w:rsidP="00520BA3">
      <w:pPr>
        <w:sectPr w:rsidR="00520BA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2C11C5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2C11C5" w:rsidRPr="002C11C5">
              <w:rPr>
                <w:noProof/>
              </w:rPr>
              <w:t>Savivaldybės meras</w:t>
            </w:r>
            <w:r>
              <w:fldChar w:fldCharType="end"/>
            </w:r>
            <w:bookmarkEnd w:id="12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840CFB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840CFB">
              <w:t>Visvaldas</w:t>
            </w:r>
            <w:r>
              <w:fldChar w:fldCharType="end"/>
            </w:r>
            <w:bookmarkEnd w:id="13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840CFB">
              <w:t>Matijošaitis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4A4" w:rsidRDefault="000414A4">
      <w:r>
        <w:separator/>
      </w:r>
    </w:p>
  </w:endnote>
  <w:endnote w:type="continuationSeparator" w:id="0">
    <w:p w:rsidR="000414A4" w:rsidRDefault="0004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4A4" w:rsidRDefault="000414A4">
      <w:pPr>
        <w:pStyle w:val="Porat"/>
        <w:spacing w:before="240"/>
      </w:pPr>
    </w:p>
  </w:footnote>
  <w:footnote w:type="continuationSeparator" w:id="0">
    <w:p w:rsidR="000414A4" w:rsidRDefault="00041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520BA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707C2"/>
    <w:rsid w:val="000263EC"/>
    <w:rsid w:val="000414A4"/>
    <w:rsid w:val="00042FB3"/>
    <w:rsid w:val="00043769"/>
    <w:rsid w:val="0004523A"/>
    <w:rsid w:val="000508AB"/>
    <w:rsid w:val="00050B61"/>
    <w:rsid w:val="000727A2"/>
    <w:rsid w:val="00086977"/>
    <w:rsid w:val="000B45F1"/>
    <w:rsid w:val="000D29C0"/>
    <w:rsid w:val="001161B7"/>
    <w:rsid w:val="00116B7E"/>
    <w:rsid w:val="00156F91"/>
    <w:rsid w:val="001861BB"/>
    <w:rsid w:val="001C2605"/>
    <w:rsid w:val="001D1071"/>
    <w:rsid w:val="001D7799"/>
    <w:rsid w:val="00230F32"/>
    <w:rsid w:val="00266465"/>
    <w:rsid w:val="002B4675"/>
    <w:rsid w:val="002C11C5"/>
    <w:rsid w:val="002C1C65"/>
    <w:rsid w:val="00302263"/>
    <w:rsid w:val="003158DD"/>
    <w:rsid w:val="003266FB"/>
    <w:rsid w:val="003637E1"/>
    <w:rsid w:val="003E2346"/>
    <w:rsid w:val="003F2C55"/>
    <w:rsid w:val="004372D1"/>
    <w:rsid w:val="004422A7"/>
    <w:rsid w:val="00450B98"/>
    <w:rsid w:val="00456142"/>
    <w:rsid w:val="0047702A"/>
    <w:rsid w:val="004805E9"/>
    <w:rsid w:val="004C4242"/>
    <w:rsid w:val="0051690F"/>
    <w:rsid w:val="00520BA3"/>
    <w:rsid w:val="00531E81"/>
    <w:rsid w:val="0054223E"/>
    <w:rsid w:val="00564444"/>
    <w:rsid w:val="00572898"/>
    <w:rsid w:val="00595FA9"/>
    <w:rsid w:val="005E40B3"/>
    <w:rsid w:val="00601013"/>
    <w:rsid w:val="0060662B"/>
    <w:rsid w:val="00645B20"/>
    <w:rsid w:val="006707C2"/>
    <w:rsid w:val="00681A4A"/>
    <w:rsid w:val="006A138F"/>
    <w:rsid w:val="006B1DD0"/>
    <w:rsid w:val="006B4688"/>
    <w:rsid w:val="00775503"/>
    <w:rsid w:val="007D1D62"/>
    <w:rsid w:val="0081313D"/>
    <w:rsid w:val="00840CFB"/>
    <w:rsid w:val="00851D77"/>
    <w:rsid w:val="008649D0"/>
    <w:rsid w:val="00897F60"/>
    <w:rsid w:val="008C7C85"/>
    <w:rsid w:val="008D13CF"/>
    <w:rsid w:val="00936E82"/>
    <w:rsid w:val="009653F4"/>
    <w:rsid w:val="009F39E5"/>
    <w:rsid w:val="00A23B95"/>
    <w:rsid w:val="00B06AD8"/>
    <w:rsid w:val="00B462C9"/>
    <w:rsid w:val="00B535F7"/>
    <w:rsid w:val="00B81C95"/>
    <w:rsid w:val="00B907C1"/>
    <w:rsid w:val="00BA4663"/>
    <w:rsid w:val="00BB3F5F"/>
    <w:rsid w:val="00BC3744"/>
    <w:rsid w:val="00BC54EB"/>
    <w:rsid w:val="00BD77D0"/>
    <w:rsid w:val="00C01CB6"/>
    <w:rsid w:val="00C06CE3"/>
    <w:rsid w:val="00C10BF5"/>
    <w:rsid w:val="00C23CE7"/>
    <w:rsid w:val="00C332C4"/>
    <w:rsid w:val="00C66EE6"/>
    <w:rsid w:val="00C778D2"/>
    <w:rsid w:val="00C8098A"/>
    <w:rsid w:val="00D13647"/>
    <w:rsid w:val="00D86282"/>
    <w:rsid w:val="00D9503F"/>
    <w:rsid w:val="00DC61E2"/>
    <w:rsid w:val="00DD09AB"/>
    <w:rsid w:val="00DD7FB0"/>
    <w:rsid w:val="00E87B48"/>
    <w:rsid w:val="00EC360E"/>
    <w:rsid w:val="00EE42F2"/>
    <w:rsid w:val="00F2223C"/>
    <w:rsid w:val="00F26A7E"/>
    <w:rsid w:val="00F321E4"/>
    <w:rsid w:val="00F43DF1"/>
    <w:rsid w:val="00F53445"/>
    <w:rsid w:val="00FA09F4"/>
    <w:rsid w:val="00FB39F8"/>
    <w:rsid w:val="00FB4E33"/>
    <w:rsid w:val="00FB789B"/>
    <w:rsid w:val="00FC1BE7"/>
    <w:rsid w:val="00FD4307"/>
    <w:rsid w:val="00FE1B61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FF72D"/>
  <w15:chartTrackingRefBased/>
  <w15:docId w15:val="{FF7157AB-813E-4E97-90DF-C072126C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2C11C5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0CF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0CFB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366C5-04DF-49DC-A209-12831E451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1</Pages>
  <Words>218</Words>
  <Characters>1341</Characters>
  <Application>Microsoft Office Word</Application>
  <DocSecurity>0</DocSecurity>
  <Lines>83</Lines>
  <Paragraphs>38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2022-11-22   SPRENDIMAS   Nr. T-</vt:lpstr>
      <vt:lpstr> </vt:lpstr>
    </vt:vector>
  </TitlesOfParts>
  <Manager>Savivaldybės meras Visvaldas Matijošaitis</Manager>
  <Company>KAUNO MIESTO SAVIVALDYBĖ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2022-11-22   SPRENDIMAS   Nr. T-532</dc:title>
  <dc:subject>DĖL KAUNO MIESTO SAVIVALDYBĖS TARYBOS 2022 M. VASARIO 1 D. SPRENDIMO NR. T-3 „DĖL KAUNO MIESTO SAVIVALDYBĖS 2022–2024 METŲ STRATEGINIO VEIKLOS PLANO PATVIRTINIMO“ PAKEITIMO</dc:subject>
  <dc:creator>Windows User</dc:creator>
  <cp:keywords/>
  <cp:lastModifiedBy>Lina Rutavičienė</cp:lastModifiedBy>
  <cp:revision>2</cp:revision>
  <cp:lastPrinted>2022-11-22T12:02:00Z</cp:lastPrinted>
  <dcterms:created xsi:type="dcterms:W3CDTF">2022-11-22T12:03:00Z</dcterms:created>
  <dcterms:modified xsi:type="dcterms:W3CDTF">2022-11-22T12:03:00Z</dcterms:modified>
</cp:coreProperties>
</file>