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1A30E7">
              <w:rPr>
                <w:b/>
              </w:rPr>
              <w:t> </w:t>
            </w:r>
            <w:r w:rsidR="001A30E7">
              <w:rPr>
                <w:b/>
              </w:rPr>
              <w:t> </w:t>
            </w:r>
            <w:r w:rsidR="001A30E7">
              <w:rPr>
                <w:b/>
              </w:rPr>
              <w:t> </w:t>
            </w:r>
            <w:r w:rsidR="001A30E7">
              <w:rPr>
                <w:b/>
              </w:rPr>
              <w:t> </w:t>
            </w:r>
            <w:r w:rsidR="001A30E7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1A30E7" w:rsidRDefault="00BA4663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1A30E7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1A3423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2C11C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A3423" w:rsidRPr="002C11C5">
              <w:rPr>
                <w:b/>
                <w:noProof/>
              </w:rPr>
              <w:t>DĖL KAUNO MIESTO SAVIVALDYBĖS TARYBOS 202</w:t>
            </w:r>
            <w:r w:rsidR="001A3423">
              <w:rPr>
                <w:b/>
                <w:noProof/>
              </w:rPr>
              <w:t>2</w:t>
            </w:r>
            <w:r w:rsidR="001A3423" w:rsidRPr="002C11C5">
              <w:rPr>
                <w:b/>
                <w:noProof/>
              </w:rPr>
              <w:t xml:space="preserve"> M. VASARIO </w:t>
            </w:r>
            <w:r w:rsidR="001A3423">
              <w:rPr>
                <w:b/>
                <w:noProof/>
              </w:rPr>
              <w:t>1</w:t>
            </w:r>
            <w:r w:rsidR="001A3423" w:rsidRPr="002C11C5">
              <w:rPr>
                <w:b/>
                <w:noProof/>
              </w:rPr>
              <w:t xml:space="preserve"> D. SPRENDIMO NR. T-3 „DĖL KAUNO MIESTO SAVIVALDYBĖS 202</w:t>
            </w:r>
            <w:r w:rsidR="001A3423">
              <w:rPr>
                <w:b/>
                <w:noProof/>
              </w:rPr>
              <w:t>2</w:t>
            </w:r>
            <w:r w:rsidR="001A3423" w:rsidRPr="002C11C5">
              <w:rPr>
                <w:b/>
                <w:noProof/>
              </w:rPr>
              <w:t>–202</w:t>
            </w:r>
            <w:r w:rsidR="001A3423">
              <w:rPr>
                <w:b/>
                <w:noProof/>
              </w:rPr>
              <w:t>4</w:t>
            </w:r>
            <w:r w:rsidR="001A3423" w:rsidRPr="002C11C5">
              <w:rPr>
                <w:b/>
                <w:noProof/>
              </w:rPr>
              <w:t xml:space="preserve"> METŲ STRATEGINIO VEIKLOS PLANO PATVIRTINIMO“ PAKEITIMO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1A30E7">
              <w:t>2022 m.</w:t>
            </w:r>
            <w:r w:rsidR="00582FFC">
              <w:t xml:space="preserve"> </w:t>
            </w:r>
            <w:r w:rsidR="001A30E7">
              <w:t xml:space="preserve">rugsėjo 13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1A30E7">
              <w:t>T-</w:t>
            </w:r>
            <w:r w:rsidR="001A3423">
              <w:t>414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C11C5" w:rsidRPr="00F24951" w:rsidRDefault="002C11C5" w:rsidP="002C11C5">
      <w:pPr>
        <w:pStyle w:val="Pagrindinistekstas"/>
        <w:spacing w:line="312" w:lineRule="auto"/>
        <w:jc w:val="both"/>
      </w:pPr>
      <w:bookmarkStart w:id="11" w:name="r18"/>
      <w:r w:rsidRPr="002E262F">
        <w:rPr>
          <w:szCs w:val="24"/>
        </w:rPr>
        <w:t>Kauno miesto savivaldybės taryba  n u s p r e n d ž i a:</w:t>
      </w:r>
      <w:r w:rsidR="000B45F1">
        <w:rPr>
          <w:szCs w:val="24"/>
        </w:rPr>
        <w:t xml:space="preserve"> </w:t>
      </w:r>
    </w:p>
    <w:p w:rsidR="002C11C5" w:rsidRDefault="002C11C5" w:rsidP="000B45F1">
      <w:pPr>
        <w:pStyle w:val="Pagrindinistekstas"/>
        <w:jc w:val="both"/>
      </w:pPr>
      <w:r>
        <w:t xml:space="preserve">1. </w:t>
      </w:r>
      <w:r w:rsidRPr="00763CAC">
        <w:t>Pakeisti Kauno miesto savivaldybės 20</w:t>
      </w:r>
      <w:r>
        <w:t>22</w:t>
      </w:r>
      <w:r w:rsidRPr="00763CAC">
        <w:t>–202</w:t>
      </w:r>
      <w:r>
        <w:t>4</w:t>
      </w:r>
      <w:r w:rsidRPr="00763CAC">
        <w:t xml:space="preserve"> metų strateginį veiklos planą, patvirtintą Kauno </w:t>
      </w:r>
      <w:r>
        <w:t xml:space="preserve">miesto savivaldybės </w:t>
      </w:r>
      <w:r w:rsidRPr="002C11C5">
        <w:t xml:space="preserve">tarybos 2022 m. vasario 1 d. sprendimu Nr. T-3 „Dėl Kauno miesto savivaldybės 2022–2024 metų strateginio veiklos plano patvirtinimo“: </w:t>
      </w:r>
    </w:p>
    <w:p w:rsidR="00FC1BE7" w:rsidRDefault="00FC1BE7" w:rsidP="000B45F1">
      <w:pPr>
        <w:pStyle w:val="Pagrindinistekstas"/>
        <w:jc w:val="both"/>
      </w:pPr>
      <w:r>
        <w:t xml:space="preserve">1.1. Pakeisti </w:t>
      </w:r>
      <w:r w:rsidR="00302263">
        <w:t xml:space="preserve">2 priedo </w:t>
      </w:r>
      <w:r>
        <w:t>pastraipos, prasidedančios</w:t>
      </w:r>
      <w:r w:rsidRPr="00AB0612">
        <w:t xml:space="preserve"> </w:t>
      </w:r>
      <w:r w:rsidRPr="0051690F">
        <w:t>02.01.01.142</w:t>
      </w:r>
      <w:r w:rsidRPr="00AB0612">
        <w:t xml:space="preserve"> kodu,</w:t>
      </w:r>
      <w:r>
        <w:t xml:space="preserve"> pavadinimą</w:t>
      </w:r>
      <w:r w:rsidRPr="00AB0612">
        <w:t xml:space="preserve"> ir </w:t>
      </w:r>
      <w:r>
        <w:t>jį</w:t>
      </w:r>
      <w:r w:rsidRPr="00AB0612">
        <w:t xml:space="preserve"> išdėstyti taip:</w:t>
      </w:r>
      <w:r>
        <w:t xml:space="preserve"> „</w:t>
      </w:r>
      <w:r w:rsidRPr="0051690F">
        <w:t>Ugdymo kokybės gerinimas Kauno tarptautinėje gimnazijoje</w:t>
      </w:r>
      <w:r w:rsidRPr="007F6579">
        <w:t>“</w:t>
      </w:r>
      <w:r>
        <w:t>.</w:t>
      </w:r>
      <w:r w:rsidR="00BC3744">
        <w:t xml:space="preserve"> </w:t>
      </w:r>
    </w:p>
    <w:p w:rsidR="00FC1BE7" w:rsidRDefault="00FC1BE7" w:rsidP="000B45F1">
      <w:pPr>
        <w:pStyle w:val="Pagrindinistekstas"/>
        <w:jc w:val="both"/>
      </w:pPr>
      <w:r>
        <w:t xml:space="preserve">1.2. Pakeisti </w:t>
      </w:r>
      <w:r w:rsidR="00302263">
        <w:t xml:space="preserve">2 priedo </w:t>
      </w:r>
      <w:r>
        <w:t>pastraipos, prasidedančios</w:t>
      </w:r>
      <w:r w:rsidRPr="00AB0612">
        <w:t xml:space="preserve"> </w:t>
      </w:r>
      <w:r w:rsidRPr="0051690F">
        <w:t>02.01.01.144</w:t>
      </w:r>
      <w:r w:rsidRPr="00AB0612">
        <w:t xml:space="preserve"> kodu,</w:t>
      </w:r>
      <w:r>
        <w:t xml:space="preserve"> pavadinimą</w:t>
      </w:r>
      <w:r w:rsidRPr="00AB0612">
        <w:t xml:space="preserve"> ir </w:t>
      </w:r>
      <w:r>
        <w:t>jį</w:t>
      </w:r>
      <w:r w:rsidRPr="00AB0612">
        <w:t xml:space="preserve"> išdėstyti taip:</w:t>
      </w:r>
      <w:r>
        <w:t xml:space="preserve"> „</w:t>
      </w:r>
      <w:r w:rsidRPr="0051690F">
        <w:t>Ugdymo kokybės gerinimas Prezidento Antano Smetonos gimnazijoje</w:t>
      </w:r>
      <w:r w:rsidRPr="007F6579">
        <w:t>“</w:t>
      </w:r>
      <w:r>
        <w:t>.</w:t>
      </w:r>
      <w:r w:rsidR="000B45F1">
        <w:t xml:space="preserve"> </w:t>
      </w:r>
    </w:p>
    <w:p w:rsidR="00FC1BE7" w:rsidRDefault="00FC1BE7" w:rsidP="000B45F1">
      <w:pPr>
        <w:pStyle w:val="Pagrindinistekstas"/>
        <w:jc w:val="both"/>
      </w:pPr>
      <w:r>
        <w:lastRenderedPageBreak/>
        <w:t xml:space="preserve">1.3. Pakeisti </w:t>
      </w:r>
      <w:r w:rsidR="00302263">
        <w:t xml:space="preserve">2 priedo </w:t>
      </w:r>
      <w:r>
        <w:t>pastraipos, prasidedančios</w:t>
      </w:r>
      <w:r w:rsidRPr="00AB0612">
        <w:t xml:space="preserve"> </w:t>
      </w:r>
      <w:r w:rsidRPr="0051690F">
        <w:t>02.01.01.154</w:t>
      </w:r>
      <w:r>
        <w:t xml:space="preserve"> </w:t>
      </w:r>
      <w:r w:rsidRPr="00AB0612">
        <w:t>kodu,</w:t>
      </w:r>
      <w:r>
        <w:t xml:space="preserve"> pavadinimą</w:t>
      </w:r>
      <w:r w:rsidRPr="00AB0612">
        <w:t xml:space="preserve"> ir </w:t>
      </w:r>
      <w:r>
        <w:t>jį</w:t>
      </w:r>
      <w:r w:rsidRPr="00AB0612">
        <w:t xml:space="preserve"> išdėstyti taip:</w:t>
      </w:r>
      <w:r>
        <w:t xml:space="preserve"> „</w:t>
      </w:r>
      <w:r w:rsidRPr="0051690F">
        <w:t xml:space="preserve">Ugdymo kokybės gerinimas Kauno </w:t>
      </w:r>
      <w:r w:rsidR="00BC3744">
        <w:t>š</w:t>
      </w:r>
      <w:r w:rsidRPr="0051690F">
        <w:t>v. Roko mokykloje</w:t>
      </w:r>
      <w:r w:rsidRPr="007F6579">
        <w:t>“</w:t>
      </w:r>
      <w:r>
        <w:t xml:space="preserve">. </w:t>
      </w:r>
    </w:p>
    <w:p w:rsidR="00595FA9" w:rsidRPr="00FC1BE7" w:rsidRDefault="00595FA9" w:rsidP="00FC1BE7">
      <w:pPr>
        <w:pStyle w:val="Pagrindinistekstas"/>
        <w:spacing w:line="312" w:lineRule="auto"/>
        <w:ind w:left="-567" w:firstLine="1865"/>
        <w:jc w:val="both"/>
      </w:pPr>
      <w:r w:rsidRPr="00FC1BE7">
        <w:t>1.</w:t>
      </w:r>
      <w:r w:rsidR="00302263">
        <w:t>4</w:t>
      </w:r>
      <w:r w:rsidRPr="00FC1BE7">
        <w:t xml:space="preserve">. </w:t>
      </w:r>
      <w:r w:rsidR="001861BB" w:rsidRPr="00FC1BE7">
        <w:t>Pa</w:t>
      </w:r>
      <w:r w:rsidR="00BC3744">
        <w:t xml:space="preserve">keisti </w:t>
      </w:r>
      <w:r w:rsidR="001861BB" w:rsidRPr="00FC1BE7">
        <w:t xml:space="preserve">2 priedo pastraipą, </w:t>
      </w:r>
      <w:r w:rsidR="000D29C0" w:rsidRPr="00FC1BE7">
        <w:t>prasidedanči</w:t>
      </w:r>
      <w:r w:rsidR="001861BB" w:rsidRPr="00FC1BE7">
        <w:t>ą</w:t>
      </w:r>
      <w:r w:rsidR="000D29C0" w:rsidRPr="00FC1BE7">
        <w:t xml:space="preserve"> 02.01.01.223 kodu, </w:t>
      </w:r>
      <w:r w:rsidR="001D7799" w:rsidRPr="00FC1BE7">
        <w:t>ir ją išdėstyti taip:</w:t>
      </w:r>
      <w:r w:rsidR="00BC3744">
        <w:t xml:space="preserve"> </w:t>
      </w:r>
    </w:p>
    <w:tbl>
      <w:tblPr>
        <w:tblW w:w="10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417"/>
        <w:gridCol w:w="993"/>
        <w:gridCol w:w="567"/>
        <w:gridCol w:w="850"/>
        <w:gridCol w:w="851"/>
        <w:gridCol w:w="850"/>
        <w:gridCol w:w="1418"/>
        <w:gridCol w:w="567"/>
        <w:gridCol w:w="425"/>
        <w:gridCol w:w="425"/>
        <w:gridCol w:w="567"/>
      </w:tblGrid>
      <w:tr w:rsidR="00043769" w:rsidRPr="003873AF" w:rsidTr="00C778D2">
        <w:trPr>
          <w:trHeight w:val="477"/>
        </w:trPr>
        <w:tc>
          <w:tcPr>
            <w:tcW w:w="14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  <w:r w:rsidRPr="003E2346">
              <w:t>„</w:t>
            </w:r>
            <w:r>
              <w:t>02.01.01.223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744" w:rsidRDefault="00043769" w:rsidP="00043769">
            <w:pPr>
              <w:suppressAutoHyphens/>
              <w:autoSpaceDN w:val="0"/>
              <w:textAlignment w:val="baseline"/>
            </w:pPr>
            <w:r w:rsidRPr="000D29C0">
              <w:t>Ugdymo kokybės gerinimas Kauno lopšelyje-</w:t>
            </w:r>
          </w:p>
          <w:p w:rsidR="00043769" w:rsidRPr="000D29C0" w:rsidRDefault="00BC3744" w:rsidP="00043769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>
              <w:t>-</w:t>
            </w:r>
            <w:r w:rsidR="00043769" w:rsidRPr="000D29C0">
              <w:t>darželyje „Vaikystės takas“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D29C0" w:rsidRDefault="00043769" w:rsidP="00043769">
            <w:pPr>
              <w:spacing w:line="276" w:lineRule="auto"/>
            </w:pPr>
            <w:r w:rsidRPr="000D29C0">
              <w:t>Švietimo skyrius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BC3744" w:rsidP="00BC37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</w:t>
            </w:r>
            <w:r w:rsidR="00043769" w:rsidRPr="00043769">
              <w:rPr>
                <w:sz w:val="22"/>
                <w:szCs w:val="22"/>
              </w:rPr>
              <w:t>iso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2075872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2322443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043769">
              <w:rPr>
                <w:kern w:val="3"/>
                <w:sz w:val="22"/>
                <w:szCs w:val="22"/>
                <w:lang w:eastAsia="lt-LT" w:bidi="ar-SA"/>
              </w:rPr>
              <w:t>2434695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rPr>
                <w:sz w:val="22"/>
                <w:szCs w:val="22"/>
                <w:lang w:eastAsia="lt-LT" w:bidi="ar-SA"/>
              </w:rPr>
            </w:pPr>
            <w:r w:rsidRPr="00043769">
              <w:rPr>
                <w:sz w:val="22"/>
                <w:szCs w:val="22"/>
              </w:rPr>
              <w:t>Įrengtų bendrųjų patalpų dalis nuo bendro pastato ploto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43769" w:rsidRPr="003873AF" w:rsidTr="00C778D2">
        <w:trPr>
          <w:trHeight w:val="472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595FA9" w:rsidRDefault="00043769" w:rsidP="00043769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Default="00043769" w:rsidP="00043769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  <w:lang w:eastAsia="lt-LT" w:bidi="ar-SA"/>
              </w:rPr>
            </w:pPr>
            <w:r w:rsidRPr="00043769">
              <w:rPr>
                <w:sz w:val="22"/>
                <w:szCs w:val="22"/>
              </w:rPr>
              <w:t>1.1.1.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55200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043769">
              <w:rPr>
                <w:kern w:val="3"/>
                <w:sz w:val="22"/>
                <w:szCs w:val="22"/>
                <w:lang w:eastAsia="lt-LT" w:bidi="ar-SA"/>
              </w:rPr>
              <w:t>62800</w:t>
            </w: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</w:p>
        </w:tc>
      </w:tr>
      <w:tr w:rsidR="00043769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595FA9" w:rsidRDefault="00043769" w:rsidP="00043769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Default="00043769" w:rsidP="00043769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1.1.2.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2075872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2011118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043769">
              <w:rPr>
                <w:kern w:val="3"/>
                <w:sz w:val="22"/>
                <w:szCs w:val="22"/>
                <w:lang w:eastAsia="lt-LT" w:bidi="ar-SA"/>
              </w:rPr>
              <w:t>2064545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Įrengtų edukacinių patalpų dalis nuo bendro pastato ploto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43769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595FA9" w:rsidRDefault="00043769" w:rsidP="00043769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Default="00043769" w:rsidP="00043769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1.3.2.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jc w:val="center"/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256125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043769">
              <w:rPr>
                <w:kern w:val="3"/>
                <w:sz w:val="22"/>
                <w:szCs w:val="22"/>
                <w:lang w:eastAsia="lt-LT" w:bidi="ar-SA"/>
              </w:rPr>
              <w:t>307350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Vienam pedagogui tenkantis vaikų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Vnt.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043769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595FA9" w:rsidRDefault="00043769" w:rsidP="00043769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Default="00043769" w:rsidP="00043769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Ikimokyklinio amžiaus vaikų pasiekimų ir pažangos lygio, atitinkančio vaiko raidą, dalis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043769" w:rsidRPr="003873AF" w:rsidTr="000B45F1">
        <w:trPr>
          <w:trHeight w:val="1732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595FA9" w:rsidRDefault="00043769" w:rsidP="00043769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Default="00043769" w:rsidP="00043769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Labai gerai ir gerai ugdymo kokybę vertinančių tėvų (globėjų, rūpintojų) dalis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043769" w:rsidRPr="003873AF" w:rsidTr="000B45F1">
        <w:trPr>
          <w:trHeight w:val="2051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3E2346" w:rsidRDefault="00043769" w:rsidP="00043769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595FA9" w:rsidRDefault="00043769" w:rsidP="00043769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Default="00043769" w:rsidP="00043769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Labai gerai ir gerai vaiko savijautą vertinančių tėvų (globėjų, įtėvių, rūpintojų) dalis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043769" w:rsidRDefault="00043769" w:rsidP="00043769">
            <w:pPr>
              <w:rPr>
                <w:sz w:val="22"/>
                <w:szCs w:val="22"/>
              </w:rPr>
            </w:pPr>
            <w:r w:rsidRPr="00043769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3769" w:rsidRPr="00450B98" w:rsidRDefault="00043769" w:rsidP="000437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85“.</w:t>
            </w:r>
          </w:p>
        </w:tc>
      </w:tr>
    </w:tbl>
    <w:p w:rsidR="0081313D" w:rsidRDefault="0081313D" w:rsidP="0081313D">
      <w:pPr>
        <w:pStyle w:val="Pagrindinistekstas"/>
        <w:spacing w:line="312" w:lineRule="auto"/>
        <w:ind w:left="1298" w:firstLine="0"/>
        <w:jc w:val="both"/>
      </w:pPr>
      <w:r w:rsidRPr="008F1FDF">
        <w:t>1.</w:t>
      </w:r>
      <w:r w:rsidR="00302263">
        <w:t>5</w:t>
      </w:r>
      <w:r w:rsidRPr="008F1FDF">
        <w:t>. Pa</w:t>
      </w:r>
      <w:r>
        <w:t xml:space="preserve">pildyti 2 priedą nauja pastraipa pagal </w:t>
      </w:r>
      <w:r w:rsidRPr="00DE73D8">
        <w:t>kodą:</w:t>
      </w:r>
      <w:r w:rsidR="00BC3744">
        <w:t xml:space="preserve"> </w:t>
      </w:r>
    </w:p>
    <w:tbl>
      <w:tblPr>
        <w:tblW w:w="10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417"/>
        <w:gridCol w:w="993"/>
        <w:gridCol w:w="567"/>
        <w:gridCol w:w="708"/>
        <w:gridCol w:w="851"/>
        <w:gridCol w:w="992"/>
        <w:gridCol w:w="1418"/>
        <w:gridCol w:w="567"/>
        <w:gridCol w:w="425"/>
        <w:gridCol w:w="425"/>
        <w:gridCol w:w="567"/>
      </w:tblGrid>
      <w:tr w:rsidR="00450B98" w:rsidRPr="003873AF" w:rsidTr="00C778D2">
        <w:trPr>
          <w:trHeight w:val="477"/>
        </w:trPr>
        <w:tc>
          <w:tcPr>
            <w:tcW w:w="14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  <w:r w:rsidRPr="003E2346">
              <w:t>„</w:t>
            </w:r>
            <w:r>
              <w:t>02.01.01.227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C3744" w:rsidRDefault="00450B98" w:rsidP="00450B98">
            <w:pPr>
              <w:suppressAutoHyphens/>
              <w:autoSpaceDN w:val="0"/>
              <w:textAlignment w:val="baseline"/>
            </w:pPr>
            <w:r w:rsidRPr="00043769">
              <w:t xml:space="preserve">Ugdymo kokybės </w:t>
            </w:r>
            <w:r w:rsidRPr="00043769">
              <w:lastRenderedPageBreak/>
              <w:t>gerinimas Kauno lopšelyje-</w:t>
            </w:r>
          </w:p>
          <w:p w:rsidR="00450B98" w:rsidRPr="003E2346" w:rsidRDefault="00BC3744" w:rsidP="00450B98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>
              <w:t>-</w:t>
            </w:r>
            <w:r w:rsidR="00450B98" w:rsidRPr="00043769">
              <w:t>darželyje „Pelėdžiukas“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</w:pPr>
            <w:r>
              <w:lastRenderedPageBreak/>
              <w:t>Švietimo</w:t>
            </w:r>
            <w:r w:rsidRPr="003E2346">
              <w:t xml:space="preserve"> skyrius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C3744" w:rsidP="00BC37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</w:t>
            </w:r>
            <w:r w:rsidR="00450B98" w:rsidRPr="00B907C1">
              <w:rPr>
                <w:sz w:val="22"/>
                <w:szCs w:val="22"/>
              </w:rPr>
              <w:t>iso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12295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1105403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B907C1">
              <w:rPr>
                <w:kern w:val="3"/>
                <w:sz w:val="22"/>
                <w:szCs w:val="22"/>
                <w:lang w:eastAsia="lt-LT" w:bidi="ar-SA"/>
              </w:rPr>
              <w:t>1224219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rPr>
                <w:sz w:val="22"/>
                <w:szCs w:val="22"/>
                <w:lang w:eastAsia="lt-LT" w:bidi="ar-SA"/>
              </w:rPr>
            </w:pPr>
            <w:r w:rsidRPr="00B907C1">
              <w:rPr>
                <w:sz w:val="22"/>
                <w:szCs w:val="22"/>
              </w:rPr>
              <w:t xml:space="preserve">Įrengtų bendrųjų </w:t>
            </w:r>
            <w:r w:rsidRPr="00B907C1">
              <w:rPr>
                <w:sz w:val="22"/>
                <w:szCs w:val="22"/>
              </w:rPr>
              <w:lastRenderedPageBreak/>
              <w:t>patalpų dalis nuo bendro pastato ploto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lastRenderedPageBreak/>
              <w:t>Proc.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100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10</w:t>
            </w:r>
            <w:r w:rsidR="00450B98" w:rsidRPr="00B907C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</w:t>
            </w:r>
            <w:r w:rsidR="00B907C1" w:rsidRPr="00B907C1">
              <w:rPr>
                <w:sz w:val="22"/>
                <w:szCs w:val="22"/>
              </w:rPr>
              <w:t>00</w:t>
            </w:r>
          </w:p>
        </w:tc>
      </w:tr>
      <w:tr w:rsidR="00450B98" w:rsidRPr="003873AF" w:rsidTr="00C778D2">
        <w:trPr>
          <w:trHeight w:val="472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95FA9" w:rsidRDefault="00450B98" w:rsidP="00450B98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Default="00450B98" w:rsidP="00450B98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043769">
            <w:pPr>
              <w:jc w:val="center"/>
              <w:rPr>
                <w:sz w:val="22"/>
                <w:szCs w:val="22"/>
                <w:lang w:eastAsia="lt-LT" w:bidi="ar-SA"/>
              </w:rPr>
            </w:pPr>
            <w:r w:rsidRPr="00B907C1">
              <w:rPr>
                <w:sz w:val="22"/>
                <w:szCs w:val="22"/>
              </w:rPr>
              <w:t>1.1.1.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53650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B907C1">
              <w:rPr>
                <w:kern w:val="3"/>
                <w:sz w:val="22"/>
                <w:szCs w:val="22"/>
                <w:lang w:eastAsia="lt-LT" w:bidi="ar-SA"/>
              </w:rPr>
              <w:t>60800</w:t>
            </w: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</w:tr>
      <w:tr w:rsidR="00450B98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95FA9" w:rsidRDefault="00450B98" w:rsidP="00450B98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Default="00450B98" w:rsidP="00450B98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1.1.2.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12295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948274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B907C1">
              <w:rPr>
                <w:kern w:val="3"/>
                <w:sz w:val="22"/>
                <w:szCs w:val="22"/>
                <w:lang w:eastAsia="lt-LT" w:bidi="ar-SA"/>
              </w:rPr>
              <w:t>948274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Įrengtų edukacinių patalpų dalis nuo bendro pastato ploto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10</w:t>
            </w:r>
            <w:r w:rsidR="00450B98" w:rsidRPr="00B907C1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10</w:t>
            </w:r>
            <w:r w:rsidR="00450B98" w:rsidRPr="00B907C1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043769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100</w:t>
            </w:r>
          </w:p>
        </w:tc>
      </w:tr>
      <w:tr w:rsidR="00450B98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95FA9" w:rsidRDefault="00450B98" w:rsidP="00450B98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Default="00450B98" w:rsidP="00450B98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1.3.2.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C778D2" w:rsidP="000437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907C1" w:rsidP="00043769">
            <w:pPr>
              <w:jc w:val="center"/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103479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BF321E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>
              <w:rPr>
                <w:kern w:val="3"/>
                <w:sz w:val="22"/>
                <w:szCs w:val="22"/>
                <w:lang w:eastAsia="lt-LT" w:bidi="ar-SA"/>
              </w:rPr>
              <w:t>215145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rPr>
                <w:color w:val="000000"/>
                <w:sz w:val="22"/>
                <w:szCs w:val="22"/>
              </w:rPr>
            </w:pPr>
            <w:r w:rsidRPr="00B907C1">
              <w:rPr>
                <w:color w:val="000000"/>
                <w:sz w:val="22"/>
                <w:szCs w:val="22"/>
              </w:rPr>
              <w:t>Vienam pedagogui tenkantis vaikų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Vnt.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9</w:t>
            </w:r>
          </w:p>
        </w:tc>
      </w:tr>
      <w:tr w:rsidR="00450B98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95FA9" w:rsidRDefault="00450B98" w:rsidP="00450B98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Default="00450B98" w:rsidP="00450B98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Ikimokyklinio amžiaus vaikų pasiekimų ir pažangos lygio, atitinkančio vaiko raidą, dalis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80</w:t>
            </w:r>
          </w:p>
        </w:tc>
      </w:tr>
      <w:tr w:rsidR="00450B98" w:rsidRPr="003873AF" w:rsidTr="00C778D2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95FA9" w:rsidRDefault="00450B98" w:rsidP="00450B98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Default="00450B98" w:rsidP="00450B98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Labai gerai ir gerai ugdymo kokybę vertinančių tėvų (globėjų, rūpintojų) dalis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B907C1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85</w:t>
            </w:r>
          </w:p>
        </w:tc>
      </w:tr>
      <w:tr w:rsidR="00450B98" w:rsidRPr="003873AF" w:rsidTr="000B45F1">
        <w:trPr>
          <w:trHeight w:val="1986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3E2346" w:rsidRDefault="00450B98" w:rsidP="00450B9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95FA9" w:rsidRDefault="00450B98" w:rsidP="00450B98">
            <w:pPr>
              <w:suppressAutoHyphens/>
              <w:autoSpaceDN w:val="0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Default="00450B98" w:rsidP="00450B98">
            <w:pPr>
              <w:spacing w:line="276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Labai gerai ir gerai vaiko savijautą vertinančių tėvų (globėjų, įtėvių, rūpintojų) dalis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450B98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Proc.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B907C1" w:rsidRDefault="00B907C1" w:rsidP="00450B98">
            <w:pPr>
              <w:rPr>
                <w:sz w:val="22"/>
                <w:szCs w:val="22"/>
              </w:rPr>
            </w:pPr>
            <w:r w:rsidRPr="00B907C1">
              <w:rPr>
                <w:sz w:val="22"/>
                <w:szCs w:val="22"/>
              </w:rPr>
              <w:t>85</w:t>
            </w:r>
            <w:r w:rsidR="00043769">
              <w:rPr>
                <w:sz w:val="22"/>
                <w:szCs w:val="22"/>
              </w:rPr>
              <w:t>“.</w:t>
            </w:r>
          </w:p>
        </w:tc>
      </w:tr>
    </w:tbl>
    <w:p w:rsidR="00595FA9" w:rsidRDefault="00595FA9" w:rsidP="0051690F">
      <w:pPr>
        <w:pStyle w:val="Pagrindinistekstas"/>
        <w:ind w:firstLine="1276"/>
        <w:jc w:val="both"/>
      </w:pPr>
      <w:r>
        <w:t>1.</w:t>
      </w:r>
      <w:r w:rsidR="00302263">
        <w:t>6</w:t>
      </w:r>
      <w:r>
        <w:t xml:space="preserve">. </w:t>
      </w:r>
      <w:r w:rsidRPr="008F1FDF">
        <w:t>Pa</w:t>
      </w:r>
      <w:r>
        <w:t xml:space="preserve">pildyti 2 priedą nauja pastraipa pagal </w:t>
      </w:r>
      <w:r w:rsidRPr="00DE73D8">
        <w:t>kodą:</w:t>
      </w:r>
      <w:r w:rsidR="00BC3744">
        <w:t xml:space="preserve"> </w:t>
      </w:r>
    </w:p>
    <w:tbl>
      <w:tblPr>
        <w:tblW w:w="10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417"/>
        <w:gridCol w:w="851"/>
        <w:gridCol w:w="709"/>
        <w:gridCol w:w="708"/>
        <w:gridCol w:w="993"/>
        <w:gridCol w:w="992"/>
        <w:gridCol w:w="1276"/>
        <w:gridCol w:w="567"/>
        <w:gridCol w:w="283"/>
        <w:gridCol w:w="425"/>
        <w:gridCol w:w="709"/>
      </w:tblGrid>
      <w:tr w:rsidR="00681A4A" w:rsidRPr="003873AF" w:rsidTr="00043769">
        <w:trPr>
          <w:trHeight w:val="477"/>
        </w:trPr>
        <w:tc>
          <w:tcPr>
            <w:tcW w:w="14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3E2346" w:rsidRDefault="00681A4A" w:rsidP="00D116F8">
            <w:pPr>
              <w:spacing w:line="276" w:lineRule="auto"/>
              <w:ind w:left="684" w:hanging="684"/>
            </w:pPr>
            <w:r w:rsidRPr="003E2346">
              <w:t>„</w:t>
            </w:r>
            <w:r>
              <w:t>02.02.02.032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3E2346" w:rsidRDefault="002B4675" w:rsidP="003F2C55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2B4675">
              <w:t>Sporto ir laisvalaikio kompleksų Kaune projektavimas ir statyba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3E2346" w:rsidRDefault="00681A4A" w:rsidP="00D116F8">
            <w:pPr>
              <w:spacing w:line="276" w:lineRule="auto"/>
            </w:pPr>
            <w:r>
              <w:t>Sporto</w:t>
            </w:r>
            <w:r w:rsidRPr="003E2346">
              <w:t xml:space="preserve"> 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BC3744" w:rsidP="00BC374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v</w:t>
            </w:r>
            <w:r w:rsidR="00681A4A" w:rsidRPr="00450B98">
              <w:rPr>
                <w:sz w:val="22"/>
                <w:szCs w:val="22"/>
              </w:rPr>
              <w:t>iso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75000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2045000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4480000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Sporto komplekso įrengimas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Vnt.</w:t>
            </w:r>
          </w:p>
        </w:tc>
        <w:tc>
          <w:tcPr>
            <w:tcW w:w="28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</w:t>
            </w:r>
          </w:p>
        </w:tc>
      </w:tr>
      <w:tr w:rsidR="00681A4A" w:rsidRPr="003873AF" w:rsidTr="001161B7">
        <w:trPr>
          <w:trHeight w:val="293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3E2346" w:rsidRDefault="00681A4A" w:rsidP="00D116F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595FA9" w:rsidRDefault="00681A4A" w:rsidP="00D116F8">
            <w:pPr>
              <w:suppressAutoHyphens/>
              <w:autoSpaceDN w:val="0"/>
              <w:textAlignment w:val="baseline"/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Default="00681A4A" w:rsidP="00D116F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681A4A" w:rsidP="000437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1.1.2.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1045000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3555000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</w:p>
        </w:tc>
      </w:tr>
      <w:tr w:rsidR="00681A4A" w:rsidRPr="003873AF" w:rsidTr="00043769">
        <w:trPr>
          <w:trHeight w:val="937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3E2346" w:rsidRDefault="00681A4A" w:rsidP="00D116F8">
            <w:pPr>
              <w:spacing w:line="276" w:lineRule="auto"/>
              <w:ind w:left="684" w:hanging="684"/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595FA9" w:rsidRDefault="00681A4A" w:rsidP="00D116F8">
            <w:pPr>
              <w:suppressAutoHyphens/>
              <w:autoSpaceDN w:val="0"/>
              <w:textAlignment w:val="baseline"/>
            </w:pPr>
          </w:p>
        </w:tc>
        <w:tc>
          <w:tcPr>
            <w:tcW w:w="8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Default="00681A4A" w:rsidP="00D116F8">
            <w:pPr>
              <w:spacing w:line="276" w:lineRule="auto"/>
            </w:pP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681A4A" w:rsidP="0004376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1.3.6.</w:t>
            </w:r>
          </w:p>
        </w:tc>
        <w:tc>
          <w:tcPr>
            <w:tcW w:w="70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75000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jc w:val="center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1000000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1A4A" w:rsidRPr="00450B98" w:rsidRDefault="00564444" w:rsidP="00043769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925000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Įgyvendintų veiklų dalis nuo visų 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Proc.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81A4A" w:rsidRPr="00450B98" w:rsidRDefault="00681A4A" w:rsidP="00D116F8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100</w:t>
            </w:r>
            <w:r w:rsidR="00564444" w:rsidRPr="00450B98">
              <w:rPr>
                <w:sz w:val="22"/>
                <w:szCs w:val="22"/>
              </w:rPr>
              <w:t>“.</w:t>
            </w:r>
          </w:p>
        </w:tc>
      </w:tr>
    </w:tbl>
    <w:p w:rsidR="000508AB" w:rsidRDefault="000508AB" w:rsidP="000508AB">
      <w:pPr>
        <w:pStyle w:val="Pagrindinistekstas"/>
        <w:ind w:firstLine="1276"/>
        <w:jc w:val="both"/>
      </w:pPr>
      <w:r>
        <w:t>1.</w:t>
      </w:r>
      <w:r w:rsidR="00302263">
        <w:t>7</w:t>
      </w:r>
      <w:r>
        <w:t xml:space="preserve">. </w:t>
      </w:r>
      <w:r w:rsidRPr="008F1FDF">
        <w:t>Pa</w:t>
      </w:r>
      <w:r>
        <w:t xml:space="preserve">pildyti 3 priedą nauja pastraipa pagal </w:t>
      </w:r>
      <w:r w:rsidRPr="00DE73D8">
        <w:t>kodą:</w:t>
      </w:r>
      <w:r w:rsidR="00BC3744">
        <w:t xml:space="preserve"> </w:t>
      </w:r>
    </w:p>
    <w:tbl>
      <w:tblPr>
        <w:tblW w:w="103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701"/>
        <w:gridCol w:w="992"/>
        <w:gridCol w:w="709"/>
        <w:gridCol w:w="850"/>
        <w:gridCol w:w="851"/>
        <w:gridCol w:w="567"/>
        <w:gridCol w:w="1276"/>
        <w:gridCol w:w="567"/>
        <w:gridCol w:w="425"/>
        <w:gridCol w:w="567"/>
        <w:gridCol w:w="425"/>
      </w:tblGrid>
      <w:tr w:rsidR="000508AB" w:rsidRPr="003873AF" w:rsidTr="001161B7">
        <w:trPr>
          <w:trHeight w:val="1872"/>
        </w:trPr>
        <w:tc>
          <w:tcPr>
            <w:tcW w:w="14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F26A7E" w:rsidRDefault="000508AB" w:rsidP="001C2605">
            <w:pPr>
              <w:spacing w:line="276" w:lineRule="auto"/>
              <w:ind w:left="684" w:hanging="684"/>
              <w:rPr>
                <w:szCs w:val="24"/>
              </w:rPr>
            </w:pPr>
            <w:r w:rsidRPr="00F26A7E">
              <w:rPr>
                <w:szCs w:val="24"/>
              </w:rPr>
              <w:lastRenderedPageBreak/>
              <w:t>„03.01.01.</w:t>
            </w:r>
            <w:r w:rsidR="001C2605">
              <w:rPr>
                <w:szCs w:val="24"/>
              </w:rPr>
              <w:t>006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F26A7E" w:rsidRDefault="000508AB" w:rsidP="002C1742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F26A7E">
              <w:rPr>
                <w:szCs w:val="24"/>
              </w:rPr>
              <w:t>Gyvenamųjų namų prijungimo prie geriamojo vandens tiekimo ir (arba) nuotekų tvarkymo infrastruktūros, kurią eksploatuoja geriamojo vandens tiekėjas ir nuotekų tvarkytojas, programos įgyvendinimas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F26A7E" w:rsidRDefault="000508AB" w:rsidP="002C1742">
            <w:pPr>
              <w:spacing w:line="276" w:lineRule="auto"/>
              <w:rPr>
                <w:szCs w:val="24"/>
              </w:rPr>
            </w:pPr>
            <w:r w:rsidRPr="00F26A7E">
              <w:rPr>
                <w:szCs w:val="24"/>
              </w:rPr>
              <w:t>Miesto tvarkymo skyrius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2C1742">
            <w:pPr>
              <w:spacing w:line="276" w:lineRule="auto"/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1.1.2.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2C1742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400000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2C1742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2400000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156F91" w:rsidP="002C1742">
            <w:pPr>
              <w:suppressAutoHyphens/>
              <w:autoSpaceDN w:val="0"/>
              <w:snapToGrid w:val="0"/>
              <w:jc w:val="both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2C1742">
            <w:pPr>
              <w:suppressAutoHyphens/>
              <w:autoSpaceDN w:val="0"/>
              <w:snapToGrid w:val="0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  <w:r w:rsidRPr="00450B98">
              <w:rPr>
                <w:kern w:val="3"/>
                <w:sz w:val="22"/>
                <w:szCs w:val="22"/>
                <w:lang w:eastAsia="lt-LT" w:bidi="ar-SA"/>
              </w:rPr>
              <w:t>Sudarytų abonentų sutarčių skaičius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2C1742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Vnt.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2C1742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F26A7E" w:rsidP="00DD09AB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1</w:t>
            </w:r>
            <w:r w:rsidR="00DD09AB" w:rsidRPr="00450B98">
              <w:rPr>
                <w:sz w:val="22"/>
                <w:szCs w:val="22"/>
              </w:rPr>
              <w:t>2</w:t>
            </w:r>
            <w:r w:rsidRPr="00450B98">
              <w:rPr>
                <w:sz w:val="22"/>
                <w:szCs w:val="22"/>
              </w:rPr>
              <w:t>00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508AB" w:rsidRPr="00450B98" w:rsidRDefault="00156F91" w:rsidP="002C1742">
            <w:pPr>
              <w:rPr>
                <w:sz w:val="22"/>
                <w:szCs w:val="22"/>
              </w:rPr>
            </w:pPr>
            <w:r w:rsidRPr="00450B98">
              <w:rPr>
                <w:sz w:val="22"/>
                <w:szCs w:val="22"/>
              </w:rPr>
              <w:t>0</w:t>
            </w:r>
            <w:r w:rsidR="000508AB" w:rsidRPr="00450B98">
              <w:rPr>
                <w:sz w:val="22"/>
                <w:szCs w:val="22"/>
              </w:rPr>
              <w:t>“.</w:t>
            </w:r>
          </w:p>
        </w:tc>
      </w:tr>
    </w:tbl>
    <w:p w:rsidR="004805E9" w:rsidRDefault="002C11C5" w:rsidP="00BC3744">
      <w:pPr>
        <w:pStyle w:val="Pagrindinistekstas"/>
        <w:ind w:firstLine="1276"/>
        <w:jc w:val="both"/>
      </w:pPr>
      <w:r w:rsidRPr="008C6995">
        <w:t xml:space="preserve">2. Šis sprendimas </w:t>
      </w:r>
      <w:r w:rsidRPr="00534FFE">
        <w:t xml:space="preserve">per vieną mėnesį nuo jo paskelbimo dienos </w:t>
      </w:r>
      <w:r w:rsidRPr="008C6995">
        <w:t>gali būti skundžiamas Regionų apygardos administracinio teismo Kauno rūmams (A.</w:t>
      </w:r>
      <w:r w:rsidR="00BC3744">
        <w:t> </w:t>
      </w:r>
      <w:r w:rsidRPr="008C6995">
        <w:t>Mickevičiaus</w:t>
      </w:r>
      <w:r w:rsidR="00BC3744">
        <w:t> </w:t>
      </w:r>
      <w:r w:rsidRPr="008C6995">
        <w:t>g.</w:t>
      </w:r>
      <w:r w:rsidR="00BC3744">
        <w:t> </w:t>
      </w:r>
      <w:r w:rsidRPr="008C6995">
        <w:t>8A, Kaunas) Lietuvos Respublikos administracinių bylų teisenos įstatymo nustatyta tvarka.</w:t>
      </w:r>
      <w:r>
        <w:t xml:space="preserve"> </w:t>
      </w:r>
    </w:p>
    <w:bookmarkEnd w:id="11"/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1A30E7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2C11C5" w:rsidRPr="002C11C5">
              <w:rPr>
                <w:noProof/>
              </w:rPr>
              <w:t>Savivaldybės mer</w:t>
            </w:r>
            <w:r w:rsidR="001A30E7">
              <w:rPr>
                <w:noProof/>
              </w:rPr>
              <w:t>o pavaduotojas, pavaduojantis savivaldybės merą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1A30E7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1A30E7">
              <w:t>Andrius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1A30E7">
              <w:t>Palionis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E2" w:rsidRDefault="000605E2">
      <w:r>
        <w:separator/>
      </w:r>
    </w:p>
  </w:endnote>
  <w:endnote w:type="continuationSeparator" w:id="0">
    <w:p w:rsidR="000605E2" w:rsidRDefault="0006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E2" w:rsidRDefault="000605E2">
      <w:pPr>
        <w:pStyle w:val="Porat"/>
        <w:spacing w:before="240"/>
      </w:pPr>
    </w:p>
  </w:footnote>
  <w:footnote w:type="continuationSeparator" w:id="0">
    <w:p w:rsidR="000605E2" w:rsidRDefault="0006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844C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07C2"/>
    <w:rsid w:val="000263EC"/>
    <w:rsid w:val="00042FB3"/>
    <w:rsid w:val="00043769"/>
    <w:rsid w:val="0004523A"/>
    <w:rsid w:val="000508AB"/>
    <w:rsid w:val="00050B61"/>
    <w:rsid w:val="000605E2"/>
    <w:rsid w:val="000727A2"/>
    <w:rsid w:val="00086977"/>
    <w:rsid w:val="000B45F1"/>
    <w:rsid w:val="000D29C0"/>
    <w:rsid w:val="001161B7"/>
    <w:rsid w:val="00116B7E"/>
    <w:rsid w:val="00156F91"/>
    <w:rsid w:val="001861BB"/>
    <w:rsid w:val="001A30E7"/>
    <w:rsid w:val="001A3423"/>
    <w:rsid w:val="001C2605"/>
    <w:rsid w:val="001D1071"/>
    <w:rsid w:val="001D7799"/>
    <w:rsid w:val="00266465"/>
    <w:rsid w:val="002B4675"/>
    <w:rsid w:val="002C11C5"/>
    <w:rsid w:val="002C1C65"/>
    <w:rsid w:val="002F14F1"/>
    <w:rsid w:val="00302263"/>
    <w:rsid w:val="003266FB"/>
    <w:rsid w:val="003637E1"/>
    <w:rsid w:val="003E2346"/>
    <w:rsid w:val="003F2C55"/>
    <w:rsid w:val="004372D1"/>
    <w:rsid w:val="004422A7"/>
    <w:rsid w:val="00450B98"/>
    <w:rsid w:val="00456142"/>
    <w:rsid w:val="0047702A"/>
    <w:rsid w:val="004805E9"/>
    <w:rsid w:val="004C4242"/>
    <w:rsid w:val="0051690F"/>
    <w:rsid w:val="00531E81"/>
    <w:rsid w:val="0054223E"/>
    <w:rsid w:val="00564444"/>
    <w:rsid w:val="00572898"/>
    <w:rsid w:val="00582FFC"/>
    <w:rsid w:val="00595FA9"/>
    <w:rsid w:val="005E40B3"/>
    <w:rsid w:val="0060662B"/>
    <w:rsid w:val="00645B20"/>
    <w:rsid w:val="006707C2"/>
    <w:rsid w:val="00681A4A"/>
    <w:rsid w:val="006A138F"/>
    <w:rsid w:val="006B1DD0"/>
    <w:rsid w:val="00775503"/>
    <w:rsid w:val="007D1D62"/>
    <w:rsid w:val="0081313D"/>
    <w:rsid w:val="00851D77"/>
    <w:rsid w:val="008649D0"/>
    <w:rsid w:val="008C7C85"/>
    <w:rsid w:val="008D13CF"/>
    <w:rsid w:val="00936E82"/>
    <w:rsid w:val="009653F4"/>
    <w:rsid w:val="009F39E5"/>
    <w:rsid w:val="00A23B95"/>
    <w:rsid w:val="00B06AD8"/>
    <w:rsid w:val="00B462C9"/>
    <w:rsid w:val="00B535F7"/>
    <w:rsid w:val="00B907C1"/>
    <w:rsid w:val="00BA4663"/>
    <w:rsid w:val="00BB3F5F"/>
    <w:rsid w:val="00BC3744"/>
    <w:rsid w:val="00BC54EB"/>
    <w:rsid w:val="00BD77D0"/>
    <w:rsid w:val="00BF321E"/>
    <w:rsid w:val="00C01CB6"/>
    <w:rsid w:val="00C06CE3"/>
    <w:rsid w:val="00C10BF5"/>
    <w:rsid w:val="00C332C4"/>
    <w:rsid w:val="00C66EE6"/>
    <w:rsid w:val="00C778D2"/>
    <w:rsid w:val="00D13647"/>
    <w:rsid w:val="00D86282"/>
    <w:rsid w:val="00D9503F"/>
    <w:rsid w:val="00DD09AB"/>
    <w:rsid w:val="00DD7FB0"/>
    <w:rsid w:val="00E87B48"/>
    <w:rsid w:val="00EC360E"/>
    <w:rsid w:val="00EE42F2"/>
    <w:rsid w:val="00F2223C"/>
    <w:rsid w:val="00F26A7E"/>
    <w:rsid w:val="00F321E4"/>
    <w:rsid w:val="00F53445"/>
    <w:rsid w:val="00F844C8"/>
    <w:rsid w:val="00FA09F4"/>
    <w:rsid w:val="00FB39F8"/>
    <w:rsid w:val="00FB789B"/>
    <w:rsid w:val="00FC1BE7"/>
    <w:rsid w:val="00FD4307"/>
    <w:rsid w:val="00FE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157AB-813E-4E97-90DF-C072126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C11C5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A30E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A30E7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00B50-82E7-46E8-B920-EDEFCBDD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4</Pages>
  <Words>2503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2022-09-13   SPRENDIMAS   Nr. T-414</vt:lpstr>
      <vt:lpstr> </vt:lpstr>
    </vt:vector>
  </TitlesOfParts>
  <Manager>Savivaldybės mero pavaduotojas, pavaduojantis savivaldybės merą Andrius Palionis</Manager>
  <Company>KAUNO MIESTO SAVIVALDYBĖ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2022-09-13   SPRENDIMAS   Nr. T-414</dc:title>
  <dc:subject>DĖL KAUNO MIESTO SAVIVALDYBĖS TARYBOS 2022 M. VASARIO 1 D. SPRENDIMO NR. T-3 „DĖL KAUNO MIESTO SAVIVALDYBĖS 2022–2024 METŲ STRATEGINIO VEIKLOS PLANO PATVIRTINIMO“ PAKEITIMO</dc:subject>
  <dc:creator>Windows User</dc:creator>
  <cp:keywords/>
  <cp:lastModifiedBy>Laura Bačiliūnienė</cp:lastModifiedBy>
  <cp:revision>2</cp:revision>
  <cp:lastPrinted>2022-09-14T07:37:00Z</cp:lastPrinted>
  <dcterms:created xsi:type="dcterms:W3CDTF">2022-09-16T06:09:00Z</dcterms:created>
  <dcterms:modified xsi:type="dcterms:W3CDTF">2022-09-16T06:09:00Z</dcterms:modified>
</cp:coreProperties>
</file>