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28" w:rsidRPr="00CC1FCD" w:rsidRDefault="00584E28" w:rsidP="00584E28">
      <w:pPr>
        <w:tabs>
          <w:tab w:val="left" w:pos="567"/>
        </w:tabs>
        <w:spacing w:before="60" w:after="60"/>
        <w:jc w:val="right"/>
        <w:rPr>
          <w:b/>
        </w:rPr>
      </w:pPr>
      <w:r w:rsidRPr="00CC1FCD">
        <w:rPr>
          <w:b/>
        </w:rPr>
        <w:t>Pagrindinės sutarties 4 priedas</w:t>
      </w:r>
    </w:p>
    <w:p w:rsidR="004C7CD5" w:rsidRPr="004C7CD5" w:rsidRDefault="004C7CD5" w:rsidP="004C7CD5">
      <w:pPr>
        <w:tabs>
          <w:tab w:val="left" w:pos="567"/>
        </w:tabs>
        <w:spacing w:before="60" w:after="60"/>
        <w:jc w:val="center"/>
        <w:rPr>
          <w:b/>
        </w:rPr>
      </w:pPr>
      <w:r w:rsidRPr="004C7CD5">
        <w:rPr>
          <w:b/>
        </w:rPr>
        <w:t>Paslaugų kiekiai ir įkainiai</w:t>
      </w:r>
    </w:p>
    <w:p w:rsidR="00584E28" w:rsidRDefault="00584E28" w:rsidP="00BC1244">
      <w:pPr>
        <w:tabs>
          <w:tab w:val="left" w:pos="567"/>
        </w:tabs>
        <w:spacing w:before="60" w:after="60"/>
        <w:jc w:val="both"/>
        <w:rPr>
          <w:i/>
        </w:rPr>
      </w:pPr>
    </w:p>
    <w:p w:rsidR="00BC1244" w:rsidRDefault="00584E28" w:rsidP="00BC1244">
      <w:pPr>
        <w:tabs>
          <w:tab w:val="left" w:pos="567"/>
        </w:tabs>
        <w:spacing w:before="60" w:after="60"/>
        <w:jc w:val="both"/>
        <w:rPr>
          <w:i/>
        </w:rPr>
      </w:pPr>
      <w:r w:rsidRPr="00584E28">
        <w:rPr>
          <w:i/>
        </w:rPr>
        <w:t xml:space="preserve">Sudarant </w:t>
      </w:r>
      <w:r w:rsidR="003A2EF4">
        <w:rPr>
          <w:i/>
        </w:rPr>
        <w:t xml:space="preserve">atitinkamos pirkimo dalies </w:t>
      </w:r>
      <w:r w:rsidRPr="00584E28">
        <w:rPr>
          <w:i/>
        </w:rPr>
        <w:t>pagrindinę sutartį nurodomi tik perkamam objektui reikalingos paslaugos, kiekiai, mato vnt.</w:t>
      </w:r>
    </w:p>
    <w:p w:rsidR="00F62CBB" w:rsidRPr="00584E28" w:rsidRDefault="00F62CBB" w:rsidP="00BC1244">
      <w:pPr>
        <w:tabs>
          <w:tab w:val="left" w:pos="567"/>
        </w:tabs>
        <w:spacing w:before="60" w:after="60"/>
        <w:jc w:val="both"/>
        <w:rPr>
          <w:i/>
        </w:rPr>
      </w:pPr>
      <w:r>
        <w:rPr>
          <w:i/>
        </w:rPr>
        <w:t xml:space="preserve">I PIRKIMO DALIES </w:t>
      </w:r>
      <w:r w:rsidR="00733EB0">
        <w:rPr>
          <w:i/>
        </w:rPr>
        <w:t>PAGRINDINĖS SUTARTIES PRIEDO FORMA</w:t>
      </w:r>
    </w:p>
    <w:tbl>
      <w:tblPr>
        <w:tblW w:w="9985" w:type="dxa"/>
        <w:tblLook w:val="04A0" w:firstRow="1" w:lastRow="0" w:firstColumn="1" w:lastColumn="0" w:noHBand="0" w:noVBand="1"/>
      </w:tblPr>
      <w:tblGrid>
        <w:gridCol w:w="581"/>
        <w:gridCol w:w="3555"/>
        <w:gridCol w:w="835"/>
        <w:gridCol w:w="21"/>
        <w:gridCol w:w="809"/>
        <w:gridCol w:w="1013"/>
        <w:gridCol w:w="1078"/>
        <w:gridCol w:w="1016"/>
        <w:gridCol w:w="1077"/>
      </w:tblGrid>
      <w:tr w:rsidR="0049516C" w:rsidRPr="00BE434B" w:rsidTr="00A35CED">
        <w:trPr>
          <w:trHeight w:val="675"/>
        </w:trPr>
        <w:tc>
          <w:tcPr>
            <w:tcW w:w="9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516C" w:rsidRPr="00BE434B" w:rsidRDefault="0049516C" w:rsidP="00053BBD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Archeologinių tyrimų </w:t>
            </w:r>
            <w:r>
              <w:rPr>
                <w:rFonts w:cs="Arial"/>
                <w:b/>
                <w:lang w:eastAsia="lt-LT"/>
              </w:rPr>
              <w:t xml:space="preserve">Kauno miesto </w:t>
            </w:r>
            <w:r w:rsidRPr="004E0190">
              <w:rPr>
                <w:rFonts w:cs="Arial"/>
                <w:b/>
                <w:lang w:eastAsia="lt-LT"/>
              </w:rPr>
              <w:t>archeologinio pobūdžio kultūros vertybių</w:t>
            </w:r>
            <w:r>
              <w:rPr>
                <w:rFonts w:cs="Arial"/>
                <w:lang w:eastAsia="lt-LT"/>
              </w:rPr>
              <w:t xml:space="preserve"> </w:t>
            </w:r>
            <w:r w:rsidRPr="00A0291B">
              <w:rPr>
                <w:rFonts w:cs="Arial"/>
                <w:b/>
                <w:lang w:eastAsia="lt-LT"/>
              </w:rPr>
              <w:t>teritorijo</w:t>
            </w:r>
            <w:r>
              <w:rPr>
                <w:rFonts w:cs="Arial"/>
                <w:b/>
                <w:lang w:eastAsia="lt-LT"/>
              </w:rPr>
              <w:t>s</w:t>
            </w:r>
            <w:r w:rsidRPr="00A0291B">
              <w:rPr>
                <w:rFonts w:cs="Arial"/>
                <w:b/>
                <w:lang w:eastAsia="lt-LT"/>
              </w:rPr>
              <w:t xml:space="preserve">e </w:t>
            </w: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poreikis</w:t>
            </w:r>
            <w:r w:rsidR="007572F7" w:rsidRPr="009F6816">
              <w:rPr>
                <w:rFonts w:cs="Arial"/>
                <w:b/>
                <w:bCs/>
                <w:color w:val="000000"/>
                <w:lang w:eastAsia="lt-LT"/>
              </w:rPr>
              <w:t>,</w:t>
            </w:r>
            <w:r w:rsidR="007572F7" w:rsidRPr="00BE434B">
              <w:rPr>
                <w:rFonts w:cs="Arial"/>
                <w:b/>
                <w:bCs/>
                <w:color w:val="000000"/>
                <w:lang w:eastAsia="lt-LT"/>
              </w:rPr>
              <w:t xml:space="preserve"> KAI IŠKASOS GYLIS IKI 0,5 M</w:t>
            </w:r>
            <w:r w:rsidR="007572F7">
              <w:rPr>
                <w:rFonts w:cs="Arial"/>
                <w:b/>
                <w:bCs/>
                <w:color w:val="000000"/>
                <w:lang w:eastAsia="lt-LT"/>
              </w:rPr>
              <w:t>:</w:t>
            </w:r>
          </w:p>
        </w:tc>
      </w:tr>
      <w:tr w:rsidR="00C17201" w:rsidRPr="00BE434B" w:rsidTr="00235A86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Paslaugų pavadinimas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Default="00053BBD" w:rsidP="00E03515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Maksimalus</w:t>
            </w:r>
            <w:r w:rsidR="00E03515">
              <w:rPr>
                <w:rFonts w:cs="Arial"/>
                <w:b/>
                <w:bCs/>
                <w:color w:val="000000"/>
                <w:lang w:eastAsia="lt-LT"/>
              </w:rPr>
              <w:t xml:space="preserve"> t</w:t>
            </w:r>
            <w:r w:rsidR="00C17201">
              <w:rPr>
                <w:rFonts w:cs="Arial"/>
                <w:b/>
                <w:bCs/>
                <w:color w:val="000000"/>
                <w:lang w:eastAsia="lt-LT"/>
              </w:rPr>
              <w:t>iriamas plotas (m²) ir tiriamų objektų skaičius (vnt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.</w:t>
            </w:r>
            <w:r w:rsidR="00C17201">
              <w:rPr>
                <w:rFonts w:cs="Arial"/>
                <w:b/>
                <w:bCs/>
                <w:color w:val="000000"/>
                <w:lang w:eastAsia="lt-LT"/>
              </w:rPr>
              <w:t>)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  <w:r w:rsidRPr="00053BBD">
              <w:rPr>
                <w:rFonts w:cs="Arial"/>
                <w:b/>
                <w:bCs/>
                <w:i/>
                <w:color w:val="000000"/>
                <w:lang w:eastAsia="lt-LT"/>
              </w:rPr>
              <w:t>(jei yra keli objektai)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Įkainiai be PVM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</w:t>
            </w:r>
            <w:r w:rsidR="004347A7">
              <w:rPr>
                <w:rFonts w:cs="Arial"/>
                <w:b/>
                <w:bCs/>
                <w:color w:val="000000"/>
                <w:lang w:eastAsia="lt-LT"/>
              </w:rPr>
              <w:t xml:space="preserve">maksimali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kaina nurodytiems kiekiams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</w:p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be PVM</w:t>
            </w:r>
          </w:p>
        </w:tc>
      </w:tr>
      <w:tr w:rsidR="00C17201" w:rsidRPr="00BE434B" w:rsidTr="003644FB">
        <w:trPr>
          <w:trHeight w:val="69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01" w:rsidRPr="00BE434B" w:rsidRDefault="00C17201" w:rsidP="00235A86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C17201" w:rsidRPr="00BE434B" w:rsidTr="00C17201">
        <w:trPr>
          <w:trHeight w:val="690"/>
        </w:trPr>
        <w:tc>
          <w:tcPr>
            <w:tcW w:w="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17201" w:rsidRPr="00BE434B" w:rsidRDefault="00C17201" w:rsidP="00235A8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</w:tr>
      <w:tr w:rsidR="00E03515" w:rsidRPr="00BE434B" w:rsidTr="00B97D7B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86" w:rsidRPr="00D52614" w:rsidRDefault="00235A86" w:rsidP="00235A86">
            <w:pPr>
              <w:rPr>
                <w:rFonts w:cs="Arial"/>
                <w:bCs/>
                <w:color w:val="000000"/>
                <w:lang w:eastAsia="lt-LT"/>
              </w:rPr>
            </w:pPr>
            <w:r w:rsidRPr="00D52614">
              <w:rPr>
                <w:rFonts w:cs="Arial"/>
                <w:bCs/>
                <w:color w:val="000000"/>
                <w:lang w:eastAsia="lt-LT"/>
              </w:rPr>
              <w:t>1.1.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5A86" w:rsidRPr="00BE434B" w:rsidRDefault="00235A86" w:rsidP="00235A86">
            <w:pPr>
              <w:jc w:val="both"/>
              <w:rPr>
                <w:rFonts w:cs="Arial"/>
                <w:color w:val="000000"/>
                <w:lang w:eastAsia="lt-LT"/>
              </w:rPr>
            </w:pPr>
            <w:r>
              <w:rPr>
                <w:rFonts w:cs="Arial"/>
                <w:color w:val="000000"/>
                <w:lang w:eastAsia="lt-LT"/>
              </w:rPr>
              <w:t>Archeologiniai žvalgymai inžinerinių tinklų avarinio remonto metu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E03515" w:rsidRPr="00BE434B" w:rsidTr="00B97D7B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D52614" w:rsidRDefault="00235A86" w:rsidP="00235A86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1.2.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5F47EC" w:rsidRDefault="00235A86" w:rsidP="00235A86">
            <w:pPr>
              <w:pStyle w:val="Sraopastraipa"/>
              <w:tabs>
                <w:tab w:val="left" w:pos="426"/>
                <w:tab w:val="left" w:pos="567"/>
                <w:tab w:val="left" w:pos="709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Archeolog</w:t>
            </w:r>
            <w:r>
              <w:rPr>
                <w:rFonts w:eastAsia="Times New Roman" w:cs="Arial"/>
                <w:lang w:eastAsia="lt-LT"/>
              </w:rPr>
              <w:t>iniai žvalgymai, vykdomi Kauno</w:t>
            </w:r>
            <w:r w:rsidRPr="00A0291B">
              <w:rPr>
                <w:rFonts w:eastAsia="Times New Roman" w:cs="Arial"/>
                <w:lang w:eastAsia="lt-LT"/>
              </w:rPr>
              <w:t xml:space="preserve"> miesto </w:t>
            </w:r>
            <w:r w:rsidRPr="00EB227C">
              <w:rPr>
                <w:rFonts w:eastAsia="Times New Roman" w:cs="Arial"/>
                <w:lang w:eastAsia="lt-LT"/>
              </w:rPr>
              <w:t xml:space="preserve">archeologinio pobūdžio </w:t>
            </w:r>
            <w:r w:rsidRPr="00A0291B">
              <w:rPr>
                <w:rFonts w:eastAsia="Times New Roman" w:cs="Arial"/>
                <w:lang w:eastAsia="lt-LT"/>
              </w:rPr>
              <w:t xml:space="preserve">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teritorijose 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apsaugos zonoje, virš esamų </w:t>
            </w:r>
            <w:r>
              <w:rPr>
                <w:rFonts w:eastAsia="Times New Roman" w:cs="Arial"/>
                <w:lang w:eastAsia="lt-LT"/>
              </w:rPr>
              <w:t xml:space="preserve">tinklų, </w:t>
            </w:r>
            <w:r w:rsidRPr="00A0291B">
              <w:rPr>
                <w:rFonts w:eastAsia="Times New Roman" w:cs="Arial"/>
                <w:lang w:eastAsia="lt-LT"/>
              </w:rPr>
              <w:t>tinklų remonto bei</w:t>
            </w:r>
            <w:r>
              <w:rPr>
                <w:rFonts w:eastAsia="Times New Roman" w:cs="Arial"/>
                <w:lang w:eastAsia="lt-LT"/>
              </w:rPr>
              <w:t xml:space="preserve"> rekonstravimo darbų metu, gatvių dangos keitimo ar remonto bei pagrindų įrengimo ir naujų statinių statybos darbų metu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E03515" w:rsidRPr="00BE434B" w:rsidTr="00B97D7B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D52614" w:rsidRDefault="00235A86" w:rsidP="00235A86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1.3.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5F47EC" w:rsidRDefault="00235A86" w:rsidP="00235A86">
            <w:pPr>
              <w:pStyle w:val="Sraopastraipa"/>
              <w:tabs>
                <w:tab w:val="left" w:pos="0"/>
                <w:tab w:val="left" w:pos="142"/>
                <w:tab w:val="left" w:pos="709"/>
                <w:tab w:val="left" w:pos="851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Žvalgomieji archeologiniai tyrimai</w:t>
            </w:r>
            <w:r>
              <w:rPr>
                <w:rFonts w:eastAsia="Times New Roman" w:cs="Arial"/>
                <w:lang w:eastAsia="lt-LT"/>
              </w:rPr>
              <w:t>,</w:t>
            </w:r>
            <w:r w:rsidRPr="00A0291B">
              <w:rPr>
                <w:rFonts w:eastAsia="Times New Roman" w:cs="Arial"/>
                <w:lang w:eastAsia="lt-LT"/>
              </w:rPr>
              <w:t xml:space="preserve"> vykdomi prieš </w:t>
            </w:r>
            <w:r>
              <w:rPr>
                <w:rFonts w:eastAsia="Times New Roman" w:cs="Arial"/>
                <w:lang w:eastAsia="lt-LT"/>
              </w:rPr>
              <w:t>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projektavimą, statant naujus arba rekonstruojant esamus tinklus</w:t>
            </w:r>
            <w:r>
              <w:rPr>
                <w:rFonts w:eastAsia="Times New Roman" w:cs="Arial"/>
                <w:lang w:eastAsia="lt-LT"/>
              </w:rPr>
              <w:t>, gatvių dangų remontą ar keitimą ir naujų statinių statybą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Kauno</w:t>
            </w:r>
            <w:r w:rsidRPr="00A0291B">
              <w:rPr>
                <w:rFonts w:eastAsia="Times New Roman" w:cs="Arial"/>
                <w:lang w:eastAsia="lt-LT"/>
              </w:rPr>
              <w:t xml:space="preserve"> miesto</w:t>
            </w:r>
            <w:r>
              <w:rPr>
                <w:rFonts w:eastAsia="Times New Roman" w:cs="Arial"/>
                <w:lang w:eastAsia="lt-LT"/>
              </w:rPr>
              <w:t xml:space="preserve"> archeologinio pobūdžio</w:t>
            </w:r>
            <w:r w:rsidRPr="00A0291B">
              <w:rPr>
                <w:rFonts w:eastAsia="Times New Roman" w:cs="Arial"/>
                <w:lang w:eastAsia="lt-LT"/>
              </w:rPr>
              <w:t xml:space="preserve"> 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teritorijo</w:t>
            </w:r>
            <w:r>
              <w:rPr>
                <w:rFonts w:eastAsia="Times New Roman" w:cs="Arial"/>
                <w:lang w:eastAsia="lt-LT"/>
              </w:rPr>
              <w:t>s</w:t>
            </w:r>
            <w:r w:rsidRPr="00A0291B">
              <w:rPr>
                <w:rFonts w:eastAsia="Times New Roman" w:cs="Arial"/>
                <w:lang w:eastAsia="lt-LT"/>
              </w:rPr>
              <w:t xml:space="preserve">e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E03515" w:rsidRPr="00BE434B" w:rsidTr="00B97D7B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D52614" w:rsidRDefault="00235A86" w:rsidP="00235A86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1.4.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Default="00235A86" w:rsidP="00235A86">
            <w:pPr>
              <w:jc w:val="both"/>
              <w:rPr>
                <w:rFonts w:cs="Arial"/>
                <w:color w:val="000000"/>
                <w:lang w:eastAsia="lt-LT"/>
              </w:rPr>
            </w:pPr>
            <w:r w:rsidRPr="00A0291B">
              <w:rPr>
                <w:rFonts w:cs="Arial"/>
                <w:lang w:eastAsia="lt-LT"/>
              </w:rPr>
              <w:t>Detalieji archeologiniai tyrimai</w:t>
            </w:r>
            <w:r>
              <w:rPr>
                <w:rFonts w:cs="Arial"/>
                <w:lang w:eastAsia="lt-LT"/>
              </w:rPr>
              <w:t>, vykdomi statant</w:t>
            </w:r>
            <w:r w:rsidRPr="00A0291B">
              <w:rPr>
                <w:rFonts w:cs="Arial"/>
                <w:lang w:eastAsia="lt-LT"/>
              </w:rPr>
              <w:t xml:space="preserve"> naujus </w:t>
            </w:r>
            <w:r>
              <w:rPr>
                <w:rFonts w:cs="Arial"/>
                <w:lang w:eastAsia="lt-LT"/>
              </w:rPr>
              <w:t>inžinerinius</w:t>
            </w:r>
            <w:r w:rsidRPr="00A0291B">
              <w:rPr>
                <w:rFonts w:cs="Arial"/>
                <w:lang w:eastAsia="lt-LT"/>
              </w:rPr>
              <w:t xml:space="preserve"> tinklus</w:t>
            </w:r>
            <w:r>
              <w:rPr>
                <w:rFonts w:cs="Arial"/>
                <w:lang w:eastAsia="lt-LT"/>
              </w:rPr>
              <w:t>, remontuojant ar keičiant gatvių dangas ir statant naujus statinius</w:t>
            </w:r>
            <w:r w:rsidRPr="00A0291B">
              <w:rPr>
                <w:rFonts w:cs="Arial"/>
                <w:lang w:eastAsia="lt-LT"/>
              </w:rPr>
              <w:t xml:space="preserve"> </w:t>
            </w:r>
            <w:r>
              <w:rPr>
                <w:rFonts w:cs="Arial"/>
                <w:lang w:eastAsia="lt-LT"/>
              </w:rPr>
              <w:t>Kauno</w:t>
            </w:r>
            <w:r w:rsidRPr="00A0291B">
              <w:rPr>
                <w:rFonts w:cs="Arial"/>
                <w:lang w:eastAsia="lt-LT"/>
              </w:rPr>
              <w:t xml:space="preserve"> miesto </w:t>
            </w:r>
            <w:r>
              <w:rPr>
                <w:rFonts w:cs="Arial"/>
                <w:lang w:eastAsia="lt-LT"/>
              </w:rPr>
              <w:t xml:space="preserve">archeologinio pobūdžio </w:t>
            </w:r>
            <w:r w:rsidRPr="00A0291B">
              <w:rPr>
                <w:rFonts w:cs="Arial"/>
                <w:lang w:eastAsia="lt-LT"/>
              </w:rPr>
              <w:t xml:space="preserve">kultūros </w:t>
            </w:r>
            <w:r>
              <w:rPr>
                <w:rFonts w:cs="Arial"/>
                <w:lang w:eastAsia="lt-LT"/>
              </w:rPr>
              <w:t>vertybių</w:t>
            </w:r>
            <w:r w:rsidRPr="00A0291B">
              <w:rPr>
                <w:rFonts w:cs="Arial"/>
                <w:lang w:eastAsia="lt-LT"/>
              </w:rPr>
              <w:t xml:space="preserve"> teritorijo</w:t>
            </w:r>
            <w:r>
              <w:rPr>
                <w:rFonts w:cs="Arial"/>
                <w:lang w:eastAsia="lt-LT"/>
              </w:rPr>
              <w:t>s</w:t>
            </w:r>
            <w:r w:rsidRPr="00A0291B">
              <w:rPr>
                <w:rFonts w:cs="Arial"/>
                <w:lang w:eastAsia="lt-LT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5A86" w:rsidRPr="00BE434B" w:rsidRDefault="00235A86" w:rsidP="00235A86">
            <w:pPr>
              <w:rPr>
                <w:rFonts w:cs="Arial"/>
                <w:color w:val="000000"/>
                <w:lang w:eastAsia="lt-LT"/>
              </w:rPr>
            </w:pPr>
          </w:p>
        </w:tc>
      </w:tr>
      <w:tr w:rsidR="006C13B2" w:rsidRPr="00BE434B" w:rsidTr="00111E73">
        <w:trPr>
          <w:trHeight w:val="326"/>
        </w:trPr>
        <w:tc>
          <w:tcPr>
            <w:tcW w:w="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3B2" w:rsidRDefault="006C13B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                            PVM (21 proc.)</w:t>
            </w:r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3B2" w:rsidRDefault="006C13B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6C13B2" w:rsidRPr="00BE434B" w:rsidTr="00EE10F7">
        <w:trPr>
          <w:trHeight w:val="259"/>
        </w:trPr>
        <w:tc>
          <w:tcPr>
            <w:tcW w:w="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3B2" w:rsidRDefault="006C13B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</w:t>
            </w:r>
            <w:r w:rsidR="00E17CC0"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kaina </w:t>
            </w:r>
            <w:proofErr w:type="spellStart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su PVM</w:t>
            </w:r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C13B2" w:rsidRDefault="006C13B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C45032" w:rsidRPr="00BE434B" w:rsidTr="002C5103">
        <w:trPr>
          <w:trHeight w:val="675"/>
        </w:trPr>
        <w:tc>
          <w:tcPr>
            <w:tcW w:w="998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1077D" w:rsidRDefault="0091077D" w:rsidP="0091077D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91077D" w:rsidRDefault="0091077D" w:rsidP="0091077D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C45032" w:rsidRPr="00BE434B" w:rsidRDefault="0091077D" w:rsidP="0091077D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  <w:lang w:eastAsia="lt-LT"/>
              </w:rPr>
              <w:t>A</w:t>
            </w:r>
            <w:r w:rsidR="00C45032">
              <w:rPr>
                <w:rFonts w:cs="Arial"/>
                <w:b/>
                <w:bCs/>
                <w:color w:val="000000"/>
                <w:lang w:eastAsia="lt-LT"/>
              </w:rPr>
              <w:t xml:space="preserve">rcheologinių tyrimų </w:t>
            </w:r>
            <w:r w:rsidR="00C45032">
              <w:rPr>
                <w:rFonts w:cs="Arial"/>
                <w:b/>
                <w:lang w:eastAsia="lt-LT"/>
              </w:rPr>
              <w:t xml:space="preserve">Kauno miesto </w:t>
            </w:r>
            <w:r w:rsidR="00C45032" w:rsidRPr="004E0190">
              <w:rPr>
                <w:rFonts w:cs="Arial"/>
                <w:b/>
                <w:lang w:eastAsia="lt-LT"/>
              </w:rPr>
              <w:t>archeologinio pobūdžio kultūros vertybių</w:t>
            </w:r>
            <w:r w:rsidR="00C45032">
              <w:rPr>
                <w:rFonts w:cs="Arial"/>
                <w:lang w:eastAsia="lt-LT"/>
              </w:rPr>
              <w:t xml:space="preserve"> </w:t>
            </w:r>
            <w:r w:rsidR="00C45032" w:rsidRPr="00A0291B">
              <w:rPr>
                <w:rFonts w:cs="Arial"/>
                <w:b/>
                <w:lang w:eastAsia="lt-LT"/>
              </w:rPr>
              <w:t>teritorijo</w:t>
            </w:r>
            <w:r w:rsidR="00C45032">
              <w:rPr>
                <w:rFonts w:cs="Arial"/>
                <w:b/>
                <w:lang w:eastAsia="lt-LT"/>
              </w:rPr>
              <w:t>s</w:t>
            </w:r>
            <w:r w:rsidR="00C45032" w:rsidRPr="00A0291B">
              <w:rPr>
                <w:rFonts w:cs="Arial"/>
                <w:b/>
                <w:lang w:eastAsia="lt-LT"/>
              </w:rPr>
              <w:t xml:space="preserve">e </w:t>
            </w:r>
            <w:r w:rsidR="00C45032" w:rsidRPr="00BE434B">
              <w:rPr>
                <w:rFonts w:cs="Arial"/>
                <w:b/>
                <w:bCs/>
                <w:color w:val="000000"/>
                <w:lang w:eastAsia="lt-LT"/>
              </w:rPr>
              <w:t>poreikis</w:t>
            </w:r>
            <w:r w:rsidR="00C45032" w:rsidRPr="009F6816">
              <w:rPr>
                <w:rFonts w:cs="Arial"/>
                <w:b/>
                <w:bCs/>
                <w:color w:val="000000"/>
                <w:lang w:eastAsia="lt-LT"/>
              </w:rPr>
              <w:t>,</w:t>
            </w:r>
            <w:r w:rsidR="00C45032" w:rsidRPr="00BE434B">
              <w:rPr>
                <w:rFonts w:cs="Arial"/>
                <w:b/>
                <w:bCs/>
                <w:color w:val="000000"/>
                <w:lang w:eastAsia="lt-LT"/>
              </w:rPr>
              <w:t xml:space="preserve"> KAI IŠKASOS GYLIS </w:t>
            </w:r>
            <w:r w:rsidR="00C45032">
              <w:rPr>
                <w:rFonts w:cs="Arial"/>
                <w:b/>
                <w:bCs/>
                <w:color w:val="000000"/>
                <w:lang w:eastAsia="lt-LT"/>
              </w:rPr>
              <w:t>NUO 0,5 IKI 1,4</w:t>
            </w:r>
            <w:r w:rsidR="00C45032" w:rsidRPr="00BE434B">
              <w:rPr>
                <w:rFonts w:cs="Arial"/>
                <w:b/>
                <w:bCs/>
                <w:color w:val="000000"/>
                <w:lang w:eastAsia="lt-LT"/>
              </w:rPr>
              <w:t xml:space="preserve"> M</w:t>
            </w:r>
            <w:r w:rsidR="00C45032">
              <w:rPr>
                <w:rFonts w:cs="Arial"/>
                <w:b/>
                <w:bCs/>
                <w:color w:val="000000"/>
                <w:lang w:eastAsia="lt-LT"/>
              </w:rPr>
              <w:t>:</w:t>
            </w:r>
          </w:p>
        </w:tc>
      </w:tr>
      <w:tr w:rsidR="00C45032" w:rsidRPr="00BE434B" w:rsidTr="002C5103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Paslaugų pavadinimas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Maksimalus tiriamas plotas (m²) ir tiriamų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lastRenderedPageBreak/>
              <w:t xml:space="preserve">objektų skaičius (vnt.) </w:t>
            </w:r>
            <w:r w:rsidRPr="00053BBD">
              <w:rPr>
                <w:rFonts w:cs="Arial"/>
                <w:b/>
                <w:bCs/>
                <w:i/>
                <w:color w:val="000000"/>
                <w:lang w:eastAsia="lt-LT"/>
              </w:rPr>
              <w:t>(jei yra keli objektai)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lastRenderedPageBreak/>
              <w:t>Įkainiai be PVM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maksimali kaina nurodytiems kiekiams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</w:p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lastRenderedPageBreak/>
              <w:t>be PVM</w:t>
            </w:r>
          </w:p>
        </w:tc>
      </w:tr>
      <w:tr w:rsidR="00C45032" w:rsidRPr="00BE434B" w:rsidTr="002C5103">
        <w:trPr>
          <w:trHeight w:val="69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2" w:rsidRPr="00BE434B" w:rsidRDefault="00C45032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C45032" w:rsidRPr="00BE434B" w:rsidTr="002C5103">
        <w:trPr>
          <w:trHeight w:val="690"/>
        </w:trPr>
        <w:tc>
          <w:tcPr>
            <w:tcW w:w="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</w:tr>
      <w:tr w:rsidR="00C45032" w:rsidRPr="00BE434B" w:rsidTr="002C5103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032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2</w:t>
            </w:r>
            <w:r w:rsidR="00C45032" w:rsidRPr="00D52614">
              <w:rPr>
                <w:rFonts w:cs="Arial"/>
                <w:bCs/>
                <w:color w:val="000000"/>
                <w:lang w:eastAsia="lt-LT"/>
              </w:rPr>
              <w:t>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5032" w:rsidRPr="00BE434B" w:rsidRDefault="00C45032" w:rsidP="002C5103">
            <w:pPr>
              <w:jc w:val="both"/>
              <w:rPr>
                <w:rFonts w:cs="Arial"/>
                <w:color w:val="000000"/>
                <w:lang w:eastAsia="lt-LT"/>
              </w:rPr>
            </w:pPr>
            <w:r>
              <w:rPr>
                <w:rFonts w:cs="Arial"/>
                <w:color w:val="000000"/>
                <w:lang w:eastAsia="lt-LT"/>
              </w:rPr>
              <w:t>Archeologiniai žvalgymai inžinerinių tinklų avarinio remonto metu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C45032" w:rsidRPr="00BE434B" w:rsidTr="002C5103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2</w:t>
            </w:r>
            <w:r w:rsidR="00C45032">
              <w:rPr>
                <w:rFonts w:cs="Arial"/>
                <w:bCs/>
                <w:color w:val="000000"/>
                <w:lang w:eastAsia="lt-LT"/>
              </w:rPr>
              <w:t>.2.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5F47EC" w:rsidRDefault="00C45032" w:rsidP="002C5103">
            <w:pPr>
              <w:pStyle w:val="Sraopastraipa"/>
              <w:tabs>
                <w:tab w:val="left" w:pos="426"/>
                <w:tab w:val="left" w:pos="567"/>
                <w:tab w:val="left" w:pos="709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Archeolog</w:t>
            </w:r>
            <w:r>
              <w:rPr>
                <w:rFonts w:eastAsia="Times New Roman" w:cs="Arial"/>
                <w:lang w:eastAsia="lt-LT"/>
              </w:rPr>
              <w:t>iniai žvalgymai, vykdomi Kauno</w:t>
            </w:r>
            <w:r w:rsidRPr="00A0291B">
              <w:rPr>
                <w:rFonts w:eastAsia="Times New Roman" w:cs="Arial"/>
                <w:lang w:eastAsia="lt-LT"/>
              </w:rPr>
              <w:t xml:space="preserve"> miesto </w:t>
            </w:r>
            <w:r w:rsidRPr="00EB227C">
              <w:rPr>
                <w:rFonts w:eastAsia="Times New Roman" w:cs="Arial"/>
                <w:lang w:eastAsia="lt-LT"/>
              </w:rPr>
              <w:t xml:space="preserve">archeologinio pobūdžio </w:t>
            </w:r>
            <w:r w:rsidRPr="00A0291B">
              <w:rPr>
                <w:rFonts w:eastAsia="Times New Roman" w:cs="Arial"/>
                <w:lang w:eastAsia="lt-LT"/>
              </w:rPr>
              <w:t xml:space="preserve">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teritorijose 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apsaugos zonoje, virš esamų </w:t>
            </w:r>
            <w:r>
              <w:rPr>
                <w:rFonts w:eastAsia="Times New Roman" w:cs="Arial"/>
                <w:lang w:eastAsia="lt-LT"/>
              </w:rPr>
              <w:t xml:space="preserve">tinklų, </w:t>
            </w:r>
            <w:r w:rsidRPr="00A0291B">
              <w:rPr>
                <w:rFonts w:eastAsia="Times New Roman" w:cs="Arial"/>
                <w:lang w:eastAsia="lt-LT"/>
              </w:rPr>
              <w:t>tinklų remonto bei</w:t>
            </w:r>
            <w:r>
              <w:rPr>
                <w:rFonts w:eastAsia="Times New Roman" w:cs="Arial"/>
                <w:lang w:eastAsia="lt-LT"/>
              </w:rPr>
              <w:t xml:space="preserve"> rekonstravimo darbų metu, gatvių dangos keitimo ar remonto bei pagrindų įrengimo ir naujų statinių statybos darbų metu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C45032" w:rsidRPr="00BE434B" w:rsidTr="002C5103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2</w:t>
            </w:r>
            <w:r w:rsidR="00C45032">
              <w:rPr>
                <w:rFonts w:cs="Arial"/>
                <w:bCs/>
                <w:color w:val="000000"/>
                <w:lang w:eastAsia="lt-LT"/>
              </w:rPr>
              <w:t>.3.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5F47EC" w:rsidRDefault="00C45032" w:rsidP="002C5103">
            <w:pPr>
              <w:pStyle w:val="Sraopastraipa"/>
              <w:tabs>
                <w:tab w:val="left" w:pos="0"/>
                <w:tab w:val="left" w:pos="142"/>
                <w:tab w:val="left" w:pos="709"/>
                <w:tab w:val="left" w:pos="851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Žvalgomieji archeologiniai tyrimai</w:t>
            </w:r>
            <w:r>
              <w:rPr>
                <w:rFonts w:eastAsia="Times New Roman" w:cs="Arial"/>
                <w:lang w:eastAsia="lt-LT"/>
              </w:rPr>
              <w:t>,</w:t>
            </w:r>
            <w:r w:rsidRPr="00A0291B">
              <w:rPr>
                <w:rFonts w:eastAsia="Times New Roman" w:cs="Arial"/>
                <w:lang w:eastAsia="lt-LT"/>
              </w:rPr>
              <w:t xml:space="preserve"> vykdomi prieš </w:t>
            </w:r>
            <w:r>
              <w:rPr>
                <w:rFonts w:eastAsia="Times New Roman" w:cs="Arial"/>
                <w:lang w:eastAsia="lt-LT"/>
              </w:rPr>
              <w:t>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projektavimą, statant naujus arba rekonstruojant esamus tinklus</w:t>
            </w:r>
            <w:r>
              <w:rPr>
                <w:rFonts w:eastAsia="Times New Roman" w:cs="Arial"/>
                <w:lang w:eastAsia="lt-LT"/>
              </w:rPr>
              <w:t>, gatvių dangų remontą ar keitimą ir naujų statinių statybą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Kauno</w:t>
            </w:r>
            <w:r w:rsidRPr="00A0291B">
              <w:rPr>
                <w:rFonts w:eastAsia="Times New Roman" w:cs="Arial"/>
                <w:lang w:eastAsia="lt-LT"/>
              </w:rPr>
              <w:t xml:space="preserve"> miesto</w:t>
            </w:r>
            <w:r>
              <w:rPr>
                <w:rFonts w:eastAsia="Times New Roman" w:cs="Arial"/>
                <w:lang w:eastAsia="lt-LT"/>
              </w:rPr>
              <w:t xml:space="preserve"> archeologinio pobūdžio</w:t>
            </w:r>
            <w:r w:rsidRPr="00A0291B">
              <w:rPr>
                <w:rFonts w:eastAsia="Times New Roman" w:cs="Arial"/>
                <w:lang w:eastAsia="lt-LT"/>
              </w:rPr>
              <w:t xml:space="preserve"> 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teritorijo</w:t>
            </w:r>
            <w:r>
              <w:rPr>
                <w:rFonts w:eastAsia="Times New Roman" w:cs="Arial"/>
                <w:lang w:eastAsia="lt-LT"/>
              </w:rPr>
              <w:t>s</w:t>
            </w:r>
            <w:r w:rsidRPr="00A0291B">
              <w:rPr>
                <w:rFonts w:eastAsia="Times New Roman" w:cs="Arial"/>
                <w:lang w:eastAsia="lt-LT"/>
              </w:rPr>
              <w:t xml:space="preserve">e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C45032" w:rsidRPr="00BE434B" w:rsidTr="002C5103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2</w:t>
            </w:r>
            <w:r w:rsidR="00C45032">
              <w:rPr>
                <w:rFonts w:cs="Arial"/>
                <w:bCs/>
                <w:color w:val="000000"/>
                <w:lang w:eastAsia="lt-LT"/>
              </w:rPr>
              <w:t>.4.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Default="00C45032" w:rsidP="002C5103">
            <w:pPr>
              <w:jc w:val="both"/>
              <w:rPr>
                <w:rFonts w:cs="Arial"/>
                <w:color w:val="000000"/>
                <w:lang w:eastAsia="lt-LT"/>
              </w:rPr>
            </w:pPr>
            <w:r w:rsidRPr="00A0291B">
              <w:rPr>
                <w:rFonts w:cs="Arial"/>
                <w:lang w:eastAsia="lt-LT"/>
              </w:rPr>
              <w:t>Detalieji archeologiniai tyrimai</w:t>
            </w:r>
            <w:r>
              <w:rPr>
                <w:rFonts w:cs="Arial"/>
                <w:lang w:eastAsia="lt-LT"/>
              </w:rPr>
              <w:t>, vykdomi statant</w:t>
            </w:r>
            <w:r w:rsidRPr="00A0291B">
              <w:rPr>
                <w:rFonts w:cs="Arial"/>
                <w:lang w:eastAsia="lt-LT"/>
              </w:rPr>
              <w:t xml:space="preserve"> naujus </w:t>
            </w:r>
            <w:r>
              <w:rPr>
                <w:rFonts w:cs="Arial"/>
                <w:lang w:eastAsia="lt-LT"/>
              </w:rPr>
              <w:t>inžinerinius</w:t>
            </w:r>
            <w:r w:rsidRPr="00A0291B">
              <w:rPr>
                <w:rFonts w:cs="Arial"/>
                <w:lang w:eastAsia="lt-LT"/>
              </w:rPr>
              <w:t xml:space="preserve"> tinklus</w:t>
            </w:r>
            <w:r>
              <w:rPr>
                <w:rFonts w:cs="Arial"/>
                <w:lang w:eastAsia="lt-LT"/>
              </w:rPr>
              <w:t>, remontuojant ar keičiant gatvių dangas ir statant naujus statinius</w:t>
            </w:r>
            <w:r w:rsidRPr="00A0291B">
              <w:rPr>
                <w:rFonts w:cs="Arial"/>
                <w:lang w:eastAsia="lt-LT"/>
              </w:rPr>
              <w:t xml:space="preserve"> </w:t>
            </w:r>
            <w:r>
              <w:rPr>
                <w:rFonts w:cs="Arial"/>
                <w:lang w:eastAsia="lt-LT"/>
              </w:rPr>
              <w:t>Kauno</w:t>
            </w:r>
            <w:r w:rsidRPr="00A0291B">
              <w:rPr>
                <w:rFonts w:cs="Arial"/>
                <w:lang w:eastAsia="lt-LT"/>
              </w:rPr>
              <w:t xml:space="preserve"> miesto </w:t>
            </w:r>
            <w:r>
              <w:rPr>
                <w:rFonts w:cs="Arial"/>
                <w:lang w:eastAsia="lt-LT"/>
              </w:rPr>
              <w:t xml:space="preserve">archeologinio pobūdžio </w:t>
            </w:r>
            <w:r w:rsidRPr="00A0291B">
              <w:rPr>
                <w:rFonts w:cs="Arial"/>
                <w:lang w:eastAsia="lt-LT"/>
              </w:rPr>
              <w:t xml:space="preserve">kultūros </w:t>
            </w:r>
            <w:r>
              <w:rPr>
                <w:rFonts w:cs="Arial"/>
                <w:lang w:eastAsia="lt-LT"/>
              </w:rPr>
              <w:t>vertybių</w:t>
            </w:r>
            <w:r w:rsidRPr="00A0291B">
              <w:rPr>
                <w:rFonts w:cs="Arial"/>
                <w:lang w:eastAsia="lt-LT"/>
              </w:rPr>
              <w:t xml:space="preserve"> teritorijo</w:t>
            </w:r>
            <w:r>
              <w:rPr>
                <w:rFonts w:cs="Arial"/>
                <w:lang w:eastAsia="lt-LT"/>
              </w:rPr>
              <w:t>s</w:t>
            </w:r>
            <w:r w:rsidRPr="00A0291B">
              <w:rPr>
                <w:rFonts w:cs="Arial"/>
                <w:lang w:eastAsia="lt-LT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5032" w:rsidRPr="00BE434B" w:rsidRDefault="00C45032" w:rsidP="002C5103">
            <w:pPr>
              <w:rPr>
                <w:rFonts w:cs="Arial"/>
                <w:color w:val="000000"/>
                <w:lang w:eastAsia="lt-LT"/>
              </w:rPr>
            </w:pPr>
          </w:p>
        </w:tc>
      </w:tr>
      <w:tr w:rsidR="0021025E" w:rsidRPr="00BE434B" w:rsidTr="0021025E">
        <w:trPr>
          <w:trHeight w:val="302"/>
        </w:trPr>
        <w:tc>
          <w:tcPr>
            <w:tcW w:w="4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25E" w:rsidRDefault="0021025E" w:rsidP="0021025E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                            PVM (21 proc.)</w:t>
            </w:r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25E" w:rsidRDefault="0021025E" w:rsidP="0021025E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21025E" w:rsidRPr="00BE434B" w:rsidTr="00C67039">
        <w:trPr>
          <w:trHeight w:val="263"/>
        </w:trPr>
        <w:tc>
          <w:tcPr>
            <w:tcW w:w="499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25E" w:rsidRDefault="0021025E" w:rsidP="0021025E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</w:t>
            </w:r>
            <w:r w:rsidR="00E17CC0"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kaina </w:t>
            </w:r>
            <w:proofErr w:type="spellStart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su PVM</w:t>
            </w:r>
          </w:p>
        </w:tc>
        <w:tc>
          <w:tcPr>
            <w:tcW w:w="499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1025E" w:rsidRDefault="0021025E" w:rsidP="0021025E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61747C" w:rsidRPr="00BE434B" w:rsidTr="00C67039">
        <w:trPr>
          <w:trHeight w:val="675"/>
        </w:trPr>
        <w:tc>
          <w:tcPr>
            <w:tcW w:w="9985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D502C6" w:rsidRDefault="00D502C6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  <w:p w:rsidR="0061747C" w:rsidRPr="00BE434B" w:rsidRDefault="0061747C" w:rsidP="0061747C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Archeologinių tyrimų </w:t>
            </w:r>
            <w:r>
              <w:rPr>
                <w:rFonts w:cs="Arial"/>
                <w:b/>
                <w:lang w:eastAsia="lt-LT"/>
              </w:rPr>
              <w:t xml:space="preserve">Kauno miesto </w:t>
            </w:r>
            <w:r w:rsidRPr="004E0190">
              <w:rPr>
                <w:rFonts w:cs="Arial"/>
                <w:b/>
                <w:lang w:eastAsia="lt-LT"/>
              </w:rPr>
              <w:t>archeologinio pobūdžio kultūros vertybių</w:t>
            </w:r>
            <w:r>
              <w:rPr>
                <w:rFonts w:cs="Arial"/>
                <w:lang w:eastAsia="lt-LT"/>
              </w:rPr>
              <w:t xml:space="preserve"> </w:t>
            </w:r>
            <w:r w:rsidRPr="00A0291B">
              <w:rPr>
                <w:rFonts w:cs="Arial"/>
                <w:b/>
                <w:lang w:eastAsia="lt-LT"/>
              </w:rPr>
              <w:t>teritorijo</w:t>
            </w:r>
            <w:r>
              <w:rPr>
                <w:rFonts w:cs="Arial"/>
                <w:b/>
                <w:lang w:eastAsia="lt-LT"/>
              </w:rPr>
              <w:t>s</w:t>
            </w:r>
            <w:r w:rsidRPr="00A0291B">
              <w:rPr>
                <w:rFonts w:cs="Arial"/>
                <w:b/>
                <w:lang w:eastAsia="lt-LT"/>
              </w:rPr>
              <w:t xml:space="preserve">e </w:t>
            </w: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poreikis</w:t>
            </w:r>
            <w:r w:rsidRPr="009F6816">
              <w:rPr>
                <w:rFonts w:cs="Arial"/>
                <w:b/>
                <w:bCs/>
                <w:color w:val="000000"/>
                <w:lang w:eastAsia="lt-LT"/>
              </w:rPr>
              <w:t>,</w:t>
            </w: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 xml:space="preserve"> KAI IŠKASOS GYLIS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NUO 1,4 IKI 3,1</w:t>
            </w: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 xml:space="preserve"> M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:</w:t>
            </w:r>
          </w:p>
        </w:tc>
      </w:tr>
      <w:tr w:rsidR="0061747C" w:rsidRPr="00BE434B" w:rsidTr="002C5103">
        <w:trPr>
          <w:trHeight w:val="300"/>
        </w:trPr>
        <w:tc>
          <w:tcPr>
            <w:tcW w:w="581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Paslaugų pavadinimas</w:t>
            </w:r>
          </w:p>
        </w:tc>
        <w:tc>
          <w:tcPr>
            <w:tcW w:w="166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Maksimalus tiriamas plotas (m²) ir tiriamų objektų skaičius (vnt.) </w:t>
            </w:r>
            <w:r w:rsidRPr="00053BBD">
              <w:rPr>
                <w:rFonts w:cs="Arial"/>
                <w:b/>
                <w:bCs/>
                <w:i/>
                <w:color w:val="000000"/>
                <w:lang w:eastAsia="lt-LT"/>
              </w:rPr>
              <w:t>(jei yra keli objektai)</w:t>
            </w:r>
          </w:p>
        </w:tc>
        <w:tc>
          <w:tcPr>
            <w:tcW w:w="209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Įkainiai be PVM</w:t>
            </w:r>
          </w:p>
        </w:tc>
        <w:tc>
          <w:tcPr>
            <w:tcW w:w="20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maksimali kaina nurodytiems kiekiams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</w:p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be PVM</w:t>
            </w:r>
          </w:p>
        </w:tc>
      </w:tr>
      <w:tr w:rsidR="0061747C" w:rsidRPr="00BE434B" w:rsidTr="002C5103">
        <w:trPr>
          <w:trHeight w:val="690"/>
        </w:trPr>
        <w:tc>
          <w:tcPr>
            <w:tcW w:w="581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7C" w:rsidRPr="00BE434B" w:rsidRDefault="0061747C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  <w:r w:rsidRPr="00BE434B">
              <w:rPr>
                <w:rFonts w:cs="Arial"/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1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2093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</w:tr>
      <w:tr w:rsidR="0061747C" w:rsidRPr="00BE434B" w:rsidTr="002C5103">
        <w:trPr>
          <w:trHeight w:val="690"/>
        </w:trPr>
        <w:tc>
          <w:tcPr>
            <w:tcW w:w="58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3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66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  <w:tc>
          <w:tcPr>
            <w:tcW w:w="101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/m²</w:t>
            </w:r>
          </w:p>
        </w:tc>
        <w:tc>
          <w:tcPr>
            <w:tcW w:w="107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>/vnt.</w:t>
            </w:r>
          </w:p>
        </w:tc>
      </w:tr>
      <w:tr w:rsidR="0061747C" w:rsidRPr="00BE434B" w:rsidTr="002C5103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47C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lastRenderedPageBreak/>
              <w:t>3</w:t>
            </w:r>
            <w:r w:rsidR="0061747C" w:rsidRPr="00D52614">
              <w:rPr>
                <w:rFonts w:cs="Arial"/>
                <w:bCs/>
                <w:color w:val="000000"/>
                <w:lang w:eastAsia="lt-LT"/>
              </w:rPr>
              <w:t>.1.</w:t>
            </w: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1747C" w:rsidRPr="00BE434B" w:rsidRDefault="0061747C" w:rsidP="002C5103">
            <w:pPr>
              <w:jc w:val="both"/>
              <w:rPr>
                <w:rFonts w:cs="Arial"/>
                <w:color w:val="000000"/>
                <w:lang w:eastAsia="lt-LT"/>
              </w:rPr>
            </w:pPr>
            <w:r>
              <w:rPr>
                <w:rFonts w:cs="Arial"/>
                <w:color w:val="000000"/>
                <w:lang w:eastAsia="lt-LT"/>
              </w:rPr>
              <w:t>Archeologiniai žvalgymai inžinerinių tinklų avarinio remonto metu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61747C" w:rsidRPr="00BE434B" w:rsidTr="002C5103">
        <w:trPr>
          <w:trHeight w:val="804"/>
        </w:trPr>
        <w:tc>
          <w:tcPr>
            <w:tcW w:w="5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3</w:t>
            </w:r>
            <w:r w:rsidR="0061747C">
              <w:rPr>
                <w:rFonts w:cs="Arial"/>
                <w:bCs/>
                <w:color w:val="000000"/>
                <w:lang w:eastAsia="lt-LT"/>
              </w:rPr>
              <w:t>.2.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5F47EC" w:rsidRDefault="0061747C" w:rsidP="002C5103">
            <w:pPr>
              <w:pStyle w:val="Sraopastraipa"/>
              <w:tabs>
                <w:tab w:val="left" w:pos="426"/>
                <w:tab w:val="left" w:pos="567"/>
                <w:tab w:val="left" w:pos="709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Archeolog</w:t>
            </w:r>
            <w:r>
              <w:rPr>
                <w:rFonts w:eastAsia="Times New Roman" w:cs="Arial"/>
                <w:lang w:eastAsia="lt-LT"/>
              </w:rPr>
              <w:t>iniai žvalgymai, vykdomi Kauno</w:t>
            </w:r>
            <w:r w:rsidRPr="00A0291B">
              <w:rPr>
                <w:rFonts w:eastAsia="Times New Roman" w:cs="Arial"/>
                <w:lang w:eastAsia="lt-LT"/>
              </w:rPr>
              <w:t xml:space="preserve"> miesto </w:t>
            </w:r>
            <w:r w:rsidRPr="00EB227C">
              <w:rPr>
                <w:rFonts w:eastAsia="Times New Roman" w:cs="Arial"/>
                <w:lang w:eastAsia="lt-LT"/>
              </w:rPr>
              <w:t xml:space="preserve">archeologinio pobūdžio </w:t>
            </w:r>
            <w:r w:rsidRPr="00A0291B">
              <w:rPr>
                <w:rFonts w:eastAsia="Times New Roman" w:cs="Arial"/>
                <w:lang w:eastAsia="lt-LT"/>
              </w:rPr>
              <w:t xml:space="preserve">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teritorijose 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apsaugos zonoje, virš esamų </w:t>
            </w:r>
            <w:r>
              <w:rPr>
                <w:rFonts w:eastAsia="Times New Roman" w:cs="Arial"/>
                <w:lang w:eastAsia="lt-LT"/>
              </w:rPr>
              <w:t xml:space="preserve">tinklų, </w:t>
            </w:r>
            <w:r w:rsidRPr="00A0291B">
              <w:rPr>
                <w:rFonts w:eastAsia="Times New Roman" w:cs="Arial"/>
                <w:lang w:eastAsia="lt-LT"/>
              </w:rPr>
              <w:t>tinklų remonto bei</w:t>
            </w:r>
            <w:r>
              <w:rPr>
                <w:rFonts w:eastAsia="Times New Roman" w:cs="Arial"/>
                <w:lang w:eastAsia="lt-LT"/>
              </w:rPr>
              <w:t xml:space="preserve"> rekonstravimo darbų metu, gatvių dangos keitimo ar remonto bei pagrindų įrengimo ir naujų statinių statybos darbų metu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61747C" w:rsidRPr="00BE434B" w:rsidTr="002C5103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3</w:t>
            </w:r>
            <w:r w:rsidR="0061747C">
              <w:rPr>
                <w:rFonts w:cs="Arial"/>
                <w:bCs/>
                <w:color w:val="000000"/>
                <w:lang w:eastAsia="lt-LT"/>
              </w:rPr>
              <w:t>.3.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5F47EC" w:rsidRDefault="0061747C" w:rsidP="002C5103">
            <w:pPr>
              <w:pStyle w:val="Sraopastraipa"/>
              <w:tabs>
                <w:tab w:val="left" w:pos="0"/>
                <w:tab w:val="left" w:pos="142"/>
                <w:tab w:val="left" w:pos="709"/>
                <w:tab w:val="left" w:pos="851"/>
              </w:tabs>
              <w:ind w:left="0" w:firstLine="0"/>
              <w:jc w:val="both"/>
              <w:rPr>
                <w:rFonts w:cs="Arial"/>
                <w:bCs/>
              </w:rPr>
            </w:pPr>
            <w:r w:rsidRPr="00A0291B">
              <w:rPr>
                <w:rFonts w:eastAsia="Times New Roman" w:cs="Arial"/>
                <w:lang w:eastAsia="lt-LT"/>
              </w:rPr>
              <w:t>Žvalgomieji archeologiniai tyrimai</w:t>
            </w:r>
            <w:r>
              <w:rPr>
                <w:rFonts w:eastAsia="Times New Roman" w:cs="Arial"/>
                <w:lang w:eastAsia="lt-LT"/>
              </w:rPr>
              <w:t>,</w:t>
            </w:r>
            <w:r w:rsidRPr="00A0291B">
              <w:rPr>
                <w:rFonts w:eastAsia="Times New Roman" w:cs="Arial"/>
                <w:lang w:eastAsia="lt-LT"/>
              </w:rPr>
              <w:t xml:space="preserve"> vykdomi prieš </w:t>
            </w:r>
            <w:r>
              <w:rPr>
                <w:rFonts w:eastAsia="Times New Roman" w:cs="Arial"/>
                <w:lang w:eastAsia="lt-LT"/>
              </w:rPr>
              <w:t>inžinerinių</w:t>
            </w:r>
            <w:r w:rsidRPr="00A0291B">
              <w:rPr>
                <w:rFonts w:eastAsia="Times New Roman" w:cs="Arial"/>
                <w:lang w:eastAsia="lt-LT"/>
              </w:rPr>
              <w:t xml:space="preserve"> tinklų projektavimą, statant naujus arba rekonstruojant esamus tinklus</w:t>
            </w:r>
            <w:r>
              <w:rPr>
                <w:rFonts w:eastAsia="Times New Roman" w:cs="Arial"/>
                <w:lang w:eastAsia="lt-LT"/>
              </w:rPr>
              <w:t>, gatvių dangų remontą ar keitimą ir naujų statinių statybą</w:t>
            </w:r>
            <w:r w:rsidRPr="00A0291B">
              <w:rPr>
                <w:rFonts w:eastAsia="Times New Roman" w:cs="Arial"/>
                <w:lang w:eastAsia="lt-LT"/>
              </w:rPr>
              <w:t xml:space="preserve"> </w:t>
            </w:r>
            <w:r>
              <w:rPr>
                <w:rFonts w:eastAsia="Times New Roman" w:cs="Arial"/>
                <w:lang w:eastAsia="lt-LT"/>
              </w:rPr>
              <w:t>Kauno</w:t>
            </w:r>
            <w:r w:rsidRPr="00A0291B">
              <w:rPr>
                <w:rFonts w:eastAsia="Times New Roman" w:cs="Arial"/>
                <w:lang w:eastAsia="lt-LT"/>
              </w:rPr>
              <w:t xml:space="preserve"> miesto</w:t>
            </w:r>
            <w:r>
              <w:rPr>
                <w:rFonts w:eastAsia="Times New Roman" w:cs="Arial"/>
                <w:lang w:eastAsia="lt-LT"/>
              </w:rPr>
              <w:t xml:space="preserve"> archeologinio pobūdžio</w:t>
            </w:r>
            <w:r w:rsidRPr="00A0291B">
              <w:rPr>
                <w:rFonts w:eastAsia="Times New Roman" w:cs="Arial"/>
                <w:lang w:eastAsia="lt-LT"/>
              </w:rPr>
              <w:t xml:space="preserve"> kultūros </w:t>
            </w:r>
            <w:r>
              <w:rPr>
                <w:rFonts w:eastAsia="Times New Roman" w:cs="Arial"/>
                <w:lang w:eastAsia="lt-LT"/>
              </w:rPr>
              <w:t>vertybių</w:t>
            </w:r>
            <w:r w:rsidRPr="00A0291B">
              <w:rPr>
                <w:rFonts w:eastAsia="Times New Roman" w:cs="Arial"/>
                <w:lang w:eastAsia="lt-LT"/>
              </w:rPr>
              <w:t xml:space="preserve"> teritorijo</w:t>
            </w:r>
            <w:r>
              <w:rPr>
                <w:rFonts w:eastAsia="Times New Roman" w:cs="Arial"/>
                <w:lang w:eastAsia="lt-LT"/>
              </w:rPr>
              <w:t>s</w:t>
            </w:r>
            <w:r w:rsidRPr="00A0291B">
              <w:rPr>
                <w:rFonts w:eastAsia="Times New Roman" w:cs="Arial"/>
                <w:lang w:eastAsia="lt-LT"/>
              </w:rPr>
              <w:t xml:space="preserve">e 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</w:tr>
      <w:tr w:rsidR="0061747C" w:rsidRPr="00BE434B" w:rsidTr="00D502C6">
        <w:trPr>
          <w:trHeight w:val="804"/>
        </w:trPr>
        <w:tc>
          <w:tcPr>
            <w:tcW w:w="5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D52614" w:rsidRDefault="00A870AF" w:rsidP="002C5103">
            <w:pPr>
              <w:rPr>
                <w:rFonts w:cs="Arial"/>
                <w:bCs/>
                <w:color w:val="000000"/>
                <w:lang w:eastAsia="lt-LT"/>
              </w:rPr>
            </w:pPr>
            <w:r>
              <w:rPr>
                <w:rFonts w:cs="Arial"/>
                <w:bCs/>
                <w:color w:val="000000"/>
                <w:lang w:eastAsia="lt-LT"/>
              </w:rPr>
              <w:t>3</w:t>
            </w:r>
            <w:r w:rsidR="0061747C">
              <w:rPr>
                <w:rFonts w:cs="Arial"/>
                <w:bCs/>
                <w:color w:val="000000"/>
                <w:lang w:eastAsia="lt-LT"/>
              </w:rPr>
              <w:t>.4.</w:t>
            </w: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Default="0061747C" w:rsidP="002C5103">
            <w:pPr>
              <w:jc w:val="both"/>
              <w:rPr>
                <w:rFonts w:cs="Arial"/>
                <w:color w:val="000000"/>
                <w:lang w:eastAsia="lt-LT"/>
              </w:rPr>
            </w:pPr>
            <w:r w:rsidRPr="00A0291B">
              <w:rPr>
                <w:rFonts w:cs="Arial"/>
                <w:lang w:eastAsia="lt-LT"/>
              </w:rPr>
              <w:t>Detalieji archeologiniai tyrimai</w:t>
            </w:r>
            <w:r>
              <w:rPr>
                <w:rFonts w:cs="Arial"/>
                <w:lang w:eastAsia="lt-LT"/>
              </w:rPr>
              <w:t>, vykdomi statant</w:t>
            </w:r>
            <w:r w:rsidRPr="00A0291B">
              <w:rPr>
                <w:rFonts w:cs="Arial"/>
                <w:lang w:eastAsia="lt-LT"/>
              </w:rPr>
              <w:t xml:space="preserve"> naujus </w:t>
            </w:r>
            <w:r>
              <w:rPr>
                <w:rFonts w:cs="Arial"/>
                <w:lang w:eastAsia="lt-LT"/>
              </w:rPr>
              <w:t>inžinerinius</w:t>
            </w:r>
            <w:r w:rsidRPr="00A0291B">
              <w:rPr>
                <w:rFonts w:cs="Arial"/>
                <w:lang w:eastAsia="lt-LT"/>
              </w:rPr>
              <w:t xml:space="preserve"> tinklus</w:t>
            </w:r>
            <w:r>
              <w:rPr>
                <w:rFonts w:cs="Arial"/>
                <w:lang w:eastAsia="lt-LT"/>
              </w:rPr>
              <w:t>, remontuojant ar keičiant gatvių dangas ir statant naujus statinius</w:t>
            </w:r>
            <w:r w:rsidRPr="00A0291B">
              <w:rPr>
                <w:rFonts w:cs="Arial"/>
                <w:lang w:eastAsia="lt-LT"/>
              </w:rPr>
              <w:t xml:space="preserve"> </w:t>
            </w:r>
            <w:r>
              <w:rPr>
                <w:rFonts w:cs="Arial"/>
                <w:lang w:eastAsia="lt-LT"/>
              </w:rPr>
              <w:t>Kauno</w:t>
            </w:r>
            <w:r w:rsidRPr="00A0291B">
              <w:rPr>
                <w:rFonts w:cs="Arial"/>
                <w:lang w:eastAsia="lt-LT"/>
              </w:rPr>
              <w:t xml:space="preserve"> miesto </w:t>
            </w:r>
            <w:r>
              <w:rPr>
                <w:rFonts w:cs="Arial"/>
                <w:lang w:eastAsia="lt-LT"/>
              </w:rPr>
              <w:t xml:space="preserve">archeologinio pobūdžio </w:t>
            </w:r>
            <w:r w:rsidRPr="00A0291B">
              <w:rPr>
                <w:rFonts w:cs="Arial"/>
                <w:lang w:eastAsia="lt-LT"/>
              </w:rPr>
              <w:t xml:space="preserve">kultūros </w:t>
            </w:r>
            <w:r>
              <w:rPr>
                <w:rFonts w:cs="Arial"/>
                <w:lang w:eastAsia="lt-LT"/>
              </w:rPr>
              <w:t>vertybių</w:t>
            </w:r>
            <w:r w:rsidRPr="00A0291B">
              <w:rPr>
                <w:rFonts w:cs="Arial"/>
                <w:lang w:eastAsia="lt-LT"/>
              </w:rPr>
              <w:t xml:space="preserve"> teritorijo</w:t>
            </w:r>
            <w:r>
              <w:rPr>
                <w:rFonts w:cs="Arial"/>
                <w:lang w:eastAsia="lt-LT"/>
              </w:rPr>
              <w:t>s</w:t>
            </w:r>
            <w:r w:rsidRPr="00A0291B">
              <w:rPr>
                <w:rFonts w:cs="Arial"/>
                <w:lang w:eastAsia="lt-LT"/>
              </w:rPr>
              <w:t>e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jc w:val="center"/>
              <w:rPr>
                <w:rFonts w:cs="Arial"/>
                <w:color w:val="000000"/>
                <w:lang w:eastAsia="lt-LT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747C" w:rsidRPr="00BE434B" w:rsidRDefault="0061747C" w:rsidP="002C5103">
            <w:pPr>
              <w:rPr>
                <w:rFonts w:cs="Arial"/>
                <w:color w:val="000000"/>
                <w:lang w:eastAsia="lt-LT"/>
              </w:rPr>
            </w:pPr>
          </w:p>
        </w:tc>
      </w:tr>
      <w:tr w:rsidR="00D502C6" w:rsidRPr="00BE434B" w:rsidTr="00234EF0">
        <w:trPr>
          <w:trHeight w:val="31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Default="00D502C6" w:rsidP="00D502C6">
            <w:pPr>
              <w:rPr>
                <w:rFonts w:cs="Arial"/>
                <w:bCs/>
                <w:color w:val="000000"/>
                <w:lang w:eastAsia="lt-LT"/>
              </w:rPr>
            </w:pPr>
          </w:p>
        </w:tc>
        <w:tc>
          <w:tcPr>
            <w:tcW w:w="8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Default="00D502C6" w:rsidP="00D502C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                            PVM (21 proc.)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Pr="00BE434B" w:rsidRDefault="00D502C6" w:rsidP="00D502C6">
            <w:pPr>
              <w:rPr>
                <w:rFonts w:cs="Arial"/>
                <w:color w:val="000000"/>
                <w:lang w:eastAsia="lt-LT"/>
              </w:rPr>
            </w:pPr>
          </w:p>
        </w:tc>
      </w:tr>
      <w:tr w:rsidR="00D502C6" w:rsidRPr="00BE434B" w:rsidTr="00E40EC6">
        <w:trPr>
          <w:trHeight w:val="27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Default="00D502C6" w:rsidP="00D502C6">
            <w:pPr>
              <w:rPr>
                <w:rFonts w:cs="Arial"/>
                <w:bCs/>
                <w:color w:val="000000"/>
                <w:lang w:eastAsia="lt-LT"/>
              </w:rPr>
            </w:pPr>
          </w:p>
        </w:tc>
        <w:tc>
          <w:tcPr>
            <w:tcW w:w="8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Default="00D502C6" w:rsidP="00D502C6">
            <w:pPr>
              <w:jc w:val="center"/>
              <w:rPr>
                <w:rFonts w:cs="Arial"/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                                     Bendra kaina </w:t>
            </w:r>
            <w:proofErr w:type="spellStart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 w:rsidR="00E17CC0">
              <w:rPr>
                <w:rFonts w:cs="Arial"/>
                <w:b/>
                <w:bCs/>
                <w:color w:val="000000"/>
                <w:lang w:eastAsia="lt-LT"/>
              </w:rPr>
              <w:t xml:space="preserve"> </w:t>
            </w:r>
            <w:r>
              <w:rPr>
                <w:rFonts w:cs="Arial"/>
                <w:b/>
                <w:bCs/>
                <w:color w:val="000000"/>
                <w:lang w:eastAsia="lt-LT"/>
              </w:rPr>
              <w:t>su PVM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2C6" w:rsidRPr="00BE434B" w:rsidRDefault="00D502C6" w:rsidP="00D502C6">
            <w:pPr>
              <w:rPr>
                <w:rFonts w:cs="Arial"/>
                <w:color w:val="000000"/>
                <w:lang w:eastAsia="lt-LT"/>
              </w:rPr>
            </w:pPr>
          </w:p>
        </w:tc>
      </w:tr>
    </w:tbl>
    <w:p w:rsidR="003E69C1" w:rsidRDefault="003E69C1"/>
    <w:p w:rsidR="004F664B" w:rsidRDefault="004F664B"/>
    <w:p w:rsidR="004F664B" w:rsidRDefault="004F664B"/>
    <w:p w:rsidR="004F664B" w:rsidRDefault="004F664B"/>
    <w:p w:rsidR="004F664B" w:rsidRDefault="004F664B"/>
    <w:p w:rsidR="004F664B" w:rsidRDefault="004F664B"/>
    <w:p w:rsidR="004F664B" w:rsidRDefault="004F664B"/>
    <w:p w:rsidR="004F664B" w:rsidRDefault="004F664B"/>
    <w:p w:rsidR="004F664B" w:rsidRDefault="004F664B"/>
    <w:p w:rsidR="004F664B" w:rsidRDefault="004F664B"/>
    <w:p w:rsidR="00F62CBB" w:rsidRDefault="00F62CBB"/>
    <w:p w:rsidR="00F62CBB" w:rsidRPr="00584E28" w:rsidRDefault="00F62CBB" w:rsidP="00F62CBB">
      <w:pPr>
        <w:tabs>
          <w:tab w:val="left" w:pos="567"/>
        </w:tabs>
        <w:spacing w:before="60" w:after="60"/>
        <w:jc w:val="both"/>
        <w:rPr>
          <w:i/>
        </w:rPr>
      </w:pPr>
      <w:r>
        <w:rPr>
          <w:i/>
        </w:rPr>
        <w:t xml:space="preserve">II PIRKIMO DALIES </w:t>
      </w:r>
      <w:r w:rsidR="00733EB0">
        <w:rPr>
          <w:i/>
        </w:rPr>
        <w:t xml:space="preserve">PAGRINDINĖS SUTARTIES </w:t>
      </w:r>
      <w:r>
        <w:rPr>
          <w:i/>
        </w:rPr>
        <w:t>PRIEDO FORMA</w:t>
      </w:r>
    </w:p>
    <w:tbl>
      <w:tblPr>
        <w:tblW w:w="17680" w:type="dxa"/>
        <w:tblLook w:val="04A0" w:firstRow="1" w:lastRow="0" w:firstColumn="1" w:lastColumn="0" w:noHBand="0" w:noVBand="1"/>
      </w:tblPr>
      <w:tblGrid>
        <w:gridCol w:w="620"/>
        <w:gridCol w:w="2777"/>
        <w:gridCol w:w="1134"/>
        <w:gridCol w:w="2127"/>
        <w:gridCol w:w="1559"/>
        <w:gridCol w:w="1843"/>
        <w:gridCol w:w="3380"/>
        <w:gridCol w:w="2320"/>
        <w:gridCol w:w="960"/>
        <w:gridCol w:w="960"/>
      </w:tblGrid>
      <w:tr w:rsidR="003F47AC" w:rsidRPr="003F47AC" w:rsidTr="003F47AC">
        <w:trPr>
          <w:trHeight w:val="79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>Eil. Nr.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lang w:eastAsia="lt-LT"/>
              </w:rPr>
            </w:pPr>
            <w:r w:rsidRPr="003F47AC">
              <w:rPr>
                <w:b/>
                <w:bCs/>
                <w:lang w:eastAsia="lt-LT"/>
              </w:rPr>
              <w:t>Paslaugos pavadinimas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>Mato vnt.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E17CC0" w:rsidP="00E17CC0">
            <w:pPr>
              <w:jc w:val="center"/>
              <w:rPr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>Maksimalus</w:t>
            </w:r>
            <w:r>
              <w:rPr>
                <w:b/>
                <w:bCs/>
                <w:color w:val="000000"/>
                <w:lang w:eastAsia="lt-LT"/>
              </w:rPr>
              <w:t xml:space="preserve"> objektų kiekis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>Vieno vnt. įkainis be PVM (</w:t>
            </w:r>
            <w:proofErr w:type="spellStart"/>
            <w:r w:rsidRPr="003F47AC">
              <w:rPr>
                <w:b/>
                <w:bCs/>
                <w:color w:val="000000"/>
                <w:lang w:eastAsia="lt-LT"/>
              </w:rPr>
              <w:t>Eur</w:t>
            </w:r>
            <w:proofErr w:type="spellEnd"/>
            <w:r w:rsidRPr="003F47AC">
              <w:rPr>
                <w:b/>
                <w:bCs/>
                <w:color w:val="000000"/>
                <w:lang w:eastAsia="lt-LT"/>
              </w:rPr>
              <w:t>)</w:t>
            </w:r>
            <w:r w:rsidRPr="003F47AC">
              <w:rPr>
                <w:b/>
                <w:bCs/>
                <w:color w:val="FF0000"/>
                <w:lang w:eastAsia="lt-LT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 xml:space="preserve">Bendra kaina nurodytam kiekiui </w:t>
            </w:r>
            <w:proofErr w:type="spellStart"/>
            <w:r w:rsidRPr="003F47AC">
              <w:rPr>
                <w:b/>
                <w:bCs/>
                <w:color w:val="000000"/>
                <w:lang w:eastAsia="lt-LT"/>
              </w:rPr>
              <w:t>Eur</w:t>
            </w:r>
            <w:proofErr w:type="spellEnd"/>
            <w:r w:rsidRPr="003F47AC">
              <w:rPr>
                <w:b/>
                <w:bCs/>
                <w:color w:val="000000"/>
                <w:lang w:eastAsia="lt-LT"/>
              </w:rPr>
              <w:t xml:space="preserve"> be PVM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</w:tr>
      <w:tr w:rsidR="003F47AC" w:rsidRPr="003F47AC" w:rsidTr="003F47AC">
        <w:trPr>
          <w:trHeight w:val="117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lang w:eastAsia="lt-L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F47AC" w:rsidRPr="003F47AC" w:rsidRDefault="003F47AC" w:rsidP="003F47AC">
            <w:pPr>
              <w:rPr>
                <w:b/>
                <w:bCs/>
                <w:color w:val="000000"/>
                <w:lang w:eastAsia="lt-LT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</w:tr>
      <w:tr w:rsidR="003F47AC" w:rsidRPr="003F47AC" w:rsidTr="00E17CC0">
        <w:trPr>
          <w:trHeight w:val="3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1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  <w:r w:rsidRPr="003F47AC">
              <w:rPr>
                <w:b/>
                <w:bCs/>
                <w:i/>
                <w:iCs/>
                <w:color w:val="000000"/>
                <w:lang w:eastAsia="lt-LT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jc w:val="center"/>
              <w:rPr>
                <w:b/>
                <w:bCs/>
                <w:i/>
                <w:iCs/>
                <w:color w:val="00000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7AC" w:rsidRPr="003F47AC" w:rsidRDefault="003F47AC" w:rsidP="003F47AC">
            <w:pPr>
              <w:rPr>
                <w:sz w:val="20"/>
                <w:szCs w:val="20"/>
                <w:lang w:eastAsia="lt-LT"/>
              </w:rPr>
            </w:pPr>
          </w:p>
        </w:tc>
      </w:tr>
      <w:tr w:rsidR="00E17CC0" w:rsidRPr="003F47AC" w:rsidTr="00E17CC0">
        <w:trPr>
          <w:trHeight w:val="13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lastRenderedPageBreak/>
              <w:t>1.1.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rPr>
                <w:color w:val="000000"/>
                <w:lang w:eastAsia="lt-LT"/>
              </w:rPr>
            </w:pPr>
            <w:r w:rsidRPr="003F47AC">
              <w:rPr>
                <w:color w:val="000000"/>
                <w:lang w:eastAsia="lt-LT"/>
              </w:rPr>
              <w:t>architektūros tyrimai, kurie atliekami archeologinių tyrimų metu radus galimai vertingųjų savybių turinčių statinių liekanų ar kitokio architektūrinio paveldo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7CC0" w:rsidRPr="003F47AC" w:rsidRDefault="00E17CC0" w:rsidP="00E17CC0">
            <w:pPr>
              <w:jc w:val="center"/>
              <w:rPr>
                <w:color w:val="000000"/>
                <w:lang w:eastAsia="lt-LT"/>
              </w:rPr>
            </w:pPr>
            <w:r w:rsidRPr="003F47AC">
              <w:rPr>
                <w:color w:val="000000"/>
                <w:lang w:eastAsia="lt-LT"/>
              </w:rPr>
              <w:t>vnt.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jc w:val="center"/>
              <w:rPr>
                <w:color w:val="000000"/>
                <w:lang w:eastAsia="lt-L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CC0" w:rsidRPr="003F47AC" w:rsidRDefault="00E17CC0" w:rsidP="00E17CC0">
            <w:pPr>
              <w:jc w:val="center"/>
              <w:rPr>
                <w:color w:val="000000"/>
                <w:lang w:eastAsia="lt-LT"/>
              </w:rPr>
            </w:pPr>
            <w:r w:rsidRPr="003F47AC">
              <w:rPr>
                <w:color w:val="000000"/>
                <w:lang w:eastAsia="lt-LT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CC0" w:rsidRPr="003F47AC" w:rsidRDefault="00E17CC0" w:rsidP="00E17CC0">
            <w:pPr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</w:tr>
      <w:tr w:rsidR="00E17CC0" w:rsidRPr="003F47AC" w:rsidTr="00E17CC0">
        <w:trPr>
          <w:trHeight w:val="37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>1.2.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jc w:val="center"/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 xml:space="preserve">                                                                              </w:t>
            </w:r>
            <w:r>
              <w:rPr>
                <w:b/>
                <w:bCs/>
                <w:color w:val="000000"/>
                <w:lang w:eastAsia="lt-LT"/>
              </w:rPr>
              <w:t xml:space="preserve">              PVM</w:t>
            </w:r>
            <w:r w:rsidRPr="003F47AC">
              <w:rPr>
                <w:b/>
                <w:bCs/>
                <w:color w:val="000000"/>
                <w:lang w:eastAsia="lt-LT"/>
              </w:rPr>
              <w:t xml:space="preserve"> (21 proc.)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7CC0" w:rsidRPr="003F47AC" w:rsidRDefault="00E17CC0" w:rsidP="00E17CC0">
            <w:pPr>
              <w:rPr>
                <w:color w:val="000000"/>
                <w:lang w:eastAsia="lt-LT"/>
              </w:rPr>
            </w:pPr>
            <w:r w:rsidRPr="003F47AC">
              <w:rPr>
                <w:color w:val="000000"/>
                <w:lang w:eastAsia="lt-LT"/>
              </w:rPr>
              <w:t> 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color w:val="00000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</w:tr>
      <w:tr w:rsidR="00E17CC0" w:rsidRPr="003F47AC" w:rsidTr="003F47AC">
        <w:trPr>
          <w:trHeight w:val="45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b/>
                <w:bCs/>
                <w:color w:val="000000"/>
                <w:lang w:eastAsia="lt-LT"/>
              </w:rPr>
            </w:pPr>
            <w:r w:rsidRPr="003F47AC">
              <w:rPr>
                <w:b/>
                <w:bCs/>
                <w:color w:val="000000"/>
                <w:lang w:eastAsia="lt-LT"/>
              </w:rPr>
              <w:t>1.</w:t>
            </w:r>
          </w:p>
        </w:tc>
        <w:tc>
          <w:tcPr>
            <w:tcW w:w="75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CC0" w:rsidRPr="003F47AC" w:rsidRDefault="00E17CC0" w:rsidP="00E17CC0">
            <w:pPr>
              <w:jc w:val="right"/>
              <w:rPr>
                <w:b/>
                <w:bCs/>
                <w:color w:val="000000"/>
                <w:lang w:eastAsia="lt-LT"/>
              </w:rPr>
            </w:pPr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Bendra kaina </w:t>
            </w:r>
            <w:proofErr w:type="spellStart"/>
            <w:r>
              <w:rPr>
                <w:rFonts w:cs="Arial"/>
                <w:b/>
                <w:bCs/>
                <w:color w:val="000000"/>
                <w:lang w:eastAsia="lt-LT"/>
              </w:rPr>
              <w:t>Eur</w:t>
            </w:r>
            <w:proofErr w:type="spellEnd"/>
            <w:r>
              <w:rPr>
                <w:rFonts w:cs="Arial"/>
                <w:b/>
                <w:bCs/>
                <w:color w:val="000000"/>
                <w:lang w:eastAsia="lt-LT"/>
              </w:rPr>
              <w:t xml:space="preserve"> su PVM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jc w:val="right"/>
              <w:rPr>
                <w:color w:val="000000"/>
                <w:lang w:eastAsia="lt-LT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7CC0" w:rsidRPr="003F47AC" w:rsidRDefault="00E17CC0" w:rsidP="00E17CC0">
            <w:pPr>
              <w:rPr>
                <w:sz w:val="20"/>
                <w:szCs w:val="20"/>
                <w:lang w:eastAsia="lt-LT"/>
              </w:rPr>
            </w:pPr>
          </w:p>
        </w:tc>
      </w:tr>
    </w:tbl>
    <w:p w:rsidR="00F62CBB" w:rsidRDefault="00F62CBB"/>
    <w:sectPr w:rsidR="00F62CBB" w:rsidSect="004F664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44"/>
    <w:rsid w:val="00053BBD"/>
    <w:rsid w:val="0021025E"/>
    <w:rsid w:val="00235A86"/>
    <w:rsid w:val="00366C4E"/>
    <w:rsid w:val="003A2EF4"/>
    <w:rsid w:val="003E69C1"/>
    <w:rsid w:val="003F47AC"/>
    <w:rsid w:val="004347A7"/>
    <w:rsid w:val="0049516C"/>
    <w:rsid w:val="004C7CD5"/>
    <w:rsid w:val="004F664B"/>
    <w:rsid w:val="00527923"/>
    <w:rsid w:val="00584E28"/>
    <w:rsid w:val="0061747C"/>
    <w:rsid w:val="006C13B2"/>
    <w:rsid w:val="007207EA"/>
    <w:rsid w:val="00733EB0"/>
    <w:rsid w:val="00742E0A"/>
    <w:rsid w:val="007572F7"/>
    <w:rsid w:val="0091077D"/>
    <w:rsid w:val="009F6816"/>
    <w:rsid w:val="00A403BA"/>
    <w:rsid w:val="00A870AF"/>
    <w:rsid w:val="00B25928"/>
    <w:rsid w:val="00B97D7B"/>
    <w:rsid w:val="00BC1244"/>
    <w:rsid w:val="00C17201"/>
    <w:rsid w:val="00C45032"/>
    <w:rsid w:val="00C65772"/>
    <w:rsid w:val="00C67039"/>
    <w:rsid w:val="00CC1FCD"/>
    <w:rsid w:val="00D502C6"/>
    <w:rsid w:val="00DC44A3"/>
    <w:rsid w:val="00E03515"/>
    <w:rsid w:val="00E17CC0"/>
    <w:rsid w:val="00E83A9E"/>
    <w:rsid w:val="00EB7A7E"/>
    <w:rsid w:val="00F6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A3AA"/>
  <w15:chartTrackingRefBased/>
  <w15:docId w15:val="{5EDFB57B-98CF-44AD-A0DA-CA2109B8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BC1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Buletai,List Paragraph21,List Paragraph1,List Paragraph2,lp1,Bullet 1,Use Case List Paragraph,Numbering,ERP-List Paragraph,List Paragraph11,List Paragraph111,Paragraph"/>
    <w:basedOn w:val="prastasis"/>
    <w:link w:val="SraopastraipaDiagrama"/>
    <w:uiPriority w:val="34"/>
    <w:qFormat/>
    <w:rsid w:val="0049516C"/>
    <w:pPr>
      <w:ind w:left="720" w:firstLine="357"/>
      <w:contextualSpacing/>
    </w:pPr>
    <w:rPr>
      <w:rFonts w:ascii="Arial" w:eastAsia="Calibri" w:hAnsi="Arial"/>
      <w:sz w:val="22"/>
      <w:szCs w:val="22"/>
    </w:rPr>
  </w:style>
  <w:style w:type="character" w:customStyle="1" w:styleId="SraopastraipaDiagrama">
    <w:name w:val="Sąrašo pastraipa Diagrama"/>
    <w:aliases w:val="List Paragraph Red Diagrama,Bullet EY Diagrama,Buletai Diagrama,List Paragraph21 Diagrama,List Paragraph1 Diagrama,List Paragraph2 Diagrama,lp1 Diagrama,Bullet 1 Diagrama,Use Case List Paragraph Diagrama,Numbering Diagrama"/>
    <w:link w:val="Sraopastraipa"/>
    <w:uiPriority w:val="34"/>
    <w:locked/>
    <w:rsid w:val="0049516C"/>
    <w:rPr>
      <w:rFonts w:ascii="Arial" w:eastAsia="Calibri" w:hAnsi="Arial" w:cs="Times New Roman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F6816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F681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2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3163</Words>
  <Characters>1804</Characters>
  <Application>Microsoft Office Word</Application>
  <DocSecurity>0</DocSecurity>
  <Lines>15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Daiva Čeponienė</dc:creator>
  <cp:keywords/>
  <dc:description/>
  <cp:lastModifiedBy>Asta Kudirkaitė</cp:lastModifiedBy>
  <cp:revision>3</cp:revision>
  <cp:lastPrinted>2021-07-01T06:39:00Z</cp:lastPrinted>
  <dcterms:created xsi:type="dcterms:W3CDTF">2021-07-02T09:58:00Z</dcterms:created>
  <dcterms:modified xsi:type="dcterms:W3CDTF">2021-07-02T09:59:00Z</dcterms:modified>
</cp:coreProperties>
</file>