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53" w:rsidRPr="00F95236" w:rsidRDefault="006E3B53" w:rsidP="006E3B53">
      <w:pPr>
        <w:spacing w:before="160"/>
        <w:ind w:left="-851" w:firstLine="851"/>
        <w:jc w:val="center"/>
        <w:rPr>
          <w:caps/>
          <w:sz w:val="16"/>
          <w:szCs w:val="16"/>
        </w:rPr>
      </w:pPr>
      <w:r w:rsidRPr="00F95236">
        <w:rPr>
          <w:noProof/>
          <w:lang w:eastAsia="lt-LT"/>
        </w:rPr>
        <w:drawing>
          <wp:inline distT="0" distB="0" distL="0" distR="0" wp14:anchorId="043FDAA3" wp14:editId="20B34940">
            <wp:extent cx="614477" cy="6862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36095" cy="710406"/>
                    </a:xfrm>
                    <a:prstGeom prst="rect">
                      <a:avLst/>
                    </a:prstGeom>
                  </pic:spPr>
                </pic:pic>
              </a:graphicData>
            </a:graphic>
          </wp:inline>
        </w:drawing>
      </w:r>
    </w:p>
    <w:p w:rsidR="006E3B53" w:rsidRPr="00F95236" w:rsidRDefault="006E3B53" w:rsidP="006E3B53">
      <w:pPr>
        <w:spacing w:before="160"/>
        <w:ind w:left="-851" w:firstLine="851"/>
        <w:jc w:val="center"/>
        <w:rPr>
          <w:b/>
          <w:caps/>
        </w:rPr>
      </w:pPr>
      <w:r w:rsidRPr="00F95236">
        <w:rPr>
          <w:b/>
          <w:caps/>
        </w:rPr>
        <w:t>LIETUVOS RESPUBLIKOS energetikos MINISTERIJA</w:t>
      </w:r>
    </w:p>
    <w:p w:rsidR="006E3B53" w:rsidRPr="00F95236" w:rsidRDefault="006E3B53" w:rsidP="006E3B53">
      <w:pPr>
        <w:ind w:left="-851"/>
        <w:jc w:val="center"/>
        <w:rPr>
          <w:b/>
          <w:caps/>
          <w:sz w:val="10"/>
        </w:rPr>
      </w:pPr>
    </w:p>
    <w:p w:rsidR="006E3B53" w:rsidRPr="00F95236" w:rsidRDefault="006E3B53" w:rsidP="006E3B53">
      <w:pPr>
        <w:spacing w:before="40"/>
        <w:ind w:left="-851"/>
        <w:jc w:val="center"/>
        <w:rPr>
          <w:sz w:val="17"/>
        </w:rPr>
      </w:pPr>
      <w:r w:rsidRPr="00F95236">
        <w:rPr>
          <w:sz w:val="17"/>
        </w:rPr>
        <w:t xml:space="preserve">Biudžetinė įstaiga, Gedimino pr. 38, LT-01104 Vilnius, </w:t>
      </w:r>
    </w:p>
    <w:p w:rsidR="006E3B53" w:rsidRPr="00F95236" w:rsidRDefault="006E3B53" w:rsidP="006E3B53">
      <w:pPr>
        <w:spacing w:before="40"/>
        <w:ind w:left="-851"/>
        <w:jc w:val="center"/>
        <w:rPr>
          <w:sz w:val="17"/>
        </w:rPr>
      </w:pPr>
      <w:r w:rsidRPr="00F95236">
        <w:rPr>
          <w:sz w:val="17"/>
        </w:rPr>
        <w:t xml:space="preserve">tel. (8 5) 203 4696, faks. (8 5) 203 4692, el. p. </w:t>
      </w:r>
      <w:hyperlink r:id="rId7" w:history="1">
        <w:r w:rsidRPr="00F95236">
          <w:rPr>
            <w:rStyle w:val="Hipersaitas"/>
            <w:sz w:val="17"/>
          </w:rPr>
          <w:t>info@enmin.lt</w:t>
        </w:r>
      </w:hyperlink>
      <w:r w:rsidRPr="00F95236">
        <w:rPr>
          <w:rStyle w:val="Hipersaitas"/>
          <w:sz w:val="17"/>
        </w:rPr>
        <w:t>.</w:t>
      </w:r>
    </w:p>
    <w:p w:rsidR="006E3B53" w:rsidRPr="00F95236" w:rsidRDefault="006E3B53" w:rsidP="006E3B53">
      <w:pPr>
        <w:widowControl w:val="0"/>
        <w:spacing w:after="40"/>
        <w:ind w:left="-851"/>
        <w:jc w:val="center"/>
        <w:rPr>
          <w:sz w:val="17"/>
        </w:rPr>
      </w:pPr>
      <w:r w:rsidRPr="00F95236">
        <w:rPr>
          <w:sz w:val="17"/>
        </w:rPr>
        <w:t>Duomenys kaupiami ir saugomi Juridinių asmenų registre, kodas 302308327</w:t>
      </w:r>
    </w:p>
    <w:p w:rsidR="006E3B53" w:rsidRPr="00F95236" w:rsidRDefault="006E3B53" w:rsidP="006E3B53">
      <w:r w:rsidRPr="00F95236">
        <w:rPr>
          <w:noProof/>
          <w:lang w:eastAsia="lt-LT"/>
        </w:rPr>
        <mc:AlternateContent>
          <mc:Choice Requires="wps">
            <w:drawing>
              <wp:anchor distT="4294967295" distB="4294967295" distL="114300" distR="114300" simplePos="0" relativeHeight="251659264" behindDoc="1" locked="0" layoutInCell="1" allowOverlap="1" wp14:anchorId="190DF245" wp14:editId="4714089F">
                <wp:simplePos x="0" y="0"/>
                <wp:positionH relativeFrom="column">
                  <wp:posOffset>-41910</wp:posOffset>
                </wp:positionH>
                <wp:positionV relativeFrom="paragraph">
                  <wp:posOffset>-636</wp:posOffset>
                </wp:positionV>
                <wp:extent cx="6078855" cy="0"/>
                <wp:effectExtent l="0" t="0" r="3619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1FCEDD5" id="_x0000_t32" coordsize="21600,21600" o:spt="32" o:oned="t" path="m,l21600,21600e" filled="f">
                <v:path arrowok="t" fillok="f" o:connecttype="none"/>
                <o:lock v:ext="edit" shapetype="t"/>
              </v:shapetype>
              <v:shape id="AutoShape 2" o:spid="_x0000_s1026" type="#_x0000_t32" style="position:absolute;margin-left:-3.3pt;margin-top:-.05pt;width:478.6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" strokeweight=".5pt">
                <v:shadow color="#7f7f7f" opacity=".5" offset="1pt"/>
              </v:shape>
            </w:pict>
          </mc:Fallback>
        </mc:AlternateContent>
      </w:r>
    </w:p>
    <w:p w:rsidR="006E3B53" w:rsidRPr="00F95236" w:rsidRDefault="006E3B53" w:rsidP="006E3B53"/>
    <w:tbl>
      <w:tblPr>
        <w:tblW w:w="9746" w:type="dxa"/>
        <w:tblInd w:w="-142" w:type="dxa"/>
        <w:tblCellMar>
          <w:left w:w="0" w:type="dxa"/>
          <w:right w:w="28" w:type="dxa"/>
        </w:tblCellMar>
        <w:tblLook w:val="0000" w:firstRow="0" w:lastRow="0" w:firstColumn="0" w:lastColumn="0" w:noHBand="0" w:noVBand="0"/>
      </w:tblPr>
      <w:tblGrid>
        <w:gridCol w:w="4785"/>
        <w:gridCol w:w="744"/>
        <w:gridCol w:w="2018"/>
        <w:gridCol w:w="1882"/>
        <w:gridCol w:w="317"/>
      </w:tblGrid>
      <w:tr w:rsidR="006E3B53" w:rsidRPr="00F95236" w:rsidTr="00D008D3">
        <w:trPr>
          <w:cantSplit/>
        </w:trPr>
        <w:tc>
          <w:tcPr>
            <w:tcW w:w="4785" w:type="dxa"/>
            <w:vMerge w:val="restart"/>
          </w:tcPr>
          <w:p w:rsidR="006E3B53" w:rsidRPr="00F95236" w:rsidRDefault="006E3B53" w:rsidP="00D008D3">
            <w:pPr>
              <w:jc w:val="left"/>
            </w:pPr>
            <w:r w:rsidRPr="00F95236">
              <w:t>Lietuvos savivaldybių asociacijai</w:t>
            </w:r>
          </w:p>
          <w:p w:rsidR="006E3B53" w:rsidRPr="00F95236" w:rsidRDefault="006E3B53" w:rsidP="00D008D3">
            <w:pPr>
              <w:jc w:val="left"/>
            </w:pPr>
          </w:p>
          <w:p w:rsidR="006E3B53" w:rsidRPr="00F95236" w:rsidRDefault="006E3B53" w:rsidP="00D008D3">
            <w:pPr>
              <w:jc w:val="left"/>
            </w:pPr>
            <w:r w:rsidRPr="00F95236">
              <w:t>Kopija</w:t>
            </w:r>
          </w:p>
          <w:p w:rsidR="006E3B53" w:rsidRPr="00F95236" w:rsidRDefault="006E3B53" w:rsidP="00D008D3">
            <w:pPr>
              <w:jc w:val="left"/>
            </w:pPr>
            <w:r w:rsidRPr="00F95236">
              <w:t>Valstybinei energetikos reguliavimo tarybai</w:t>
            </w:r>
          </w:p>
          <w:p w:rsidR="006E3B53" w:rsidRPr="00F95236" w:rsidRDefault="006E3B53" w:rsidP="00D008D3">
            <w:pPr>
              <w:jc w:val="left"/>
              <w:rPr>
                <w:szCs w:val="24"/>
                <w:shd w:val="clear" w:color="auto" w:fill="FFFFFF"/>
              </w:rPr>
            </w:pPr>
            <w:r w:rsidRPr="00F95236">
              <w:rPr>
                <w:szCs w:val="24"/>
                <w:shd w:val="clear" w:color="auto" w:fill="FFFFFF"/>
              </w:rPr>
              <w:t>Aplinkos projektų valdymo agentūrai</w:t>
            </w:r>
          </w:p>
          <w:p w:rsidR="006E3B53" w:rsidRPr="00F95236" w:rsidRDefault="006E3B53" w:rsidP="00D008D3">
            <w:pPr>
              <w:jc w:val="left"/>
            </w:pPr>
            <w:r w:rsidRPr="00F95236">
              <w:rPr>
                <w:shd w:val="clear" w:color="auto" w:fill="FFFFFF"/>
              </w:rPr>
              <w:t>AB „Energijos skirstymo operatorius“</w:t>
            </w:r>
          </w:p>
          <w:p w:rsidR="006E3B53" w:rsidRPr="00F95236" w:rsidRDefault="006E3B53" w:rsidP="00D008D3">
            <w:pPr>
              <w:jc w:val="left"/>
            </w:pPr>
          </w:p>
        </w:tc>
        <w:tc>
          <w:tcPr>
            <w:tcW w:w="744" w:type="dxa"/>
          </w:tcPr>
          <w:p w:rsidR="006E3B53" w:rsidRPr="00F95236" w:rsidRDefault="006E3B53" w:rsidP="00D008D3">
            <w:pPr>
              <w:jc w:val="left"/>
            </w:pPr>
          </w:p>
        </w:tc>
        <w:tc>
          <w:tcPr>
            <w:tcW w:w="2018" w:type="dxa"/>
          </w:tcPr>
          <w:p w:rsidR="006E3B53" w:rsidRPr="00F95236" w:rsidRDefault="006E3B53" w:rsidP="00D008D3">
            <w:pPr>
              <w:jc w:val="left"/>
            </w:pPr>
            <w:r w:rsidRPr="00F95236">
              <w:t>2021-03-</w:t>
            </w:r>
          </w:p>
        </w:tc>
        <w:tc>
          <w:tcPr>
            <w:tcW w:w="2199" w:type="dxa"/>
            <w:gridSpan w:val="2"/>
          </w:tcPr>
          <w:p w:rsidR="006E3B53" w:rsidRPr="00F95236" w:rsidRDefault="006E3B53" w:rsidP="00D008D3">
            <w:pPr>
              <w:jc w:val="left"/>
            </w:pPr>
            <w:r w:rsidRPr="00F95236">
              <w:t>Nr. (22.2-24Mr) 3-</w:t>
            </w:r>
          </w:p>
        </w:tc>
      </w:tr>
      <w:tr w:rsidR="006E3B53" w:rsidRPr="00F95236" w:rsidTr="00D008D3">
        <w:trPr>
          <w:cantSplit/>
        </w:trPr>
        <w:tc>
          <w:tcPr>
            <w:tcW w:w="4785" w:type="dxa"/>
            <w:vMerge/>
          </w:tcPr>
          <w:p w:rsidR="006E3B53" w:rsidRPr="00F95236" w:rsidRDefault="006E3B53" w:rsidP="00D008D3">
            <w:pPr>
              <w:jc w:val="left"/>
            </w:pPr>
          </w:p>
        </w:tc>
        <w:tc>
          <w:tcPr>
            <w:tcW w:w="744" w:type="dxa"/>
          </w:tcPr>
          <w:p w:rsidR="006E3B53" w:rsidRPr="00F95236" w:rsidRDefault="006E3B53" w:rsidP="00D008D3">
            <w:pPr>
              <w:jc w:val="left"/>
            </w:pPr>
          </w:p>
        </w:tc>
        <w:tc>
          <w:tcPr>
            <w:tcW w:w="2018" w:type="dxa"/>
          </w:tcPr>
          <w:p w:rsidR="006E3B53" w:rsidRPr="00F95236" w:rsidRDefault="006E3B53" w:rsidP="00D008D3">
            <w:pPr>
              <w:jc w:val="left"/>
            </w:pPr>
          </w:p>
        </w:tc>
        <w:tc>
          <w:tcPr>
            <w:tcW w:w="2199" w:type="dxa"/>
            <w:gridSpan w:val="2"/>
          </w:tcPr>
          <w:p w:rsidR="006E3B53" w:rsidRPr="00F95236" w:rsidRDefault="006E3B53" w:rsidP="00D008D3">
            <w:pPr>
              <w:jc w:val="left"/>
            </w:pPr>
          </w:p>
        </w:tc>
      </w:tr>
      <w:tr w:rsidR="006E3B53" w:rsidRPr="00F95236" w:rsidTr="00D008D3">
        <w:trPr>
          <w:gridAfter w:val="1"/>
          <w:wAfter w:w="317" w:type="dxa"/>
          <w:cantSplit/>
        </w:trPr>
        <w:tc>
          <w:tcPr>
            <w:tcW w:w="9429" w:type="dxa"/>
            <w:gridSpan w:val="4"/>
          </w:tcPr>
          <w:p w:rsidR="006E3B53" w:rsidRPr="00F95236" w:rsidRDefault="006E3B53" w:rsidP="00D008D3">
            <w:pPr>
              <w:rPr>
                <w:caps/>
              </w:rPr>
            </w:pPr>
          </w:p>
          <w:p w:rsidR="006E3B53" w:rsidRPr="00F95236" w:rsidRDefault="006E3B53" w:rsidP="00D008D3">
            <w:pPr>
              <w:rPr>
                <w:b/>
                <w:bCs/>
              </w:rPr>
            </w:pPr>
            <w:r w:rsidRPr="00F95236">
              <w:rPr>
                <w:b/>
                <w:bCs/>
                <w:caps/>
              </w:rPr>
              <w:t xml:space="preserve">dėl priemonės „suskystintų naftos dujų balionų daugiabučiuose pakeitimas kitais energijos šaltniais“ įgyvendinimo </w:t>
            </w:r>
          </w:p>
        </w:tc>
      </w:tr>
    </w:tbl>
    <w:p w:rsidR="006E3B53" w:rsidRPr="00F95236" w:rsidRDefault="006E3B53" w:rsidP="006E3B53"/>
    <w:p w:rsidR="006E3B53" w:rsidRPr="00F95236" w:rsidRDefault="006E3B53" w:rsidP="006E3B53"/>
    <w:p w:rsidR="006E3B53" w:rsidRPr="00F95236" w:rsidRDefault="006E3B53" w:rsidP="006E3B53">
      <w:pPr>
        <w:ind w:firstLine="720"/>
        <w:rPr>
          <w:szCs w:val="24"/>
        </w:rPr>
      </w:pPr>
      <w:r w:rsidRPr="00F95236">
        <w:rPr>
          <w:szCs w:val="24"/>
        </w:rPr>
        <w:t xml:space="preserve">Informuojame, kad Lietuvos Respublikos energetikos ministro 2019 m. birželio 27 d. įsakymu Nr. 1-181 buvo patvirtintas Suskystintų naftos dujų balionų, naudojamų daugiabučiuose namuose, pakeitimo 2019–2022 metais veiksmų planas (toliau – Veiksmų planas), kuris </w:t>
      </w:r>
      <w:r w:rsidRPr="00F95236">
        <w:rPr>
          <w:color w:val="000000"/>
          <w:szCs w:val="24"/>
        </w:rPr>
        <w:t xml:space="preserve">nustatė konkrečius </w:t>
      </w:r>
      <w:r w:rsidRPr="00F95236">
        <w:rPr>
          <w:szCs w:val="24"/>
        </w:rPr>
        <w:t xml:space="preserve">valstybės ir savivaldybių institucijų, energetikos įmonių veiksmus ir priemones dėl </w:t>
      </w:r>
      <w:r w:rsidRPr="00F95236">
        <w:t xml:space="preserve">suskystintų naftos dujų (toliau – SND) </w:t>
      </w:r>
      <w:r w:rsidRPr="00F95236">
        <w:rPr>
          <w:szCs w:val="24"/>
        </w:rPr>
        <w:t>balionų pašalinimo iš d</w:t>
      </w:r>
      <w:r w:rsidRPr="00F95236">
        <w:t xml:space="preserve">augiabučių namų </w:t>
      </w:r>
      <w:r w:rsidRPr="00F95236">
        <w:rPr>
          <w:szCs w:val="24"/>
        </w:rPr>
        <w:t>2019–2022 metais.</w:t>
      </w:r>
    </w:p>
    <w:p w:rsidR="006E3B53" w:rsidRDefault="006E3B53" w:rsidP="006E3B53">
      <w:pPr>
        <w:ind w:firstLine="720"/>
        <w:rPr>
          <w:szCs w:val="24"/>
        </w:rPr>
      </w:pPr>
      <w:r w:rsidRPr="00F95236">
        <w:rPr>
          <w:szCs w:val="24"/>
        </w:rPr>
        <w:t xml:space="preserve">Siekiant padėti daugiabučių namų gyventojams išspręsti problemą dėl SND balionų naudojimo daugiabučiuose namuose, nuo 2020 metų vykdomas daugiabučių namų, kuriuose maistui ruošti naudojami SND balionai, </w:t>
      </w:r>
      <w:r w:rsidRPr="00F95236">
        <w:rPr>
          <w:color w:val="000000"/>
        </w:rPr>
        <w:t xml:space="preserve">elektros energijos vartotojų elektros įrenginių </w:t>
      </w:r>
      <w:proofErr w:type="spellStart"/>
      <w:r w:rsidRPr="00F95236">
        <w:rPr>
          <w:color w:val="000000"/>
        </w:rPr>
        <w:t>leistinosios</w:t>
      </w:r>
      <w:proofErr w:type="spellEnd"/>
      <w:r w:rsidRPr="00F95236">
        <w:rPr>
          <w:color w:val="000000"/>
        </w:rPr>
        <w:t xml:space="preserve"> naudoti galios</w:t>
      </w:r>
      <w:r w:rsidRPr="00F95236">
        <w:rPr>
          <w:szCs w:val="24"/>
        </w:rPr>
        <w:t xml:space="preserve"> </w:t>
      </w:r>
      <w:r w:rsidRPr="00F95236">
        <w:rPr>
          <w:color w:val="000000"/>
        </w:rPr>
        <w:t>didinimo</w:t>
      </w:r>
      <w:r>
        <w:rPr>
          <w:color w:val="000000"/>
        </w:rPr>
        <w:t xml:space="preserve"> (vienam butui iki 5 kW)</w:t>
      </w:r>
      <w:r w:rsidRPr="00F95236">
        <w:rPr>
          <w:color w:val="000000"/>
        </w:rPr>
        <w:t xml:space="preserve">, </w:t>
      </w:r>
      <w:r w:rsidRPr="00F95236">
        <w:rPr>
          <w:szCs w:val="24"/>
        </w:rPr>
        <w:t xml:space="preserve">ir (ar) gamtinių </w:t>
      </w:r>
      <w:r w:rsidRPr="00F95236">
        <w:t>dujų skirstomųjų tinklų rekonstravimo</w:t>
      </w:r>
      <w:r w:rsidRPr="00F95236">
        <w:rPr>
          <w:szCs w:val="24"/>
        </w:rPr>
        <w:t>,</w:t>
      </w:r>
      <w:r w:rsidRPr="00F95236">
        <w:rPr>
          <w:color w:val="000000"/>
        </w:rPr>
        <w:t xml:space="preserve"> suskystintų naftos </w:t>
      </w:r>
      <w:r w:rsidRPr="00F95236">
        <w:rPr>
          <w:szCs w:val="24"/>
        </w:rPr>
        <w:t>dujų sistemų pertvarkymo į gamtines dujų sistemas projektas</w:t>
      </w:r>
      <w:r>
        <w:rPr>
          <w:szCs w:val="24"/>
        </w:rPr>
        <w:t xml:space="preserve"> (toliau – Projektas)</w:t>
      </w:r>
      <w:r w:rsidRPr="00F95236">
        <w:rPr>
          <w:szCs w:val="24"/>
        </w:rPr>
        <w:t xml:space="preserve">. Projektas vykdomas pagal šiuos teisės aktus: </w:t>
      </w:r>
    </w:p>
    <w:p w:rsidR="006E3B53" w:rsidRDefault="006E3B53" w:rsidP="006E3B53">
      <w:pPr>
        <w:ind w:firstLine="720"/>
        <w:rPr>
          <w:szCs w:val="24"/>
        </w:rPr>
      </w:pPr>
      <w:r>
        <w:rPr>
          <w:szCs w:val="24"/>
        </w:rPr>
        <w:t xml:space="preserve">- </w:t>
      </w:r>
      <w:r w:rsidRPr="00F95236">
        <w:rPr>
          <w:szCs w:val="24"/>
        </w:rPr>
        <w:t>Veiksmų planą</w:t>
      </w:r>
      <w:r>
        <w:rPr>
          <w:szCs w:val="24"/>
        </w:rPr>
        <w:t>;</w:t>
      </w:r>
    </w:p>
    <w:p w:rsidR="006E3B53" w:rsidRPr="00F95236" w:rsidRDefault="006E3B53" w:rsidP="006E3B53">
      <w:pPr>
        <w:ind w:firstLine="720"/>
        <w:rPr>
          <w:color w:val="000000"/>
          <w:szCs w:val="24"/>
          <w:lang w:eastAsia="lt-LT" w:bidi="lt-LT"/>
        </w:rPr>
      </w:pPr>
      <w:r>
        <w:rPr>
          <w:szCs w:val="24"/>
        </w:rPr>
        <w:t>- P</w:t>
      </w:r>
      <w:r w:rsidRPr="00F95236">
        <w:rPr>
          <w:szCs w:val="24"/>
          <w:lang w:eastAsia="lt-LT"/>
        </w:rPr>
        <w:t>riemonės „Suskystintų naftos dujų balionų daugiabučiuose pakeitimas kitais energijos šaltiniais“ (toliau – Priemonė) finansavimo sąlygų aprašą</w:t>
      </w:r>
      <w:r w:rsidRPr="00F95236">
        <w:rPr>
          <w:rStyle w:val="Puslapioinaosnuoroda"/>
          <w:szCs w:val="24"/>
        </w:rPr>
        <w:footnoteReference w:id="1"/>
      </w:r>
      <w:r w:rsidRPr="00F95236">
        <w:rPr>
          <w:szCs w:val="24"/>
        </w:rPr>
        <w:t xml:space="preserve"> (toliau – Finansavimo sąlygų aprašas)</w:t>
      </w:r>
      <w:r>
        <w:rPr>
          <w:szCs w:val="24"/>
        </w:rPr>
        <w:t>.</w:t>
      </w:r>
    </w:p>
    <w:p w:rsidR="006E3B53" w:rsidRPr="00F95236" w:rsidRDefault="006E3B53" w:rsidP="006E3B53">
      <w:pPr>
        <w:ind w:firstLine="720"/>
        <w:rPr>
          <w:szCs w:val="24"/>
        </w:rPr>
      </w:pPr>
      <w:r w:rsidRPr="00F95236">
        <w:rPr>
          <w:szCs w:val="24"/>
          <w:lang w:eastAsia="en-GB"/>
        </w:rPr>
        <w:t>2021 metais numatyta</w:t>
      </w:r>
      <w:r w:rsidRPr="00F95236">
        <w:rPr>
          <w:rStyle w:val="Puslapioinaosnuoroda"/>
          <w:szCs w:val="24"/>
          <w:lang w:eastAsia="en-GB"/>
        </w:rPr>
        <w:footnoteReference w:id="2"/>
      </w:r>
      <w:r w:rsidRPr="00F95236">
        <w:rPr>
          <w:szCs w:val="24"/>
          <w:lang w:eastAsia="en-GB"/>
        </w:rPr>
        <w:t xml:space="preserve"> teikti </w:t>
      </w:r>
      <w:r w:rsidRPr="00F95236">
        <w:rPr>
          <w:szCs w:val="24"/>
        </w:rPr>
        <w:t xml:space="preserve">valstybės paramą (subsidiją) </w:t>
      </w:r>
      <w:r w:rsidRPr="00F95236">
        <w:rPr>
          <w:spacing w:val="2"/>
        </w:rPr>
        <w:t>10 mln. eurų</w:t>
      </w:r>
      <w:r w:rsidRPr="00F95236">
        <w:rPr>
          <w:szCs w:val="24"/>
        </w:rPr>
        <w:t xml:space="preserve"> Priemonei įgyvendinti. V</w:t>
      </w:r>
      <w:r w:rsidRPr="00F95236">
        <w:rPr>
          <w:spacing w:val="2"/>
        </w:rPr>
        <w:t xml:space="preserve">ienam butui bus skiriama iki 726 eurų su PVM parama – </w:t>
      </w:r>
      <w:r w:rsidRPr="00F95236">
        <w:rPr>
          <w:spacing w:val="2"/>
          <w:shd w:val="clear" w:color="auto" w:fill="FFFFFF"/>
        </w:rPr>
        <w:t>d</w:t>
      </w:r>
      <w:r w:rsidRPr="00F95236">
        <w:rPr>
          <w:spacing w:val="2"/>
        </w:rPr>
        <w:t>augiabučių namų bendrųjų elektros arba dujų inžinerinių sistemų pertvarkymui – 242 eurų, butų elektros arba dujų sistemos pertvarkymui – 242 eurų, elektrinės arba dujinės viryklės įsigijimui –242 eurų. Taip pat bus kompensuojamos daugiabučio namo atstovo</w:t>
      </w:r>
      <w:r w:rsidRPr="00F95236">
        <w:rPr>
          <w:rStyle w:val="Puslapioinaosnuoroda"/>
          <w:spacing w:val="2"/>
        </w:rPr>
        <w:footnoteReference w:id="3"/>
      </w:r>
      <w:r w:rsidRPr="00F95236">
        <w:rPr>
          <w:spacing w:val="2"/>
        </w:rPr>
        <w:t xml:space="preserve"> administravimo išlaidos už darbus – 3 proc. nuo </w:t>
      </w:r>
      <w:r>
        <w:rPr>
          <w:spacing w:val="2"/>
        </w:rPr>
        <w:t xml:space="preserve">namo </w:t>
      </w:r>
      <w:r w:rsidRPr="00F95236">
        <w:rPr>
          <w:spacing w:val="2"/>
        </w:rPr>
        <w:lastRenderedPageBreak/>
        <w:t xml:space="preserve">bendrųjų inžinerinių </w:t>
      </w:r>
      <w:r>
        <w:rPr>
          <w:spacing w:val="2"/>
        </w:rPr>
        <w:t>(</w:t>
      </w:r>
      <w:r w:rsidRPr="00F95236">
        <w:rPr>
          <w:spacing w:val="2"/>
        </w:rPr>
        <w:t>elektros arba dujų</w:t>
      </w:r>
      <w:r>
        <w:rPr>
          <w:spacing w:val="2"/>
        </w:rPr>
        <w:t>)</w:t>
      </w:r>
      <w:r w:rsidRPr="00F95236">
        <w:rPr>
          <w:spacing w:val="2"/>
        </w:rPr>
        <w:t xml:space="preserve"> sistemų pertvarkymo darbų ir viryklių įsigijimui numatytų maksimalių finansavimo įkainių.</w:t>
      </w:r>
    </w:p>
    <w:p w:rsidR="006E3B53" w:rsidRPr="00F95236" w:rsidRDefault="006E3B53" w:rsidP="006E3B53">
      <w:pPr>
        <w:ind w:firstLine="720"/>
        <w:rPr>
          <w:spacing w:val="2"/>
        </w:rPr>
      </w:pPr>
      <w:r w:rsidRPr="00F95236">
        <w:rPr>
          <w:szCs w:val="24"/>
        </w:rPr>
        <w:t xml:space="preserve">Informuojame, kad Priemonę administruojanti Lietuvos </w:t>
      </w:r>
      <w:r w:rsidRPr="00F95236">
        <w:rPr>
          <w:szCs w:val="24"/>
          <w:shd w:val="clear" w:color="auto" w:fill="FFFFFF"/>
        </w:rPr>
        <w:t>Respublikos aplinkos ministerijos Aplinkos projektų valdymo agentūra</w:t>
      </w:r>
      <w:r w:rsidRPr="00F95236">
        <w:rPr>
          <w:szCs w:val="24"/>
        </w:rPr>
        <w:t xml:space="preserve"> (toliau – Agentūra) 2021 m vasario 26 d. paskelbė</w:t>
      </w:r>
      <w:r w:rsidRPr="00F95236">
        <w:rPr>
          <w:rStyle w:val="Puslapioinaosnuoroda"/>
          <w:szCs w:val="24"/>
        </w:rPr>
        <w:footnoteReference w:id="4"/>
      </w:r>
      <w:r w:rsidRPr="00F95236">
        <w:rPr>
          <w:szCs w:val="24"/>
        </w:rPr>
        <w:t xml:space="preserve"> k</w:t>
      </w:r>
      <w:r w:rsidRPr="00F95236">
        <w:rPr>
          <w:spacing w:val="2"/>
        </w:rPr>
        <w:t>vietimą d</w:t>
      </w:r>
      <w:r w:rsidRPr="00F95236">
        <w:rPr>
          <w:szCs w:val="24"/>
        </w:rPr>
        <w:t xml:space="preserve">augiabučių namų atstovams ketinantiems dalyvauti Projekte </w:t>
      </w:r>
      <w:r w:rsidRPr="00F95236">
        <w:rPr>
          <w:spacing w:val="2"/>
        </w:rPr>
        <w:t xml:space="preserve">teikti paraiškas </w:t>
      </w:r>
      <w:r w:rsidRPr="00F95236">
        <w:rPr>
          <w:szCs w:val="24"/>
        </w:rPr>
        <w:t>Agentūra</w:t>
      </w:r>
      <w:r w:rsidRPr="00F95236">
        <w:rPr>
          <w:spacing w:val="2"/>
        </w:rPr>
        <w:t xml:space="preserve">i, kurios bus priimamos iki birželio 1 d. </w:t>
      </w:r>
    </w:p>
    <w:p w:rsidR="006E3B53" w:rsidRDefault="006E3B53" w:rsidP="006E3B53">
      <w:pPr>
        <w:ind w:firstLine="720"/>
      </w:pPr>
      <w:r w:rsidRPr="00F95236">
        <w:rPr>
          <w:spacing w:val="2"/>
        </w:rPr>
        <w:t>Pažymėtina, kad d</w:t>
      </w:r>
      <w:r w:rsidRPr="00F95236">
        <w:rPr>
          <w:szCs w:val="24"/>
          <w:lang w:eastAsia="lt-LT"/>
        </w:rPr>
        <w:t xml:space="preserve">augiabučio namo atstovas yra daugiabučio namo butų ar kitų patalpų savininkų įgaliotas asmuo, bendrija ar administratorius, veikiantys sudarytos ir viešajame registre įregistruotos jungtinės veiklos sutarties ar kitu Lietuvos Respublikos civiliniame kodekse numatytu atstovavimo pagrindu ir tik šis atstovas (ne daugiabučio namo butų ar kitų patalpų savininkas) gali teikti </w:t>
      </w:r>
      <w:r w:rsidRPr="00F95236">
        <w:rPr>
          <w:spacing w:val="2"/>
        </w:rPr>
        <w:t xml:space="preserve">paraiškas </w:t>
      </w:r>
      <w:r w:rsidRPr="00F95236">
        <w:rPr>
          <w:szCs w:val="24"/>
        </w:rPr>
        <w:t>Agentūra</w:t>
      </w:r>
      <w:r w:rsidRPr="00F95236">
        <w:rPr>
          <w:spacing w:val="2"/>
        </w:rPr>
        <w:t>i</w:t>
      </w:r>
      <w:r w:rsidRPr="00F95236">
        <w:rPr>
          <w:szCs w:val="24"/>
          <w:lang w:eastAsia="lt-LT"/>
        </w:rPr>
        <w:t xml:space="preserve">. </w:t>
      </w:r>
      <w:r w:rsidRPr="00F95236">
        <w:rPr>
          <w:spacing w:val="2"/>
          <w:szCs w:val="24"/>
        </w:rPr>
        <w:t>Projektų vykdytojai (</w:t>
      </w:r>
      <w:r w:rsidRPr="00F95236">
        <w:rPr>
          <w:spacing w:val="2"/>
        </w:rPr>
        <w:t>d</w:t>
      </w:r>
      <w:r w:rsidRPr="00F95236">
        <w:rPr>
          <w:szCs w:val="24"/>
        </w:rPr>
        <w:t>augiabučių namų atstovai)</w:t>
      </w:r>
      <w:r w:rsidRPr="00F95236">
        <w:rPr>
          <w:spacing w:val="2"/>
          <w:szCs w:val="24"/>
        </w:rPr>
        <w:t xml:space="preserve"> </w:t>
      </w:r>
      <w:r w:rsidRPr="00F95236">
        <w:rPr>
          <w:szCs w:val="24"/>
        </w:rPr>
        <w:t xml:space="preserve">turės užpildyti paraiškos ir projekto mokėjimo prašymo formas, kurios integruotos į aplinkos projektų valdymo informacinę sistemą (APVIS) </w:t>
      </w:r>
      <w:hyperlink r:id="rId8" w:history="1">
        <w:r w:rsidRPr="005A0F97">
          <w:rPr>
            <w:rStyle w:val="Hipersaitas"/>
          </w:rPr>
          <w:t>https://apvis.apva.lt</w:t>
        </w:r>
      </w:hyperlink>
      <w:r>
        <w:t>.</w:t>
      </w:r>
    </w:p>
    <w:p w:rsidR="006E3B53" w:rsidRPr="00F95236" w:rsidRDefault="006E3B53" w:rsidP="006E3B53">
      <w:pPr>
        <w:ind w:firstLine="720"/>
        <w:rPr>
          <w:szCs w:val="24"/>
          <w:lang w:eastAsia="lt-LT"/>
        </w:rPr>
      </w:pPr>
      <w:r w:rsidRPr="00F95236">
        <w:rPr>
          <w:szCs w:val="24"/>
        </w:rPr>
        <w:t>Pažymėtina, kad savivaldybių administracijos bendradarbiauja</w:t>
      </w:r>
      <w:r w:rsidRPr="00F95236">
        <w:rPr>
          <w:rStyle w:val="Puslapioinaosnuoroda"/>
          <w:szCs w:val="24"/>
        </w:rPr>
        <w:footnoteReference w:id="5"/>
      </w:r>
      <w:r w:rsidRPr="00F95236">
        <w:rPr>
          <w:szCs w:val="24"/>
        </w:rPr>
        <w:t xml:space="preserve"> tiek su skirstomųjų tinklų operatoriumi, tiek su daugiabučio namo atstovais organizuojant paraiškų pateikimą </w:t>
      </w:r>
      <w:r w:rsidRPr="00F95236">
        <w:rPr>
          <w:color w:val="000000"/>
        </w:rPr>
        <w:t xml:space="preserve">Agentūrai dėl </w:t>
      </w:r>
      <w:r w:rsidRPr="00F95236">
        <w:rPr>
          <w:szCs w:val="24"/>
        </w:rPr>
        <w:t xml:space="preserve">kiekvienos savivaldybės teritorijoje esančių daugiabučių namų </w:t>
      </w:r>
      <w:r w:rsidRPr="00F95236">
        <w:rPr>
          <w:color w:val="000000"/>
        </w:rPr>
        <w:t xml:space="preserve">elektros energijos vartotojų elektros įrenginių </w:t>
      </w:r>
      <w:proofErr w:type="spellStart"/>
      <w:r w:rsidRPr="00F95236">
        <w:rPr>
          <w:color w:val="000000"/>
        </w:rPr>
        <w:t>leistinosios</w:t>
      </w:r>
      <w:proofErr w:type="spellEnd"/>
      <w:r w:rsidRPr="00F95236">
        <w:rPr>
          <w:color w:val="000000"/>
        </w:rPr>
        <w:t xml:space="preserve"> naudoti galios padidinimo arba </w:t>
      </w:r>
      <w:r w:rsidRPr="00F95236">
        <w:rPr>
          <w:szCs w:val="24"/>
        </w:rPr>
        <w:t xml:space="preserve">suskystintų naftos dujų sistemų pertvarkymo į gamtines dujų sistemas, ir (ar) kitos informacijos, reikalingos pertvarkyti skirstomuosius elektros ir (ar) dujų tinklus pateikimą skirstomųjų tinklų operatoriui. </w:t>
      </w:r>
    </w:p>
    <w:p w:rsidR="006E3B53" w:rsidRPr="00F95236" w:rsidRDefault="006E3B53" w:rsidP="006E3B53">
      <w:pPr>
        <w:ind w:firstLine="720"/>
        <w:rPr>
          <w:szCs w:val="24"/>
          <w:lang w:eastAsia="en-GB"/>
        </w:rPr>
      </w:pPr>
      <w:r w:rsidRPr="00F95236">
        <w:rPr>
          <w:szCs w:val="24"/>
          <w:lang w:eastAsia="lt-LT"/>
        </w:rPr>
        <w:t xml:space="preserve">Informuojame, kad </w:t>
      </w:r>
      <w:r w:rsidRPr="00F95236">
        <w:rPr>
          <w:szCs w:val="24"/>
          <w:lang w:eastAsia="en-GB"/>
        </w:rPr>
        <w:t>2020 m.</w:t>
      </w:r>
      <w:r w:rsidRPr="00F95236">
        <w:t xml:space="preserve"> iš 1850 daugiabučių namų</w:t>
      </w:r>
      <w:r w:rsidRPr="00F95236">
        <w:rPr>
          <w:rStyle w:val="Puslapioinaosnuoroda"/>
        </w:rPr>
        <w:footnoteReference w:id="6"/>
      </w:r>
      <w:r w:rsidRPr="00F95236">
        <w:t xml:space="preserve">, kuriuose pažeidžiant teisės aktų reikalavimus, </w:t>
      </w:r>
      <w:r w:rsidRPr="00F92337">
        <w:t>gyventojai naudoja SND balionus maistui ruošti, Priemonėje</w:t>
      </w:r>
      <w:r w:rsidRPr="00F92337">
        <w:rPr>
          <w:szCs w:val="24"/>
          <w:lang w:eastAsia="lt-LT"/>
        </w:rPr>
        <w:t xml:space="preserve"> dalyvavo 309</w:t>
      </w:r>
      <w:r>
        <w:rPr>
          <w:szCs w:val="24"/>
          <w:lang w:eastAsia="lt-LT"/>
        </w:rPr>
        <w:t> </w:t>
      </w:r>
      <w:r w:rsidRPr="00F92337">
        <w:rPr>
          <w:szCs w:val="24"/>
          <w:lang w:eastAsia="lt-LT"/>
        </w:rPr>
        <w:t>daugiabučiai na</w:t>
      </w:r>
      <w:r w:rsidRPr="00F95236">
        <w:rPr>
          <w:szCs w:val="24"/>
          <w:lang w:eastAsia="lt-LT"/>
        </w:rPr>
        <w:t>mai (gyventojai) ir jiems bendra</w:t>
      </w:r>
      <w:r w:rsidRPr="00F95236">
        <w:rPr>
          <w:szCs w:val="24"/>
          <w:lang w:eastAsia="en-GB"/>
        </w:rPr>
        <w:t xml:space="preserve"> paramos suteikta suma siekė apie 4,3 mln. eurų. Dar 96 daugiabučių namų atstovų pateiktos paraiškos buvo teigiamai įvertintos, bet dėl laiku neatliktų rangos ir kitų darbų jos buvo įtrauktos rezervinį paraiškų sąrašą, šiems daugiabučiams namams finansavimas bus skirtas 2021 metais.</w:t>
      </w:r>
      <w:r>
        <w:rPr>
          <w:szCs w:val="24"/>
          <w:lang w:eastAsia="en-GB"/>
        </w:rPr>
        <w:t xml:space="preserve"> </w:t>
      </w:r>
    </w:p>
    <w:p w:rsidR="006E3B53" w:rsidRPr="00F95236" w:rsidRDefault="006E3B53" w:rsidP="006E3B53">
      <w:pPr>
        <w:ind w:firstLine="720"/>
      </w:pPr>
      <w:r w:rsidRPr="00F95236">
        <w:rPr>
          <w:bCs/>
          <w:color w:val="000000"/>
        </w:rPr>
        <w:t xml:space="preserve">Energetikos ministerija, siekdama paskatinti daugiabučių namų gyventojus (daugiabučių namų atstovus) aktyviai dalyvauti Priemonėje ir </w:t>
      </w:r>
      <w:r w:rsidRPr="00F95236">
        <w:rPr>
          <w:lang w:eastAsia="lt-LT"/>
        </w:rPr>
        <w:t xml:space="preserve">užtikrinti SND balionų pašalinimą iš daugiabučių namų ir saugų bei patikimą elektros energijos ar gamtinių dujų tiekimą šių namų gyventojams, prašo </w:t>
      </w:r>
      <w:r w:rsidRPr="00F95236">
        <w:t>Lietuvos savivaldybių asociaciją paraginti visas</w:t>
      </w:r>
      <w:r w:rsidRPr="00F95236">
        <w:rPr>
          <w:rStyle w:val="Puslapioinaosnuoroda"/>
        </w:rPr>
        <w:footnoteReference w:id="7"/>
      </w:r>
      <w:r w:rsidRPr="00F95236">
        <w:t xml:space="preserve"> savivaldybes (ypač Tauragės, Šilutės, Jurbarko, Raseinių, Radviliškio, Kėdainių, Šilalės, Kauno ir Trakų rajonų savivaldybes) aktyviai dalyvauti Priemonėje. </w:t>
      </w:r>
    </w:p>
    <w:p w:rsidR="006E3B53" w:rsidRPr="003A03A6" w:rsidRDefault="006E3B53" w:rsidP="006E3B53">
      <w:pPr>
        <w:ind w:firstLine="720"/>
        <w:rPr>
          <w:szCs w:val="24"/>
          <w:lang w:eastAsia="lt-LT"/>
        </w:rPr>
      </w:pPr>
      <w:r w:rsidRPr="00F95236">
        <w:t>Taip pat atkreipiame dėmesį į tai, kad Priemonėje gali dalyvauti ir tų daugiabučių namų (dalyvavusių 2020 m. Pr</w:t>
      </w:r>
      <w:r>
        <w:t>iemonėje</w:t>
      </w:r>
      <w:r w:rsidRPr="00F95236">
        <w:t xml:space="preserve">) atskirų butų gyventojai, kurie nepasinaudojo parama pertvarkyti savo buto </w:t>
      </w:r>
      <w:r w:rsidRPr="00F95236">
        <w:rPr>
          <w:spacing w:val="2"/>
        </w:rPr>
        <w:t xml:space="preserve">elektros arba dujų </w:t>
      </w:r>
      <w:r w:rsidRPr="003A03A6">
        <w:rPr>
          <w:spacing w:val="2"/>
        </w:rPr>
        <w:t xml:space="preserve">sistemą ir įsigyti elektrinę arba dujinę viryklę. Šiuo atveju daugiabučio namo atstovas turėtų pateikti naują paraišką </w:t>
      </w:r>
      <w:r w:rsidRPr="003A03A6">
        <w:rPr>
          <w:szCs w:val="24"/>
        </w:rPr>
        <w:t>Agentūra</w:t>
      </w:r>
      <w:r w:rsidRPr="003A03A6">
        <w:rPr>
          <w:spacing w:val="2"/>
        </w:rPr>
        <w:t>i</w:t>
      </w:r>
      <w:r w:rsidRPr="003A03A6">
        <w:rPr>
          <w:szCs w:val="24"/>
          <w:lang w:eastAsia="lt-LT"/>
        </w:rPr>
        <w:t>.</w:t>
      </w:r>
    </w:p>
    <w:p w:rsidR="006E3B53" w:rsidRPr="00F95236" w:rsidRDefault="006E3B53" w:rsidP="006E3B53">
      <w:pPr>
        <w:ind w:firstLine="720"/>
        <w:rPr>
          <w:b/>
          <w:bCs/>
          <w:szCs w:val="24"/>
        </w:rPr>
      </w:pPr>
      <w:r w:rsidRPr="003A03A6">
        <w:t xml:space="preserve">Priemonėje gali dalyvauti bendrabučio tipo daugiabučių namų, kuriuose nėra įrengta komercinė elektros ar gamtinių dujų apskaitos sistema, gyventojai. Šiuo atveju </w:t>
      </w:r>
      <w:r w:rsidRPr="003A03A6">
        <w:rPr>
          <w:szCs w:val="24"/>
        </w:rPr>
        <w:t xml:space="preserve">valstybės parama (subsidija) skiriama tik šių </w:t>
      </w:r>
      <w:r w:rsidRPr="003A03A6">
        <w:t xml:space="preserve">namų </w:t>
      </w:r>
      <w:r w:rsidRPr="003A03A6">
        <w:rPr>
          <w:spacing w:val="2"/>
        </w:rPr>
        <w:t>bendrųjų elektros arba dujų inžinerinių sistemų pertvarkymui, butų elektros arba dujų sistemos pertvarkymui ir elektrinės arba dujinės viryklės įsigijimui</w:t>
      </w:r>
      <w:r w:rsidRPr="00F95236">
        <w:rPr>
          <w:spacing w:val="2"/>
        </w:rPr>
        <w:t xml:space="preserve">. Energetikos ministerijos nuomone, tikslinga įgyvendinant </w:t>
      </w:r>
      <w:r w:rsidRPr="00F95236">
        <w:t>bendrabučio tipo daugiabučių namų Projektus įrengti ir komercines elektros ar gamtinių dujų apskaitos sistemas, kad šių namų gyventojai turėtų galimybę rinktis elektros ar gamtinių dujų tiekėjus. Siūlome Lietuvos savivaldybių asociacijai kreiptis į savivaldybes, kuriose yra bendrabučio tipo daugiabučių namų, kad būtų skiriamas ypatingas dėmesys šiems namas ir prireikus savivaldybės skirtų</w:t>
      </w:r>
      <w:r w:rsidRPr="00F95236">
        <w:rPr>
          <w:rStyle w:val="Puslapioinaosnuoroda"/>
        </w:rPr>
        <w:footnoteReference w:id="8"/>
      </w:r>
      <w:r w:rsidRPr="00F95236">
        <w:t xml:space="preserve"> papildomai lėšų, kad įgyvendinant Projektus būtų įrengta ir komercinė elektros ar gamtinių dujų apskaitos sistema.</w:t>
      </w:r>
    </w:p>
    <w:p w:rsidR="006E3B53" w:rsidRPr="00F95236" w:rsidRDefault="006E3B53" w:rsidP="006E3B53">
      <w:pPr>
        <w:ind w:firstLine="720"/>
        <w:rPr>
          <w:szCs w:val="24"/>
          <w:lang w:eastAsia="lt-LT"/>
        </w:rPr>
      </w:pPr>
      <w:r w:rsidRPr="00F95236">
        <w:lastRenderedPageBreak/>
        <w:t xml:space="preserve">Prireikus </w:t>
      </w:r>
      <w:r w:rsidRPr="00F95236">
        <w:rPr>
          <w:szCs w:val="24"/>
          <w:lang w:eastAsia="en-GB"/>
        </w:rPr>
        <w:t xml:space="preserve">AB „Energijos skirstymo operatorius“, Agentūros ir </w:t>
      </w:r>
      <w:r w:rsidRPr="00F95236">
        <w:t>Valstybin</w:t>
      </w:r>
      <w:r>
        <w:t>ės</w:t>
      </w:r>
      <w:r w:rsidRPr="00F95236">
        <w:t xml:space="preserve"> energetikos reguliavimo tarybos (toliau – VERT) </w:t>
      </w:r>
      <w:r w:rsidRPr="00F95236">
        <w:rPr>
          <w:szCs w:val="24"/>
          <w:lang w:eastAsia="en-GB"/>
        </w:rPr>
        <w:t xml:space="preserve">specialistai </w:t>
      </w:r>
      <w:r w:rsidRPr="00F95236">
        <w:t>galėtų dalyvauti susitikimuose ir konsultuoti atskirų savivaldybių administracijų ir daugiabučių namų atstovus Priemonės įgyvendinimo klausimais.</w:t>
      </w:r>
    </w:p>
    <w:p w:rsidR="006E3B53" w:rsidRPr="00F95236" w:rsidRDefault="006E3B53" w:rsidP="006E3B53">
      <w:pPr>
        <w:spacing w:before="240"/>
        <w:ind w:firstLine="720"/>
        <w:contextualSpacing/>
        <w:rPr>
          <w:bCs/>
          <w:color w:val="000000"/>
        </w:rPr>
      </w:pPr>
      <w:r w:rsidRPr="00F95236">
        <w:rPr>
          <w:bCs/>
          <w:color w:val="000000"/>
        </w:rPr>
        <w:t>Dėkojame už bendradarbiavimą įgyvendinant Priemonę.</w:t>
      </w:r>
    </w:p>
    <w:p w:rsidR="006E3B53" w:rsidRPr="00F95236" w:rsidRDefault="006E3B53" w:rsidP="006E3B53">
      <w:pPr>
        <w:spacing w:before="240"/>
        <w:ind w:firstLine="720"/>
        <w:contextualSpacing/>
        <w:rPr>
          <w:bCs/>
          <w:color w:val="000000"/>
        </w:rPr>
      </w:pPr>
      <w:r w:rsidRPr="00F95236">
        <w:rPr>
          <w:bCs/>
          <w:color w:val="000000"/>
        </w:rPr>
        <w:t>PRIDEDAMA:</w:t>
      </w:r>
    </w:p>
    <w:p w:rsidR="006E3B53" w:rsidRPr="00F95236" w:rsidRDefault="006E3B53" w:rsidP="006E3B53">
      <w:pPr>
        <w:spacing w:before="240"/>
        <w:ind w:firstLine="720"/>
        <w:contextualSpacing/>
        <w:rPr>
          <w:bCs/>
          <w:color w:val="000000"/>
        </w:rPr>
      </w:pPr>
      <w:r w:rsidRPr="00F95236">
        <w:rPr>
          <w:bCs/>
          <w:color w:val="000000"/>
        </w:rPr>
        <w:t>1. VERT informacija apie 2020 m. Pr</w:t>
      </w:r>
      <w:r>
        <w:rPr>
          <w:bCs/>
          <w:color w:val="000000"/>
        </w:rPr>
        <w:t>ojekte</w:t>
      </w:r>
      <w:r w:rsidRPr="00F95236">
        <w:rPr>
          <w:bCs/>
          <w:color w:val="000000"/>
        </w:rPr>
        <w:t xml:space="preserve"> dalyvavusių daugiabučių namų skaičių, 1 lapas.</w:t>
      </w:r>
    </w:p>
    <w:p w:rsidR="006E3B53" w:rsidRPr="00F95236" w:rsidRDefault="006E3B53" w:rsidP="006E3B53">
      <w:pPr>
        <w:spacing w:before="240"/>
        <w:ind w:firstLine="720"/>
        <w:contextualSpacing/>
        <w:rPr>
          <w:bCs/>
          <w:color w:val="000000"/>
        </w:rPr>
      </w:pPr>
      <w:r w:rsidRPr="00F95236">
        <w:rPr>
          <w:bCs/>
          <w:color w:val="000000"/>
        </w:rPr>
        <w:t xml:space="preserve">2. Energetikos ministerijos parengtas </w:t>
      </w:r>
      <w:proofErr w:type="spellStart"/>
      <w:r w:rsidRPr="00F95236">
        <w:rPr>
          <w:bCs/>
          <w:color w:val="000000"/>
        </w:rPr>
        <w:t>infografikas</w:t>
      </w:r>
      <w:proofErr w:type="spellEnd"/>
      <w:r w:rsidRPr="00F95236">
        <w:rPr>
          <w:bCs/>
          <w:color w:val="000000"/>
        </w:rPr>
        <w:t xml:space="preserve"> daugiabučių namų gyventojams, 1 lapas.  </w:t>
      </w:r>
    </w:p>
    <w:p w:rsidR="006E3B53" w:rsidRPr="00F95236" w:rsidRDefault="006E3B53" w:rsidP="006E3B53"/>
    <w:p w:rsidR="006E3B53" w:rsidRPr="00F95236" w:rsidRDefault="006E3B53" w:rsidP="006E3B53">
      <w:pPr>
        <w:rPr>
          <w:szCs w:val="24"/>
        </w:rPr>
      </w:pPr>
    </w:p>
    <w:p w:rsidR="006E3B53" w:rsidRPr="00F95236" w:rsidRDefault="006E3B53" w:rsidP="006E3B53">
      <w:r w:rsidRPr="00F95236">
        <w:t>Viceministrė</w:t>
      </w:r>
      <w:r w:rsidRPr="00F95236">
        <w:tab/>
      </w:r>
      <w:r w:rsidRPr="00F95236">
        <w:tab/>
      </w:r>
      <w:r w:rsidRPr="00F95236">
        <w:tab/>
      </w:r>
      <w:r w:rsidRPr="00F95236">
        <w:tab/>
      </w:r>
      <w:r w:rsidRPr="00F95236">
        <w:tab/>
      </w:r>
      <w:r w:rsidRPr="00F95236">
        <w:tab/>
      </w:r>
      <w:r w:rsidRPr="00F95236">
        <w:tab/>
      </w:r>
      <w:r>
        <w:tab/>
      </w:r>
      <w:r w:rsidRPr="00F95236">
        <w:tab/>
      </w:r>
      <w:r w:rsidRPr="00F95236">
        <w:tab/>
      </w:r>
      <w:r>
        <w:t xml:space="preserve">        Inga Žilienė</w:t>
      </w: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Default="006E3B53" w:rsidP="006E3B53">
      <w:pPr>
        <w:ind w:firstLine="720"/>
      </w:pPr>
    </w:p>
    <w:p w:rsidR="006E3B53" w:rsidRDefault="006E3B53" w:rsidP="006E3B53">
      <w:pPr>
        <w:ind w:firstLine="720"/>
      </w:pPr>
    </w:p>
    <w:p w:rsidR="006E3B53"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ind w:firstLine="720"/>
      </w:pPr>
    </w:p>
    <w:p w:rsidR="006E3B53" w:rsidRPr="00F95236" w:rsidRDefault="006E3B53" w:rsidP="006E3B53">
      <w:pPr>
        <w:rPr>
          <w:szCs w:val="24"/>
        </w:rPr>
      </w:pPr>
      <w:r w:rsidRPr="00F95236">
        <w:t xml:space="preserve">Gintautas </w:t>
      </w:r>
      <w:proofErr w:type="spellStart"/>
      <w:r w:rsidRPr="00F95236">
        <w:t>Danaitis</w:t>
      </w:r>
      <w:proofErr w:type="spellEnd"/>
      <w:r w:rsidRPr="00F95236">
        <w:t xml:space="preserve">, tel. (8 5) 203 4471, </w:t>
      </w:r>
      <w:proofErr w:type="spellStart"/>
      <w:r w:rsidRPr="00F95236">
        <w:t>papild</w:t>
      </w:r>
      <w:proofErr w:type="spellEnd"/>
      <w:r w:rsidRPr="00F95236">
        <w:t xml:space="preserve">. 5, el. p. </w:t>
      </w:r>
      <w:hyperlink r:id="rId9" w:history="1">
        <w:r w:rsidRPr="00F95236">
          <w:rPr>
            <w:rStyle w:val="Hipersaitas"/>
          </w:rPr>
          <w:t>gintautas.danaitis@enmin.lt</w:t>
        </w:r>
      </w:hyperlink>
      <w:r w:rsidRPr="00F95236">
        <w:rPr>
          <w:szCs w:val="24"/>
        </w:rPr>
        <w:t xml:space="preserve"> </w:t>
      </w:r>
    </w:p>
    <w:p w:rsidR="006E3B53" w:rsidRPr="00F95236" w:rsidRDefault="006E3B53" w:rsidP="006E3B53">
      <w:pPr>
        <w:tabs>
          <w:tab w:val="left" w:pos="284"/>
          <w:tab w:val="left" w:pos="1418"/>
          <w:tab w:val="left" w:pos="2410"/>
          <w:tab w:val="left" w:pos="3402"/>
          <w:tab w:val="left" w:pos="7088"/>
          <w:tab w:val="left" w:pos="9498"/>
        </w:tabs>
        <w:jc w:val="center"/>
      </w:pPr>
      <w:bookmarkStart w:id="0" w:name="_Hlk34402620"/>
      <w:bookmarkEnd w:id="0"/>
    </w:p>
    <w:p w:rsidR="00070A9A" w:rsidRDefault="00356F9C">
      <w:bookmarkStart w:id="1" w:name="_GoBack"/>
      <w:bookmarkEnd w:id="1"/>
    </w:p>
    <w:sectPr w:rsidR="00070A9A" w:rsidSect="008324D5">
      <w:headerReference w:type="default" r:id="rId10"/>
      <w:footerReference w:type="even" r:id="rId11"/>
      <w:footerReference w:type="first" r:id="rId12"/>
      <w:pgSz w:w="11906" w:h="16838" w:code="9"/>
      <w:pgMar w:top="1134" w:right="567" w:bottom="567" w:left="1701" w:header="567" w:footer="85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F9C" w:rsidRDefault="00356F9C" w:rsidP="006E3B53">
      <w:r>
        <w:separator/>
      </w:r>
    </w:p>
  </w:endnote>
  <w:endnote w:type="continuationSeparator" w:id="0">
    <w:p w:rsidR="00356F9C" w:rsidRDefault="00356F9C" w:rsidP="006E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68" w:rsidRDefault="00356F9C">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675A68" w:rsidRDefault="00356F9C">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FDE" w:rsidRDefault="00356F9C">
    <w:pPr>
      <w:pStyle w:val="Porat"/>
    </w:pPr>
    <w:r>
      <w:tab/>
    </w:r>
    <w:r>
      <w:t xml:space="preserve">                                                         </w:t>
    </w:r>
    <w:r>
      <w:tab/>
    </w:r>
    <w:r>
      <w:rPr>
        <w:noProof/>
        <w:lang w:eastAsia="lt-LT"/>
      </w:rPr>
      <w:drawing>
        <wp:inline distT="0" distB="0" distL="0" distR="0" wp14:anchorId="11ADA5E0" wp14:editId="4DC14B34">
          <wp:extent cx="1115695" cy="8413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5695"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F9C" w:rsidRDefault="00356F9C" w:rsidP="006E3B53">
      <w:r>
        <w:separator/>
      </w:r>
    </w:p>
  </w:footnote>
  <w:footnote w:type="continuationSeparator" w:id="0">
    <w:p w:rsidR="00356F9C" w:rsidRDefault="00356F9C" w:rsidP="006E3B53">
      <w:r>
        <w:continuationSeparator/>
      </w:r>
    </w:p>
  </w:footnote>
  <w:footnote w:id="1">
    <w:p w:rsidR="006E3B53" w:rsidRDefault="006E3B53" w:rsidP="006E3B53">
      <w:pPr>
        <w:pStyle w:val="Puslapioinaostekstas"/>
      </w:pPr>
      <w:r>
        <w:rPr>
          <w:rStyle w:val="Puslapioinaosnuoroda"/>
        </w:rPr>
        <w:footnoteRef/>
      </w:r>
      <w:r>
        <w:t xml:space="preserve"> </w:t>
      </w:r>
      <w:r>
        <w:rPr>
          <w:szCs w:val="24"/>
          <w:lang w:eastAsia="lt-LT"/>
        </w:rPr>
        <w:t xml:space="preserve">Priemonės „Suskystintų naftos dujų balionų daugiabučiuose pakeitimas kitais energijos šaltiniais“ finansavimo sąlygų aprašas, patvirtintas </w:t>
      </w:r>
      <w:r w:rsidRPr="00B002F4">
        <w:rPr>
          <w:szCs w:val="24"/>
        </w:rPr>
        <w:t>Lietuvos Respublikos energetikos ministro 20</w:t>
      </w:r>
      <w:r w:rsidRPr="00A10EEE">
        <w:rPr>
          <w:szCs w:val="24"/>
        </w:rPr>
        <w:t>20</w:t>
      </w:r>
      <w:r>
        <w:rPr>
          <w:szCs w:val="24"/>
        </w:rPr>
        <w:t> m. liepos 22</w:t>
      </w:r>
      <w:r w:rsidRPr="00B002F4">
        <w:rPr>
          <w:szCs w:val="24"/>
        </w:rPr>
        <w:t xml:space="preserve"> </w:t>
      </w:r>
      <w:r>
        <w:rPr>
          <w:szCs w:val="24"/>
        </w:rPr>
        <w:t xml:space="preserve">d. </w:t>
      </w:r>
      <w:r w:rsidRPr="00B002F4">
        <w:rPr>
          <w:szCs w:val="24"/>
        </w:rPr>
        <w:t>įsakymu Nr.</w:t>
      </w:r>
      <w:r>
        <w:rPr>
          <w:szCs w:val="24"/>
        </w:rPr>
        <w:t xml:space="preserve"> 1-210, (toliau – </w:t>
      </w:r>
      <w:r w:rsidRPr="00D97752">
        <w:rPr>
          <w:color w:val="000000"/>
          <w:szCs w:val="24"/>
          <w:lang w:eastAsia="lt-LT" w:bidi="lt-LT"/>
        </w:rPr>
        <w:t>Finansavimo sąlygų apraš</w:t>
      </w:r>
      <w:r>
        <w:rPr>
          <w:color w:val="000000"/>
          <w:szCs w:val="24"/>
          <w:lang w:eastAsia="lt-LT" w:bidi="lt-LT"/>
        </w:rPr>
        <w:t>as)</w:t>
      </w:r>
      <w:r>
        <w:rPr>
          <w:szCs w:val="24"/>
        </w:rPr>
        <w:t>.</w:t>
      </w:r>
    </w:p>
  </w:footnote>
  <w:footnote w:id="2">
    <w:p w:rsidR="006E3B53" w:rsidRDefault="006E3B53" w:rsidP="006E3B53">
      <w:pPr>
        <w:pStyle w:val="Puslapioinaostekstas"/>
      </w:pPr>
      <w:r>
        <w:rPr>
          <w:rStyle w:val="Puslapioinaosnuoroda"/>
        </w:rPr>
        <w:footnoteRef/>
      </w:r>
      <w:r>
        <w:t xml:space="preserve"> </w:t>
      </w:r>
      <w:hyperlink r:id="rId1" w:history="1">
        <w:r w:rsidRPr="007D1F73">
          <w:rPr>
            <w:rStyle w:val="Hipersaitas"/>
          </w:rPr>
          <w:t>https://www.e-tar.lt/portal/lt/legalAct/b6671f00677811eb9dc7b575f08e8bea</w:t>
        </w:r>
      </w:hyperlink>
      <w:r>
        <w:t>;</w:t>
      </w:r>
    </w:p>
    <w:p w:rsidR="006E3B53" w:rsidRDefault="006E3B53" w:rsidP="006E3B53">
      <w:pPr>
        <w:pStyle w:val="Puslapioinaostekstas"/>
      </w:pPr>
      <w:r>
        <w:t xml:space="preserve"> </w:t>
      </w:r>
      <w:hyperlink r:id="rId2" w:history="1">
        <w:r w:rsidRPr="007D1F73">
          <w:rPr>
            <w:rStyle w:val="Hipersaitas"/>
          </w:rPr>
          <w:t>https://www.e-tar.lt/portal/lt/legalAct/ad3939f0677711eb9dc7b575f08e8bea</w:t>
        </w:r>
      </w:hyperlink>
      <w:r>
        <w:t xml:space="preserve">.  </w:t>
      </w:r>
    </w:p>
  </w:footnote>
  <w:footnote w:id="3">
    <w:p w:rsidR="006E3B53" w:rsidRDefault="006E3B53" w:rsidP="006E3B53">
      <w:pPr>
        <w:pStyle w:val="Puslapioinaostekstas"/>
      </w:pPr>
      <w:r>
        <w:rPr>
          <w:rStyle w:val="Puslapioinaosnuoroda"/>
        </w:rPr>
        <w:footnoteRef/>
      </w:r>
      <w:r>
        <w:t xml:space="preserve"> </w:t>
      </w:r>
      <w:r>
        <w:t xml:space="preserve">Finansavimo sąlygų aprašo 3.2 papunktis. </w:t>
      </w:r>
    </w:p>
  </w:footnote>
  <w:footnote w:id="4">
    <w:p w:rsidR="006E3B53" w:rsidRPr="00187D1A" w:rsidRDefault="006E3B53" w:rsidP="006E3B53">
      <w:pPr>
        <w:pStyle w:val="Puslapioinaostekstas"/>
        <w:rPr>
          <w:rStyle w:val="Hipersaitas"/>
        </w:rPr>
      </w:pPr>
      <w:r>
        <w:rPr>
          <w:rStyle w:val="Puslapioinaosnuoroda"/>
        </w:rPr>
        <w:footnoteRef/>
      </w:r>
      <w:hyperlink r:id="rId3" w:history="1">
        <w:r w:rsidRPr="008C486F">
          <w:rPr>
            <w:rStyle w:val="Hipersaitas"/>
          </w:rPr>
          <w:t>https://www.apva.lt/kvietimas-daugiabuciu-namu-atstovams-del-suskystintu-naftos-duju-balionu-daugiabuciuose-pakeitimo-kitais-energijos-saltiniais/</w:t>
        </w:r>
      </w:hyperlink>
    </w:p>
  </w:footnote>
  <w:footnote w:id="5">
    <w:p w:rsidR="006E3B53" w:rsidRPr="00F8582B" w:rsidRDefault="006E3B53" w:rsidP="006E3B53">
      <w:pPr>
        <w:pStyle w:val="Puslapioinaostekstas"/>
        <w:rPr>
          <w:lang w:val="en-US"/>
        </w:rPr>
      </w:pPr>
      <w:r>
        <w:rPr>
          <w:rStyle w:val="Puslapioinaosnuoroda"/>
        </w:rPr>
        <w:footnoteRef/>
      </w:r>
      <w:r>
        <w:t xml:space="preserve"> </w:t>
      </w:r>
      <w:r w:rsidRPr="00D97752">
        <w:rPr>
          <w:szCs w:val="24"/>
        </w:rPr>
        <w:t>Suskystintų naftos dujų balionų, naudojamų daugiabučiuose namuose, pakeitimo 2019–2022 metais veiksmų plan</w:t>
      </w:r>
      <w:r>
        <w:rPr>
          <w:szCs w:val="24"/>
        </w:rPr>
        <w:t xml:space="preserve">o, patvirtinto </w:t>
      </w:r>
      <w:r w:rsidRPr="00B002F4">
        <w:rPr>
          <w:szCs w:val="24"/>
        </w:rPr>
        <w:t>Lietuvos Respublikos energetikos ministro 20</w:t>
      </w:r>
      <w:r>
        <w:rPr>
          <w:szCs w:val="24"/>
        </w:rPr>
        <w:t>19 m. birželio 27</w:t>
      </w:r>
      <w:r w:rsidRPr="00B002F4">
        <w:rPr>
          <w:szCs w:val="24"/>
        </w:rPr>
        <w:t xml:space="preserve"> </w:t>
      </w:r>
      <w:r>
        <w:rPr>
          <w:szCs w:val="24"/>
        </w:rPr>
        <w:t xml:space="preserve">d. </w:t>
      </w:r>
      <w:r w:rsidRPr="00B002F4">
        <w:rPr>
          <w:szCs w:val="24"/>
        </w:rPr>
        <w:t>įsakymu Nr.</w:t>
      </w:r>
      <w:r>
        <w:rPr>
          <w:szCs w:val="24"/>
        </w:rPr>
        <w:t xml:space="preserve"> 1-181 (toliau – Veiksmų planas), 2 priedo 14 punktas.</w:t>
      </w:r>
    </w:p>
  </w:footnote>
  <w:footnote w:id="6">
    <w:p w:rsidR="006E3B53" w:rsidRDefault="006E3B53" w:rsidP="006E3B53">
      <w:pPr>
        <w:pStyle w:val="Puslapioinaostekstas"/>
      </w:pPr>
      <w:r>
        <w:rPr>
          <w:rStyle w:val="Puslapioinaosnuoroda"/>
        </w:rPr>
        <w:footnoteRef/>
      </w:r>
      <w:r>
        <w:t xml:space="preserve"> </w:t>
      </w:r>
      <w:hyperlink r:id="rId4" w:history="1">
        <w:r w:rsidRPr="00AF7481">
          <w:rPr>
            <w:rStyle w:val="Hipersaitas"/>
          </w:rPr>
          <w:t>https://www.vert.lt/dujos/Puslapiai/SND-balionu-salinimo-planas.aspx</w:t>
        </w:r>
      </w:hyperlink>
    </w:p>
  </w:footnote>
  <w:footnote w:id="7">
    <w:p w:rsidR="006E3B53" w:rsidRDefault="006E3B53" w:rsidP="006E3B53">
      <w:pPr>
        <w:pStyle w:val="Puslapioinaostekstas"/>
      </w:pPr>
      <w:r>
        <w:rPr>
          <w:rStyle w:val="Puslapioinaosnuoroda"/>
        </w:rPr>
        <w:footnoteRef/>
      </w:r>
      <w:r>
        <w:t xml:space="preserve"> </w:t>
      </w:r>
      <w:r>
        <w:t>Savivaldybės, kurios pateikė informaciją Valstybinei energetikos reguliavimo tarybai apie jų teritorijose esančius daugiabučius namus, kuriuose pažeidžiant teisės aktų reikalavimus, gyventojai naudoja SND balionus maistui ruošti.</w:t>
      </w:r>
    </w:p>
  </w:footnote>
  <w:footnote w:id="8">
    <w:p w:rsidR="006E3B53" w:rsidRDefault="006E3B53" w:rsidP="006E3B53">
      <w:pPr>
        <w:pStyle w:val="Puslapioinaostekstas"/>
      </w:pPr>
      <w:r>
        <w:rPr>
          <w:rStyle w:val="Puslapioinaosnuoroda"/>
        </w:rPr>
        <w:footnoteRef/>
      </w:r>
      <w:r>
        <w:t xml:space="preserve"> </w:t>
      </w:r>
      <w:r>
        <w:t>Veiksmų plano 33.2 papunktis.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68" w:rsidRDefault="00356F9C">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6E3B53">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53"/>
    <w:rsid w:val="00356F9C"/>
    <w:rsid w:val="006E3B53"/>
    <w:rsid w:val="00951F6D"/>
    <w:rsid w:val="00D9670B"/>
    <w:rsid w:val="00EF61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20ECB-B59A-4D19-931A-378FA1EA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3B53"/>
    <w:pPr>
      <w:spacing w:after="0" w:line="240" w:lineRule="auto"/>
      <w:jc w:val="both"/>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6E3B53"/>
    <w:pPr>
      <w:tabs>
        <w:tab w:val="center" w:pos="4153"/>
        <w:tab w:val="right" w:pos="8306"/>
      </w:tabs>
    </w:pPr>
  </w:style>
  <w:style w:type="character" w:customStyle="1" w:styleId="AntratsDiagrama">
    <w:name w:val="Antraštės Diagrama"/>
    <w:basedOn w:val="Numatytasispastraiposriftas"/>
    <w:link w:val="Antrats"/>
    <w:rsid w:val="006E3B53"/>
    <w:rPr>
      <w:rFonts w:ascii="Times New Roman" w:eastAsia="Times New Roman" w:hAnsi="Times New Roman" w:cs="Times New Roman"/>
      <w:sz w:val="24"/>
      <w:szCs w:val="20"/>
    </w:rPr>
  </w:style>
  <w:style w:type="paragraph" w:styleId="Porat">
    <w:name w:val="footer"/>
    <w:basedOn w:val="prastasis"/>
    <w:link w:val="PoratDiagrama"/>
    <w:semiHidden/>
    <w:rsid w:val="006E3B53"/>
    <w:pPr>
      <w:tabs>
        <w:tab w:val="center" w:pos="4153"/>
        <w:tab w:val="right" w:pos="8306"/>
      </w:tabs>
    </w:pPr>
  </w:style>
  <w:style w:type="character" w:customStyle="1" w:styleId="PoratDiagrama">
    <w:name w:val="Poraštė Diagrama"/>
    <w:basedOn w:val="Numatytasispastraiposriftas"/>
    <w:link w:val="Porat"/>
    <w:semiHidden/>
    <w:rsid w:val="006E3B53"/>
    <w:rPr>
      <w:rFonts w:ascii="Times New Roman" w:eastAsia="Times New Roman" w:hAnsi="Times New Roman" w:cs="Times New Roman"/>
      <w:sz w:val="24"/>
      <w:szCs w:val="20"/>
    </w:rPr>
  </w:style>
  <w:style w:type="character" w:styleId="Puslapionumeris">
    <w:name w:val="page number"/>
    <w:basedOn w:val="Numatytasispastraiposriftas"/>
    <w:semiHidden/>
    <w:rsid w:val="006E3B53"/>
  </w:style>
  <w:style w:type="character" w:styleId="Hipersaitas">
    <w:name w:val="Hyperlink"/>
    <w:uiPriority w:val="99"/>
    <w:rsid w:val="006E3B53"/>
    <w:rPr>
      <w:color w:val="0000FF"/>
      <w:u w:val="single"/>
    </w:rPr>
  </w:style>
  <w:style w:type="paragraph" w:styleId="Puslapioinaostekstas">
    <w:name w:val="footnote text"/>
    <w:basedOn w:val="prastasis"/>
    <w:link w:val="PuslapioinaostekstasDiagrama"/>
    <w:uiPriority w:val="99"/>
    <w:unhideWhenUsed/>
    <w:rsid w:val="006E3B53"/>
    <w:rPr>
      <w:sz w:val="20"/>
    </w:rPr>
  </w:style>
  <w:style w:type="character" w:customStyle="1" w:styleId="PuslapioinaostekstasDiagrama">
    <w:name w:val="Puslapio išnašos tekstas Diagrama"/>
    <w:basedOn w:val="Numatytasispastraiposriftas"/>
    <w:link w:val="Puslapioinaostekstas"/>
    <w:uiPriority w:val="99"/>
    <w:rsid w:val="006E3B53"/>
    <w:rPr>
      <w:rFonts w:ascii="Times New Roman" w:eastAsia="Times New Roman" w:hAnsi="Times New Roman" w:cs="Times New Roman"/>
      <w:sz w:val="20"/>
      <w:szCs w:val="20"/>
    </w:rPr>
  </w:style>
  <w:style w:type="character" w:styleId="Puslapioinaosnuoroda">
    <w:name w:val="footnote reference"/>
    <w:aliases w:val="Style 4,Ref,de nota al pie,Footnote symbol,fr,o,FR,(NECG) Footnote Reference,Style 6,Style 3,Appel note de bas de p,Style 12,Style 124"/>
    <w:basedOn w:val="Numatytasispastraiposriftas"/>
    <w:uiPriority w:val="99"/>
    <w:unhideWhenUsed/>
    <w:rsid w:val="006E3B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vis.apva.l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nmin.l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gintautas.danaitis@enmin.l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apva.lt/kvietimas-daugiabuciu-namu-atstovams-del-suskystintu-naftos-duju-balionu-daugiabuciuose-pakeitimo-kitais-energijos-saltiniais/" TargetMode="External"/><Relationship Id="rId2" Type="http://schemas.openxmlformats.org/officeDocument/2006/relationships/hyperlink" Target="https://www.e-tar.lt/portal/lt/legalAct/ad3939f0677711eb9dc7b575f08e8bea" TargetMode="External"/><Relationship Id="rId1" Type="http://schemas.openxmlformats.org/officeDocument/2006/relationships/hyperlink" Target="https://www.e-tar.lt/portal/lt/legalAct/b6671f00677811eb9dc7b575f08e8bea" TargetMode="External"/><Relationship Id="rId4" Type="http://schemas.openxmlformats.org/officeDocument/2006/relationships/hyperlink" Target="https://www.vert.lt/dujos/Puslapiai/SND-balionu-salinimo-planas.asp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4394</Words>
  <Characters>2506</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Damušienė</dc:creator>
  <cp:keywords/>
  <dc:description/>
  <cp:lastModifiedBy>Ilona Damušienė</cp:lastModifiedBy>
  <cp:revision>1</cp:revision>
  <dcterms:created xsi:type="dcterms:W3CDTF">2021-03-15T09:20:00Z</dcterms:created>
  <dcterms:modified xsi:type="dcterms:W3CDTF">2021-03-15T09:20:00Z</dcterms:modified>
</cp:coreProperties>
</file>