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15D1B" w14:textId="13E031C2" w:rsidR="00822EBA" w:rsidRDefault="00B7326F" w:rsidP="008C4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4725B8" w:rsidRPr="004725B8">
        <w:rPr>
          <w:rFonts w:ascii="Times New Roman" w:hAnsi="Times New Roman" w:cs="Times New Roman"/>
          <w:b/>
          <w:sz w:val="24"/>
          <w:szCs w:val="24"/>
        </w:rPr>
        <w:t xml:space="preserve"> M. METINĖ KRAUJASIURBIŲ NARIUOTAKOJŲ AKTYVUMO </w:t>
      </w:r>
      <w:r w:rsidR="00E13992">
        <w:rPr>
          <w:rFonts w:ascii="Times New Roman" w:hAnsi="Times New Roman" w:cs="Times New Roman"/>
          <w:b/>
          <w:sz w:val="24"/>
          <w:szCs w:val="24"/>
        </w:rPr>
        <w:t xml:space="preserve">STEBĖSENA </w:t>
      </w:r>
      <w:r w:rsidR="004725B8" w:rsidRPr="004725B8">
        <w:rPr>
          <w:rFonts w:ascii="Times New Roman" w:hAnsi="Times New Roman" w:cs="Times New Roman"/>
          <w:b/>
          <w:sz w:val="24"/>
          <w:szCs w:val="24"/>
        </w:rPr>
        <w:t>KAUNO APSKRITYJE</w:t>
      </w:r>
    </w:p>
    <w:p w14:paraId="1523BEDE" w14:textId="175E168E" w:rsidR="004725B8" w:rsidRPr="00D55540" w:rsidRDefault="004725B8" w:rsidP="008C42F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93F924" w14:textId="117CB5E6" w:rsidR="004725B8" w:rsidRPr="004725B8" w:rsidRDefault="00B7326F" w:rsidP="008C4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m. </w:t>
      </w:r>
      <w:r w:rsidR="007C2C99" w:rsidRPr="00D55540">
        <w:rPr>
          <w:rFonts w:ascii="Times New Roman" w:hAnsi="Times New Roman" w:cs="Times New Roman"/>
          <w:sz w:val="24"/>
          <w:szCs w:val="24"/>
        </w:rPr>
        <w:t xml:space="preserve">vasario </w:t>
      </w:r>
      <w:r w:rsidR="007C2C99">
        <w:rPr>
          <w:rFonts w:ascii="Times New Roman" w:hAnsi="Times New Roman" w:cs="Times New Roman"/>
          <w:sz w:val="24"/>
          <w:szCs w:val="24"/>
        </w:rPr>
        <w:t xml:space="preserve"> </w:t>
      </w:r>
      <w:r w:rsidR="004725B8" w:rsidRPr="004725B8">
        <w:rPr>
          <w:rFonts w:ascii="Times New Roman" w:hAnsi="Times New Roman" w:cs="Times New Roman"/>
          <w:sz w:val="24"/>
          <w:szCs w:val="24"/>
        </w:rPr>
        <w:t>d.</w:t>
      </w:r>
    </w:p>
    <w:p w14:paraId="3FE43862" w14:textId="121BE23E" w:rsidR="004725B8" w:rsidRPr="004725B8" w:rsidRDefault="004725B8" w:rsidP="008C4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25B8">
        <w:rPr>
          <w:rFonts w:ascii="Times New Roman" w:hAnsi="Times New Roman" w:cs="Times New Roman"/>
          <w:sz w:val="24"/>
          <w:szCs w:val="24"/>
        </w:rPr>
        <w:t>Kaunas</w:t>
      </w:r>
    </w:p>
    <w:p w14:paraId="280F0880" w14:textId="77777777" w:rsidR="004725B8" w:rsidRPr="00D55540" w:rsidRDefault="004725B8" w:rsidP="008C42F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BB94CEF" w14:textId="501C86C7" w:rsidR="007C4BC5" w:rsidRPr="004845A7" w:rsidRDefault="00AA0AF3" w:rsidP="00B7326F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Kraujasiurbi</w:t>
      </w:r>
      <w:r w:rsidR="006D570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nariuotakojų stebėsena vykdoma v</w:t>
      </w:r>
      <w:r w:rsidR="004725B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adovau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jantis</w:t>
      </w:r>
      <w:r w:rsidR="004725B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Lietuvos Respublikos sveikatos apsaugos ministro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2010-06-18 įsakymu Nr. V-575 „Dėl kraujasiurbių nariuotakojų stebėsenos tvarkos aprašo patvirtinimo“ ir</w:t>
      </w:r>
      <w:r w:rsidR="00B7326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2015-05-04 įsakymu Nr. V-565 „D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ėl su klimato kaita susijusių ligų (alerginių ir infekcinių) 2015-2020 m. profilaktikos programos patvirtinimo“.</w:t>
      </w:r>
    </w:p>
    <w:p w14:paraId="279D91E4" w14:textId="77777777" w:rsidR="001B2AAA" w:rsidRPr="004845A7" w:rsidRDefault="003B3D89" w:rsidP="00B7326F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0209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rkių aktyvumo ir gausos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stebėsena vykdoma 4 Kauno apskrities savivaldybių stacionaruose. Iksodinių erkių stebėsena kasmet vykdoma kovo – lapkričio mėnesiais kas 10 dienų, įvertinant erkių gausą Kauno mieste esančiame erkių stebėjimo stacionare (Kaune, Panemunės seniūnijoje, Zuikinėje, Kauno marių regioninio parko 93 kvartale), Kauno r. </w:t>
      </w:r>
      <w:r w:rsidR="006D570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(Samylų sen., Girionių miške, Kauno marių regioninio parko 47-48 kvartale)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Kėdainių r. </w:t>
      </w:r>
      <w:r w:rsidR="006D570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(Kėdainių seniūnijoje,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Babėnų miške</w:t>
      </w:r>
      <w:r w:rsidR="006D570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Prienų r. </w:t>
      </w:r>
      <w:r w:rsidR="006D570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(Prienų sen., Žvėrinčiaus mišk</w:t>
      </w:r>
      <w:r w:rsidR="0053353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D570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B2AA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35D6F0" w14:textId="00D4C688" w:rsidR="001B2AAA" w:rsidRPr="004845A7" w:rsidRDefault="00AB5211" w:rsidP="00B7326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2018 m. e</w:t>
      </w:r>
      <w:r w:rsidR="001B2AA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kių gausos stebimas</w:t>
      </w:r>
      <w:r w:rsidR="001B2AA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parodė, kad sausra taip pat turi įtakos erkių gausumui. 2018 m. </w:t>
      </w:r>
      <w:r w:rsidR="001B2AA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Kauno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Kėdainių rajonuose erkių gausumas sumažėjo beveik per pus. Kauno </w:t>
      </w:r>
      <w:r w:rsidR="001B2AA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miesto bei Prienų rajono teritorijose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rodikliai stabilesni.</w:t>
      </w:r>
      <w:r w:rsidR="001B2AA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lentelė).</w:t>
      </w:r>
    </w:p>
    <w:p w14:paraId="533DE386" w14:textId="77777777" w:rsidR="00091FA5" w:rsidRPr="004845A7" w:rsidRDefault="00091FA5" w:rsidP="00B7326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8AB8161" w14:textId="3B207240" w:rsidR="001B2AAA" w:rsidRPr="004845A7" w:rsidRDefault="001B2AAA" w:rsidP="00B7326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lentelė.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Erkių gausumo rodiklis Kauno </w:t>
      </w:r>
      <w:r w:rsidR="00DC435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apskrities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stacionar</w:t>
      </w:r>
      <w:r w:rsidR="00DC435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uos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e, 200</w:t>
      </w:r>
      <w:r w:rsidR="00DC4A1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</w:t>
      </w:r>
      <w:r w:rsidR="00DC4A1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018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</w:p>
    <w:tbl>
      <w:tblPr>
        <w:tblW w:w="6233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906"/>
        <w:gridCol w:w="907"/>
        <w:gridCol w:w="906"/>
        <w:gridCol w:w="907"/>
        <w:gridCol w:w="907"/>
      </w:tblGrid>
      <w:tr w:rsidR="004845A7" w:rsidRPr="004845A7" w14:paraId="2003D72F" w14:textId="46FCB0D5" w:rsidTr="00D55540">
        <w:trPr>
          <w:trHeight w:val="234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F5009" w14:textId="77777777" w:rsidR="00DC4A10" w:rsidRPr="004845A7" w:rsidRDefault="00DC4A10" w:rsidP="00D55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Teritorija</w:t>
            </w:r>
          </w:p>
        </w:tc>
        <w:tc>
          <w:tcPr>
            <w:tcW w:w="45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64991" w14:textId="77777777" w:rsidR="00DC4A10" w:rsidRPr="004845A7" w:rsidRDefault="00DC4A10" w:rsidP="00D55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Vidutinis erkių gausumo rodiklis, 1 km</w:t>
            </w:r>
          </w:p>
        </w:tc>
      </w:tr>
      <w:tr w:rsidR="004845A7" w:rsidRPr="004845A7" w14:paraId="0EF20BDA" w14:textId="3CB01734" w:rsidTr="00D55540">
        <w:trPr>
          <w:trHeight w:val="240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F3A0" w14:textId="77777777" w:rsidR="00DC4A10" w:rsidRPr="004845A7" w:rsidRDefault="00DC4A10" w:rsidP="00D555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A9DC9" w14:textId="77777777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A4162A" w14:textId="77777777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3238B" w14:textId="77777777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786FB" w14:textId="77777777" w:rsidR="00DC4A10" w:rsidRPr="004845A7" w:rsidRDefault="00DC4A10" w:rsidP="00D55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6EEF2" w14:textId="51668DF8" w:rsidR="00DC4A10" w:rsidRPr="004845A7" w:rsidRDefault="00DC4A10" w:rsidP="00D55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4845A7" w:rsidRPr="004845A7" w14:paraId="0E6F0D39" w14:textId="4FB99793" w:rsidTr="00D55540">
        <w:trPr>
          <w:trHeight w:val="245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544D" w14:textId="77777777" w:rsidR="00DC4A10" w:rsidRPr="004845A7" w:rsidRDefault="00DC4A10" w:rsidP="00D555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miestas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6A6A" w14:textId="463E6B70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6391A" w14:textId="63AC8E43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9770E" w14:textId="6DDA93BA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94168" w14:textId="75623C48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BE31" w14:textId="54AF7DC8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</w:tr>
      <w:tr w:rsidR="004845A7" w:rsidRPr="004845A7" w14:paraId="717D76F3" w14:textId="6AA524D5" w:rsidTr="00D55540">
        <w:trPr>
          <w:trHeight w:val="251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0066" w14:textId="555B3385" w:rsidR="00DC4A10" w:rsidRPr="004845A7" w:rsidRDefault="00DC4A10" w:rsidP="00D555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r.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E53C" w14:textId="3F6E1D0F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F2F12" w14:textId="7E5D9D90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DC48A" w14:textId="1A724363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9DDC4" w14:textId="7AF05B6A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2E0B6" w14:textId="06DF3346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10,4</w:t>
            </w:r>
          </w:p>
        </w:tc>
      </w:tr>
      <w:tr w:rsidR="004845A7" w:rsidRPr="004845A7" w14:paraId="2100A1AD" w14:textId="23F37E16" w:rsidTr="00D55540">
        <w:trPr>
          <w:trHeight w:val="25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44CE" w14:textId="197A37F9" w:rsidR="00DC4A10" w:rsidRPr="004845A7" w:rsidRDefault="00DC4A10" w:rsidP="00D555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Kėdainių r.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BEF" w14:textId="0913CB75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4370" w14:textId="5771083E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03F1" w14:textId="341978D8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0FBE" w14:textId="044CA8BF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CEE9" w14:textId="1D1842AC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25,8</w:t>
            </w:r>
          </w:p>
        </w:tc>
      </w:tr>
      <w:tr w:rsidR="004845A7" w:rsidRPr="004845A7" w14:paraId="78A76102" w14:textId="77777777" w:rsidTr="00D55540">
        <w:trPr>
          <w:trHeight w:val="26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D46" w14:textId="14649337" w:rsidR="00DC4A10" w:rsidRPr="004845A7" w:rsidRDefault="00DC4A10" w:rsidP="00D555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Prienų r.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49D2" w14:textId="414AB1CD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E537" w14:textId="6993D0A0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4659" w14:textId="66B76B15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4963A" w14:textId="2593E01E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1D5D" w14:textId="3509B06C" w:rsidR="00DC4A10" w:rsidRPr="004845A7" w:rsidRDefault="00DC4A10" w:rsidP="00D5554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5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14:paraId="0ED9FABB" w14:textId="0F3BCA35" w:rsidR="00CC7AE1" w:rsidRPr="004845A7" w:rsidRDefault="001B2AAA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845A7" w:rsidDel="001B2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85AED9" w14:textId="26ABD53F" w:rsidR="003442F7" w:rsidRPr="004845A7" w:rsidRDefault="00DC4A10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67434C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pirmosios erkės aptiktos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trečiąjį kovo dešimtadienį, t.y. 2018-03-27</w:t>
      </w:r>
      <w:r w:rsidR="0067434C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Prienų </w:t>
      </w:r>
      <w:r w:rsidR="0067434C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rajono stacionare.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Erkių aktyvumo pradžia gana vėlyva dėl užsitęsusios žiemos</w:t>
      </w:r>
      <w:r w:rsidR="00DC435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C3D67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Paskutinį </w:t>
      </w:r>
      <w:r w:rsidR="0089679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kartą aktyvios erkės rastos 2018-11-05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taip pat </w:t>
      </w:r>
      <w:r w:rsidR="0089679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Prienų stacionare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Kituose stacionaruose erkių aktyvumo sezonas buvo trumpesnis. 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Lyginant su ankstesniu 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m. 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sezonu, Kauno miesto stacionare stebėtas mažesnis erkių aktyvumas. Sezonas prasidėjo vėliau – pirmąjį balandžio dešimtadienį, baigėsi panašiu laiku – lapkričio pirmąjį dešimtadienį.</w:t>
      </w:r>
      <w:r w:rsidR="0089679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Erkių gausumo maksimumas Kauno miesto stacionare registruotas balandžio trečiąjį dešimtadienį, kai viename kilometre aptiktos 33 erkės. (1 pav.).</w:t>
      </w:r>
    </w:p>
    <w:p w14:paraId="2BBE490E" w14:textId="6FD219A7" w:rsidR="00AB43B4" w:rsidRPr="004845A7" w:rsidRDefault="00896790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noProof/>
          <w:color w:val="000000" w:themeColor="text1"/>
          <w:sz w:val="28"/>
          <w:szCs w:val="28"/>
          <w:lang w:eastAsia="lt-LT"/>
        </w:rPr>
        <w:drawing>
          <wp:inline distT="0" distB="0" distL="0" distR="0" wp14:anchorId="6A2EFF05" wp14:editId="6F0842FA">
            <wp:extent cx="5447489" cy="2227634"/>
            <wp:effectExtent l="0" t="0" r="20320" b="20320"/>
            <wp:docPr id="6" name="Diagrama 6">
              <a:extLst xmlns:a="http://schemas.openxmlformats.org/drawingml/2006/main">
                <a:ext uri="{FF2B5EF4-FFF2-40B4-BE49-F238E27FC236}">
                  <a16:creationId xmlns:a16="http://schemas.microsoft.com/office/drawing/2014/main" id="{0EC482E3-55FE-43FD-B510-C693A93F73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160E194" w14:textId="465476CC" w:rsidR="00AB43B4" w:rsidRPr="004845A7" w:rsidRDefault="00112EC2" w:rsidP="008C42F7">
      <w:pPr>
        <w:spacing w:after="0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pav.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rkių aktyvumo sezonas Kauno miesto stacionare.</w:t>
      </w:r>
    </w:p>
    <w:p w14:paraId="64DEF715" w14:textId="77777777" w:rsidR="00112EC2" w:rsidRPr="004845A7" w:rsidRDefault="00112EC2" w:rsidP="008C42F7">
      <w:pPr>
        <w:spacing w:after="0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FC8F5" w14:textId="0F856C0A" w:rsidR="00AA0AF3" w:rsidRPr="004845A7" w:rsidRDefault="00AA0AF3" w:rsidP="008C42F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Erkių aktyvumą taip pat parodo </w:t>
      </w:r>
      <w:r w:rsidR="00CC7AE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sergamumas Laimo liga ir erkiniu encefalitu. Kauno apskrityje kaip ir visoje šalyje sergamumas Laimo liga yra apie 5 kartus didesnis nei ser</w:t>
      </w:r>
      <w:r w:rsidR="00785C8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gamumas erkiniu encefalitu. 2018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Kauno apskrityje registruota </w:t>
      </w:r>
      <w:r w:rsidR="00785C8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503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susirgimai Laimo liga, sergamumo rodiklis 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atvejo </w:t>
      </w:r>
      <w:r w:rsidR="00785C8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100 000 gyventojų. 2017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sergamumas buvo aukštesnis – registruota </w:t>
      </w:r>
      <w:r w:rsidR="00785C8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602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susirgimai, kurie sudarė 1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06 atv.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100 000 gyv. rodiklį (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pav.).</w:t>
      </w:r>
    </w:p>
    <w:p w14:paraId="63FDED04" w14:textId="26DD0EC6" w:rsidR="0023166A" w:rsidRPr="004845A7" w:rsidRDefault="0023166A" w:rsidP="00785C8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t-LT"/>
        </w:rPr>
        <w:drawing>
          <wp:inline distT="0" distB="0" distL="0" distR="0" wp14:anchorId="098C7A5B" wp14:editId="6CACB4B1">
            <wp:extent cx="5642042" cy="1867711"/>
            <wp:effectExtent l="0" t="0" r="0" b="0"/>
            <wp:docPr id="2" name="Diagra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55EB909" w14:textId="4BE2A2A5" w:rsidR="0023166A" w:rsidRPr="004845A7" w:rsidRDefault="00111CB1" w:rsidP="008C42F7">
      <w:pPr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3166A"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pav.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Sergamumo Laimo liga rodiklis Kauno apskrityje ir Lietuvoje 2001 – 201</w:t>
      </w:r>
      <w:r w:rsidR="00785C8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23166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</w:p>
    <w:p w14:paraId="485D9349" w14:textId="77777777" w:rsidR="00110738" w:rsidRPr="004845A7" w:rsidRDefault="00110738" w:rsidP="008C42F7">
      <w:pPr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5891E3" w14:textId="05A22643" w:rsidR="0023166A" w:rsidRPr="004845A7" w:rsidRDefault="0023166A" w:rsidP="00613275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Iš Kauno apskrities teritorijų labiausiai išsiskiria Birštono savivald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ybė, kur sergamumo rodiklis 2018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buvo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240,7 atv.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100 000 gyv.</w:t>
      </w:r>
      <w:r w:rsidR="00FE3B2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buvo </w:t>
      </w:r>
      <w:r w:rsidR="006132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284,2,1 atv.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100 000 gyv.</w:t>
      </w:r>
      <w:r w:rsidR="00FE3B2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C36FF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Laimo liga - vienas didžiausių.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Antroje vietoje pagal </w:t>
      </w:r>
      <w:r w:rsidR="00B07E7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didžiausią sergamumą – </w:t>
      </w:r>
      <w:r w:rsidR="008B7E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Jonavos rajonas, kur rodiklis 2018</w:t>
      </w:r>
      <w:r w:rsidR="00B07E7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sie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kė 127 atv.</w:t>
      </w:r>
      <w:r w:rsidR="008B7E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100 000 gyv.</w:t>
      </w:r>
      <w:r w:rsidR="00FE3B2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B7E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2017 m. – 130</w:t>
      </w:r>
      <w:r w:rsidR="00D5554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atv.</w:t>
      </w:r>
      <w:r w:rsidR="00B07E7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100 000 gyv.</w:t>
      </w:r>
      <w:r w:rsidR="00FE3B2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4AA774B" w14:textId="216E2EEF" w:rsidR="00B07E79" w:rsidRPr="004845A7" w:rsidRDefault="00B07E79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Dažniausiai susirgusieji Laimo liga nurodo, kad galėjo užsikrėsti savo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gyvenamojoje vietovėje. Daugiausiai iš Kauno apskrities teritorijų</w:t>
      </w:r>
      <w:r w:rsidR="00C55C1B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55C1B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92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 susirgusių </w:t>
      </w:r>
      <w:r w:rsidR="00C55C1B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Kėdainių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C1B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rajono gyventojų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užsikrėtė </w:t>
      </w:r>
      <w:r w:rsidR="00C55C1B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Kėdainių rajone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mažiausiai - </w:t>
      </w:r>
      <w:r w:rsidR="00C55C1B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F86846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 kauniečių užsikrėtė Kaune.</w:t>
      </w:r>
      <w:r w:rsidR="00C55C1B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 proc. sirgusiųjų užsikrėtė kitose Kauno apskrities teritorijose, 16 proc. kitų apskričių teritorijose. 1,6 proc. galimai užsikrėtė už Lietuvos ribų. 5,6 proc. užsikrėtusiųjų negalėjo nurodyti konkrečios vietovės.</w:t>
      </w:r>
    </w:p>
    <w:p w14:paraId="59DBB8E2" w14:textId="12D49E9C" w:rsidR="007A2E50" w:rsidRPr="004845A7" w:rsidRDefault="007A2E50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Laimo liga dažniausiai gydoma a</w:t>
      </w:r>
      <w:r w:rsidR="00AA7CB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bula</w:t>
      </w:r>
      <w:r w:rsidR="008B7E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toriška</w:t>
      </w:r>
      <w:r w:rsidR="008124C2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i, hospitalizuojama vos 4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 susirgusiųjų.</w:t>
      </w:r>
      <w:r w:rsidR="00CC7AE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Vaikai sudarė </w:t>
      </w:r>
      <w:r w:rsidR="008124C2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CC7AE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 susirgusiųjų, asmenys nuo</w:t>
      </w:r>
      <w:r w:rsidR="008B7E7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</w:t>
      </w:r>
      <w:r w:rsidR="008124C2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5 metų amžiaus ir vyresni – 27</w:t>
      </w:r>
      <w:r w:rsidR="00CC7AE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</w:t>
      </w:r>
    </w:p>
    <w:p w14:paraId="482BD71C" w14:textId="65379A38" w:rsidR="00533538" w:rsidRPr="004845A7" w:rsidRDefault="00124703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Didžiausias susirgimų Laim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o liga skaičius registruojamas liepos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rug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pjūčio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mėn., tačiau sergamumas 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tęsiasi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beveik visus metus (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pav.).</w:t>
      </w:r>
    </w:p>
    <w:p w14:paraId="14663456" w14:textId="270E1DB7" w:rsidR="00533538" w:rsidRPr="004845A7" w:rsidRDefault="00DE1ED9" w:rsidP="008C42F7">
      <w:pPr>
        <w:spacing w:after="0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noProof/>
          <w:color w:val="000000" w:themeColor="text1"/>
          <w:lang w:eastAsia="lt-LT"/>
        </w:rPr>
        <w:drawing>
          <wp:inline distT="0" distB="0" distL="0" distR="0" wp14:anchorId="6396CB32" wp14:editId="01F7F78E">
            <wp:extent cx="4572000" cy="2743200"/>
            <wp:effectExtent l="0" t="0" r="19050" b="19050"/>
            <wp:docPr id="5" name="Diagrama 5">
              <a:extLst xmlns:a="http://schemas.openxmlformats.org/drawingml/2006/main">
                <a:ext uri="{FF2B5EF4-FFF2-40B4-BE49-F238E27FC236}">
                  <a16:creationId xmlns:a16="http://schemas.microsoft.com/office/drawing/2014/main" id="{20D77E52-ABC3-42C1-B5D7-03E62FE5FD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F98DAA2" w14:textId="14727F22" w:rsidR="00124703" w:rsidRPr="004845A7" w:rsidRDefault="00111CB1" w:rsidP="008C42F7">
      <w:pPr>
        <w:spacing w:after="0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124703"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pav.</w:t>
      </w:r>
      <w:r w:rsidR="001247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Sergamumo Laimo liga sezoniškumas</w:t>
      </w:r>
      <w:r w:rsidR="00F46077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Kauno apskrityje</w:t>
      </w:r>
      <w:r w:rsidR="001247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51A3A7" w14:textId="77777777" w:rsidR="00124703" w:rsidRPr="004845A7" w:rsidRDefault="00124703" w:rsidP="008C42F7">
      <w:pPr>
        <w:spacing w:after="0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3BA7D" w14:textId="08AAAFD4" w:rsidR="0023166A" w:rsidRPr="004845A7" w:rsidRDefault="00124703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41B8DD46" wp14:editId="2920A1B0">
            <wp:simplePos x="0" y="0"/>
            <wp:positionH relativeFrom="column">
              <wp:posOffset>687070</wp:posOffset>
            </wp:positionH>
            <wp:positionV relativeFrom="paragraph">
              <wp:posOffset>514350</wp:posOffset>
            </wp:positionV>
            <wp:extent cx="4914900" cy="1948815"/>
            <wp:effectExtent l="0" t="0" r="0" b="0"/>
            <wp:wrapTopAndBottom/>
            <wp:docPr id="1" name="Diagra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F86846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Kauno apskrityje registruota 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="00F86846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susirgimai erkiniu encefalitu, sergamumo rodikl</w:t>
      </w:r>
      <w:r w:rsidR="00BF45A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is 15,1 atv.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100 000 gyv. 2017 m. buvo 109 susirgimai ir rodiklis 19,3</w:t>
      </w:r>
      <w:r w:rsidR="00F86846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atv. </w:t>
      </w:r>
      <w:r w:rsidR="00654C6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54C6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pav.).</w:t>
      </w:r>
      <w:r w:rsidR="00F86846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8E8E4F" w14:textId="0228424F" w:rsidR="00124703" w:rsidRPr="004845A7" w:rsidRDefault="00111CB1" w:rsidP="008C42F7">
      <w:pPr>
        <w:spacing w:after="0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124703"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pav.</w:t>
      </w:r>
      <w:r w:rsidR="001247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Sergamumo erkiniu encefalitu rodiklis Kauno mieste, Kauno aps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krityje ir Lietuvoje 2001 – 2018</w:t>
      </w:r>
      <w:r w:rsidR="001247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</w:p>
    <w:p w14:paraId="701A8902" w14:textId="2FB2B2BE" w:rsidR="00124703" w:rsidRPr="004845A7" w:rsidRDefault="00124703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FA2C2E" w14:textId="17281216" w:rsidR="0023166A" w:rsidRPr="004845A7" w:rsidRDefault="00654C6D" w:rsidP="008124C2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Didžiausias sergamumas </w:t>
      </w:r>
      <w:r w:rsidR="00FE3B25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erkiniu encefalitu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Kauno apskrityje registruojamas 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Kauno mieste, kur rodiklis 2018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siek</w:t>
      </w:r>
      <w:r w:rsidR="00DE1ED9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ė 17,4 atv. 100 000 gyv. (2017 m. buvo 26,2 atv.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100 000 gyv.)</w:t>
      </w:r>
      <w:r w:rsidR="007C1F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 Jonavos rajone – 16,7 atv. 100 000 gyv. (2017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– </w:t>
      </w:r>
      <w:r w:rsidR="007C1F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26,1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atv. 100 000 gyv.).</w:t>
      </w:r>
    </w:p>
    <w:p w14:paraId="26613204" w14:textId="46137578" w:rsidR="007A2E50" w:rsidRPr="004845A7" w:rsidRDefault="007A2E50" w:rsidP="008124C2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Atlikus epidemio</w:t>
      </w:r>
      <w:r w:rsidR="001247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lo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ginę </w:t>
      </w:r>
      <w:r w:rsidR="00BE77C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diagnostiką išsiaiškinta, kad 42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 susirgusiųjų erkiniu encefalitu galėjo užsikrėsti savo gyvenamojoje teritorijoje. </w:t>
      </w:r>
      <w:r w:rsidR="00BE77C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23,5 proc. negalėjo nurodyti užsikrėtimo vietovės.</w:t>
      </w:r>
    </w:p>
    <w:p w14:paraId="7D614D87" w14:textId="156A8FB6" w:rsidR="00CC7AE1" w:rsidRPr="004845A7" w:rsidRDefault="00CC7AE1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Erkinis encefalitas b</w:t>
      </w:r>
      <w:r w:rsidR="00BE77CA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eveik visada (99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proc.) gydomas</w:t>
      </w:r>
      <w:r w:rsidR="008124C2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ligoninėje, dažniausiai sirgo 45-74 metų amžiaus asmenys – 64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proc. </w:t>
      </w:r>
    </w:p>
    <w:p w14:paraId="35FB27D0" w14:textId="0253AE05" w:rsidR="00124703" w:rsidRPr="004845A7" w:rsidRDefault="00124703" w:rsidP="008C42F7">
      <w:pPr>
        <w:spacing w:after="0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Sergamumas erkiniu encefalitu taip pat pasižymi sezoniškumu, tačiau metų pradžioje atvejų neregistruojama (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pav.).</w:t>
      </w:r>
    </w:p>
    <w:p w14:paraId="6D363A99" w14:textId="61C44166" w:rsidR="00AA0AF3" w:rsidRPr="004845A7" w:rsidRDefault="00124703" w:rsidP="008C42F7">
      <w:pPr>
        <w:spacing w:after="0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noProof/>
          <w:color w:val="000000" w:themeColor="text1"/>
          <w:lang w:eastAsia="lt-LT"/>
        </w:rPr>
        <w:drawing>
          <wp:inline distT="0" distB="0" distL="0" distR="0" wp14:anchorId="410DD566" wp14:editId="094720DC">
            <wp:extent cx="5598160" cy="2027926"/>
            <wp:effectExtent l="0" t="0" r="21590" b="10795"/>
            <wp:docPr id="4" name="Diagrama 4">
              <a:extLst xmlns:a="http://schemas.openxmlformats.org/drawingml/2006/main">
                <a:ext uri="{FF2B5EF4-FFF2-40B4-BE49-F238E27FC236}">
                  <a16:creationId xmlns:a16="http://schemas.microsoft.com/office/drawing/2014/main" id="{65810EC4-6624-4435-A0AE-0E655D9652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561710" w14:textId="59594963" w:rsidR="007C4BC5" w:rsidRPr="004845A7" w:rsidRDefault="00111CB1" w:rsidP="008C42F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124703"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pav.</w:t>
      </w:r>
      <w:r w:rsidR="00124703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Sergamumo erkiniu encefalitu sezoniškumas Kauno apskrityje.</w:t>
      </w:r>
    </w:p>
    <w:p w14:paraId="7672741B" w14:textId="77777777" w:rsidR="00124703" w:rsidRPr="004845A7" w:rsidRDefault="00124703" w:rsidP="008C42F7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3CF1C6" w14:textId="20DE6363" w:rsidR="007F06FD" w:rsidRPr="004845A7" w:rsidRDefault="006C2C8B" w:rsidP="008C42F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nuo erkinio encefalito Kauno apskr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ityje pirmą kartą pasiskiepijo 10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039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asmenys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(2017 m. buvo 9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852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asmenų)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5 232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asmenys skiepijosi palaikomąja doze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(2017 m. buvo 5 589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Iš viso per metus </w:t>
      </w:r>
      <w:r w:rsidR="00E8345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auno apskrityje įskiepyta 33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666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24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erkinio encefalito 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vakcinos dozių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(2017 m. buvo 31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579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F06F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Skiepijimai 2018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6,6 proc. aktyvesni nei 2017</w:t>
      </w:r>
      <w:r w:rsidR="00AB43B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</w:p>
    <w:p w14:paraId="0EC8AFD8" w14:textId="5D8599C2" w:rsidR="008A4017" w:rsidRPr="004845A7" w:rsidRDefault="008A4017" w:rsidP="008C42F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Vykdant kraujasiurbių nariuotakojų stebėseną Kauno apskrities teritorijoje bei atliekant erkių platinamų ligų atvejų epidemiologinę diagnostiką, sudarytas </w:t>
      </w:r>
      <w:r w:rsidR="00690D78"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ir kasmet atnaujinamas Lietuvos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vietovių žemėlapis, kuriose užsikrečiama erkių platinamomis ligomis. Žemėlapio prieiga per internetą:</w:t>
      </w:r>
    </w:p>
    <w:p w14:paraId="440EBBB9" w14:textId="0C429D6D" w:rsidR="008A4017" w:rsidRDefault="00356F8F" w:rsidP="008C42F7">
      <w:pPr>
        <w:jc w:val="both"/>
        <w:rPr>
          <w:rFonts w:ascii="Times New Roman" w:hAnsi="Times New Roman" w:cs="Times New Roman"/>
          <w:color w:val="000000" w:themeColor="text1"/>
          <w:lang w:eastAsia="lt-LT"/>
        </w:rPr>
      </w:pPr>
      <w:hyperlink r:id="rId12" w:history="1">
        <w:r w:rsidR="008A4017" w:rsidRPr="004845A7">
          <w:rPr>
            <w:rStyle w:val="Hipersaitas"/>
            <w:rFonts w:ascii="Times New Roman" w:hAnsi="Times New Roman" w:cs="Times New Roman"/>
            <w:color w:val="000000" w:themeColor="text1"/>
            <w:lang w:eastAsia="lt-LT"/>
          </w:rPr>
          <w:t>https://www.google.com/maps/d/viewer?mid=12e9r8BNEQSiYpAqBFOvNmI7gH8M&amp;usp=sharing</w:t>
        </w:r>
      </w:hyperlink>
      <w:r w:rsidR="008A4017" w:rsidRPr="004845A7">
        <w:rPr>
          <w:rFonts w:ascii="Times New Roman" w:hAnsi="Times New Roman" w:cs="Times New Roman"/>
          <w:color w:val="000000" w:themeColor="text1"/>
          <w:lang w:eastAsia="lt-LT"/>
        </w:rPr>
        <w:t xml:space="preserve"> .</w:t>
      </w:r>
    </w:p>
    <w:p w14:paraId="01779EF8" w14:textId="58E249BB" w:rsidR="00690D78" w:rsidRPr="004845A7" w:rsidRDefault="008A4017" w:rsidP="00F05A84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Siekiant užtikrinti gyventojų budrumą ir informuotumą apie erkių platinamas ligas</w:t>
      </w:r>
      <w:r w:rsidR="00690D78"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NVSC interneto svetainėje sukurtas tinklalapis</w:t>
      </w:r>
      <w:r w:rsidR="00BF45AD"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„Erkių pernešamos ligos“ (https://nvsc.lrv.lt/lt/uzkreciamuju-ligu-valdymas/erkiu-pernesamos-ligos)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, </w:t>
      </w:r>
      <w:r w:rsidR="00690D78"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kuriame skelbiamas sudarytas žemėlapis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690D78" w:rsidRPr="004845A7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ir kita aktuali informacija.</w:t>
      </w:r>
    </w:p>
    <w:p w14:paraId="352AEA3D" w14:textId="688B59AA" w:rsidR="00C0117E" w:rsidRPr="004845A7" w:rsidRDefault="003442F7" w:rsidP="008C42F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Maliarinių ir nemaliarinių uodų stebėjimai vykdomi stacionariuose kontroliniuose vandens telkiniuose ir tiriami vieną kartą per 10 dienų kasmet balandžio-spalio mėnesiais. </w:t>
      </w:r>
      <w:r w:rsidR="00690D7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Kauno apskrityje stebimi du telkiniai esantys Kauno mieste Vytauto Didž</w:t>
      </w:r>
      <w:r w:rsidR="00C0117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iojo universiteto Botanikos sodo teritorijoje ir </w:t>
      </w:r>
      <w:r w:rsidR="008C6C0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Kauno r., Samylų seniūnijoje, Girionių gyvenvietėje esantis vandens telkinys</w:t>
      </w:r>
      <w:r w:rsidR="00C0117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0D7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Tyrimo metu nustatoma maliarinių uodų gausa ir stebimi fenologiniai reiškiniai.</w:t>
      </w:r>
      <w:r w:rsidR="00231248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17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Uodų lervos telkiniuose aptiktos nuo gegužės antrojo dešimtadienio iki rugpjūčio antrojo dešimtadienio. </w:t>
      </w:r>
    </w:p>
    <w:p w14:paraId="54461BFC" w14:textId="77777777" w:rsidR="00C0117E" w:rsidRPr="004845A7" w:rsidRDefault="007A73D4" w:rsidP="00F05A84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Vertinant uodų lervų s</w:t>
      </w:r>
      <w:r w:rsidR="00C0117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kaičių vandens telkiniuose, 2018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viename mėginyje vidutiniška</w:t>
      </w:r>
      <w:r w:rsidR="00C0117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i nustatyta po 1,5 lervos, 2017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buvo </w:t>
      </w:r>
      <w:r w:rsidR="00C0117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1,35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. Gausiausias sezonas registruotas 2011 m., kai viename mėginyje buvo vidutiniškai 3,3 le</w:t>
      </w:r>
      <w:r w:rsidR="00C0117E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rvos. </w:t>
      </w:r>
    </w:p>
    <w:p w14:paraId="61878674" w14:textId="0D05FDCC" w:rsidR="007C4BC5" w:rsidRPr="004845A7" w:rsidRDefault="00C0117E" w:rsidP="00F05A84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Lauke žmogų puolantys uodai stebėti nuo balandžio trečiojo dešimtadienio iki rugsėjo pirmojo dešimtadienio. Žmogų puolančių uodų 2018</w:t>
      </w:r>
      <w:r w:rsidR="007A73D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skaičiuojant per 20 m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in. vidurkis 3,45 uodo, 2017</w:t>
      </w:r>
      <w:r w:rsidR="007A73D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buvo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3,61</w:t>
      </w:r>
      <w:r w:rsidR="007A73D4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(2010 m. 8,97 uodo).</w:t>
      </w:r>
    </w:p>
    <w:p w14:paraId="6CF58842" w14:textId="77777777" w:rsidR="009F0D28" w:rsidRPr="004845A7" w:rsidRDefault="009F0D28" w:rsidP="00F05A84">
      <w:pP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AB62A4" w14:textId="055A1C1F" w:rsidR="00AB43B4" w:rsidRPr="004845A7" w:rsidRDefault="00AB43B4" w:rsidP="00F05A84">
      <w:pPr>
        <w:spacing w:after="0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Išvados:</w:t>
      </w:r>
    </w:p>
    <w:p w14:paraId="0BE6471F" w14:textId="05F7FF30" w:rsidR="00111CB1" w:rsidRPr="004845A7" w:rsidRDefault="00C0117E" w:rsidP="000D0D4E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stebėtas </w:t>
      </w:r>
      <w:r w:rsidR="00BF45A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mažesnis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erkių aktyvumas, nors erkių aktyvumo trukmė panaši į ankstesnį sezoną. </w:t>
      </w:r>
    </w:p>
    <w:p w14:paraId="77F3A703" w14:textId="30E8CEA1" w:rsidR="00AB43B4" w:rsidRPr="004845A7" w:rsidRDefault="00C0117E" w:rsidP="000D0D4E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sergamumas erkių platinamomis ligomis buvo taip pat mažesnis nei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2017 ir </w:t>
      </w:r>
      <w:r w:rsidR="00111CB1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2016 m.</w:t>
      </w:r>
    </w:p>
    <w:p w14:paraId="4A72C74E" w14:textId="77A8A757" w:rsidR="00111CB1" w:rsidRPr="004845A7" w:rsidRDefault="00111CB1" w:rsidP="000D0D4E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Skiepijimai</w:t>
      </w:r>
      <w:r w:rsidR="008C6C00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erkinio encefalito vakcina 2018 m. buvo 6,6 proc. aktyvesni nei 2017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</w:p>
    <w:p w14:paraId="7B167C82" w14:textId="109C68AE" w:rsidR="00111CB1" w:rsidRPr="004845A7" w:rsidRDefault="008C6C00" w:rsidP="000D0D4E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CE51A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stebėtas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didesnis uodų gausumas nei 2017</w:t>
      </w:r>
      <w:r w:rsidR="00CE51AD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</w:t>
      </w:r>
    </w:p>
    <w:p w14:paraId="147FB0E5" w14:textId="77777777" w:rsidR="00C11E72" w:rsidRPr="004845A7" w:rsidRDefault="00C11E72" w:rsidP="00C11E72">
      <w:pPr>
        <w:pStyle w:val="Sraopastraipa"/>
        <w:spacing w:after="0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E2E38C" w14:textId="3840440E" w:rsidR="00C11E72" w:rsidRPr="004845A7" w:rsidRDefault="00C11E72" w:rsidP="00C11E72">
      <w:pPr>
        <w:pStyle w:val="Sraopastraipa"/>
        <w:spacing w:after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Rekomendacijos:</w:t>
      </w:r>
    </w:p>
    <w:p w14:paraId="01B1F293" w14:textId="7926FDB7" w:rsidR="00C11E72" w:rsidRPr="004845A7" w:rsidRDefault="00C11E72" w:rsidP="00C11E72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Užtikrinti darbuotojų, kurie darbo vietoje rizikuoja užsikrėsti erkių pernešamomis ligomis skiepijimą nuo erkinio encefalito darbdavio lėšomis ir kitų 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apsaugos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priemonių </w:t>
      </w:r>
      <w:r w:rsidR="00C2327F"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(repelentų, apsaugančios aprangos) </w:t>
      </w: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prieinamumą.</w:t>
      </w:r>
    </w:p>
    <w:p w14:paraId="2944B65E" w14:textId="6FB96647" w:rsidR="00C11E72" w:rsidRPr="004845A7" w:rsidRDefault="00C11E72" w:rsidP="00C11E72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45A7">
        <w:rPr>
          <w:rFonts w:ascii="Times New Roman" w:hAnsi="Times New Roman" w:cs="Times New Roman"/>
          <w:color w:val="000000" w:themeColor="text1"/>
          <w:sz w:val="24"/>
          <w:szCs w:val="24"/>
        </w:rPr>
        <w:t>Skelbti informaciją visuomenei apie erkių pernešamų ligų profilaktikos priemones.</w:t>
      </w:r>
    </w:p>
    <w:p w14:paraId="04E95BF0" w14:textId="0778AEF4" w:rsidR="00124703" w:rsidRPr="004845A7" w:rsidRDefault="00124703" w:rsidP="008C42F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DC72ED" w14:textId="458C553B" w:rsidR="00124703" w:rsidRPr="00CE51AD" w:rsidRDefault="00124703" w:rsidP="00F05A8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1AD">
        <w:rPr>
          <w:rFonts w:ascii="Times New Roman" w:hAnsi="Times New Roman" w:cs="Times New Roman"/>
          <w:b/>
          <w:sz w:val="24"/>
          <w:szCs w:val="24"/>
        </w:rPr>
        <w:t xml:space="preserve">Parengė </w:t>
      </w:r>
    </w:p>
    <w:p w14:paraId="46F95357" w14:textId="77777777" w:rsidR="00124703" w:rsidRDefault="00124703" w:rsidP="00F05A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Nacionalinio visuomenės sveikatos centro </w:t>
      </w:r>
    </w:p>
    <w:p w14:paraId="33AE8264" w14:textId="65FF0DD0" w:rsidR="00124703" w:rsidRDefault="00124703" w:rsidP="00F05A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 Sveikatos apsaugos ministerijos </w:t>
      </w:r>
    </w:p>
    <w:p w14:paraId="04C1E345" w14:textId="45DC0A85" w:rsidR="00124703" w:rsidRDefault="00124703" w:rsidP="00F05A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Kauno departamento </w:t>
      </w:r>
    </w:p>
    <w:p w14:paraId="258C6968" w14:textId="03B1335E" w:rsidR="00124703" w:rsidRPr="00AA7CBE" w:rsidRDefault="00124703" w:rsidP="00F05A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Užkrečiamųjų ligų valdymo skyrius</w:t>
      </w:r>
    </w:p>
    <w:sectPr w:rsidR="00124703" w:rsidRPr="00AA7CBE" w:rsidSect="00CC7AE1">
      <w:headerReference w:type="default" r:id="rId13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77841" w14:textId="77777777" w:rsidR="000C4275" w:rsidRDefault="000C4275" w:rsidP="00CC7AE1">
      <w:pPr>
        <w:spacing w:after="0" w:line="240" w:lineRule="auto"/>
      </w:pPr>
      <w:r>
        <w:separator/>
      </w:r>
    </w:p>
  </w:endnote>
  <w:endnote w:type="continuationSeparator" w:id="0">
    <w:p w14:paraId="429DB17D" w14:textId="77777777" w:rsidR="000C4275" w:rsidRDefault="000C4275" w:rsidP="00CC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171AF" w14:textId="77777777" w:rsidR="000C4275" w:rsidRDefault="000C4275" w:rsidP="00CC7AE1">
      <w:pPr>
        <w:spacing w:after="0" w:line="240" w:lineRule="auto"/>
      </w:pPr>
      <w:r>
        <w:separator/>
      </w:r>
    </w:p>
  </w:footnote>
  <w:footnote w:type="continuationSeparator" w:id="0">
    <w:p w14:paraId="13FAF906" w14:textId="77777777" w:rsidR="000C4275" w:rsidRDefault="000C4275" w:rsidP="00CC7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636627"/>
      <w:docPartObj>
        <w:docPartGallery w:val="Page Numbers (Top of Page)"/>
        <w:docPartUnique/>
      </w:docPartObj>
    </w:sdtPr>
    <w:sdtEndPr/>
    <w:sdtContent>
      <w:p w14:paraId="5394AAD8" w14:textId="4E74D5BC" w:rsidR="00CC7AE1" w:rsidRDefault="00CC7AE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471">
          <w:rPr>
            <w:noProof/>
          </w:rPr>
          <w:t>2</w:t>
        </w:r>
        <w:r>
          <w:fldChar w:fldCharType="end"/>
        </w:r>
      </w:p>
    </w:sdtContent>
  </w:sdt>
  <w:p w14:paraId="250E2F71" w14:textId="77777777" w:rsidR="00CC7AE1" w:rsidRDefault="00CC7AE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CED"/>
    <w:multiLevelType w:val="hybridMultilevel"/>
    <w:tmpl w:val="7B6AF16C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952422"/>
    <w:multiLevelType w:val="hybridMultilevel"/>
    <w:tmpl w:val="D1F67F52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4C"/>
    <w:rsid w:val="000057BD"/>
    <w:rsid w:val="00045D1B"/>
    <w:rsid w:val="00091FA5"/>
    <w:rsid w:val="000B56E0"/>
    <w:rsid w:val="000B66A2"/>
    <w:rsid w:val="000B6CBA"/>
    <w:rsid w:val="000C4275"/>
    <w:rsid w:val="000D0D4E"/>
    <w:rsid w:val="00100F96"/>
    <w:rsid w:val="00110738"/>
    <w:rsid w:val="00111CB1"/>
    <w:rsid w:val="00112EC2"/>
    <w:rsid w:val="00124703"/>
    <w:rsid w:val="001B2AAA"/>
    <w:rsid w:val="00231248"/>
    <w:rsid w:val="0023166A"/>
    <w:rsid w:val="00286E07"/>
    <w:rsid w:val="003442F7"/>
    <w:rsid w:val="00356F8F"/>
    <w:rsid w:val="003B3D89"/>
    <w:rsid w:val="00436AFF"/>
    <w:rsid w:val="004725B8"/>
    <w:rsid w:val="00482757"/>
    <w:rsid w:val="004845A7"/>
    <w:rsid w:val="004F2B67"/>
    <w:rsid w:val="004F2C44"/>
    <w:rsid w:val="00533538"/>
    <w:rsid w:val="00535F7A"/>
    <w:rsid w:val="00554178"/>
    <w:rsid w:val="00592111"/>
    <w:rsid w:val="005C3D67"/>
    <w:rsid w:val="00613275"/>
    <w:rsid w:val="00654C6D"/>
    <w:rsid w:val="0066728A"/>
    <w:rsid w:val="00672491"/>
    <w:rsid w:val="0067434C"/>
    <w:rsid w:val="00690D78"/>
    <w:rsid w:val="006C2C8B"/>
    <w:rsid w:val="006C5E06"/>
    <w:rsid w:val="006D5705"/>
    <w:rsid w:val="00785C85"/>
    <w:rsid w:val="007A2E50"/>
    <w:rsid w:val="007A73D4"/>
    <w:rsid w:val="007C1F03"/>
    <w:rsid w:val="007C2C99"/>
    <w:rsid w:val="007C4BC5"/>
    <w:rsid w:val="007C57ED"/>
    <w:rsid w:val="007F06FD"/>
    <w:rsid w:val="008006F5"/>
    <w:rsid w:val="008124C2"/>
    <w:rsid w:val="00822EB1"/>
    <w:rsid w:val="00822EBA"/>
    <w:rsid w:val="00896790"/>
    <w:rsid w:val="008A4017"/>
    <w:rsid w:val="008B7E75"/>
    <w:rsid w:val="008C42F7"/>
    <w:rsid w:val="008C6C00"/>
    <w:rsid w:val="00953CEC"/>
    <w:rsid w:val="009D754C"/>
    <w:rsid w:val="009F0D28"/>
    <w:rsid w:val="00A27B0B"/>
    <w:rsid w:val="00A43F1A"/>
    <w:rsid w:val="00AA0AF3"/>
    <w:rsid w:val="00AA7CBE"/>
    <w:rsid w:val="00AB43B4"/>
    <w:rsid w:val="00AB5211"/>
    <w:rsid w:val="00B06648"/>
    <w:rsid w:val="00B07E79"/>
    <w:rsid w:val="00B7326F"/>
    <w:rsid w:val="00BE77CA"/>
    <w:rsid w:val="00BF45AD"/>
    <w:rsid w:val="00C0117E"/>
    <w:rsid w:val="00C11447"/>
    <w:rsid w:val="00C11E72"/>
    <w:rsid w:val="00C13E65"/>
    <w:rsid w:val="00C22471"/>
    <w:rsid w:val="00C2327F"/>
    <w:rsid w:val="00C36FF0"/>
    <w:rsid w:val="00C55C1B"/>
    <w:rsid w:val="00C77B78"/>
    <w:rsid w:val="00CC7AE1"/>
    <w:rsid w:val="00CE51AD"/>
    <w:rsid w:val="00D011E7"/>
    <w:rsid w:val="00D55540"/>
    <w:rsid w:val="00DB51EE"/>
    <w:rsid w:val="00DC4358"/>
    <w:rsid w:val="00DC4A10"/>
    <w:rsid w:val="00DE1ED9"/>
    <w:rsid w:val="00E13992"/>
    <w:rsid w:val="00E26F7C"/>
    <w:rsid w:val="00E83450"/>
    <w:rsid w:val="00F02090"/>
    <w:rsid w:val="00F05A84"/>
    <w:rsid w:val="00F46077"/>
    <w:rsid w:val="00F51C79"/>
    <w:rsid w:val="00F86846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AB41"/>
  <w15:docId w15:val="{81698D5C-E824-4B04-8895-5204BC26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C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C7AE1"/>
  </w:style>
  <w:style w:type="paragraph" w:styleId="Porat">
    <w:name w:val="footer"/>
    <w:basedOn w:val="prastasis"/>
    <w:link w:val="PoratDiagrama"/>
    <w:uiPriority w:val="99"/>
    <w:unhideWhenUsed/>
    <w:rsid w:val="00CC7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C7AE1"/>
  </w:style>
  <w:style w:type="character" w:styleId="Komentaronuoroda">
    <w:name w:val="annotation reference"/>
    <w:basedOn w:val="Numatytasispastraiposriftas"/>
    <w:uiPriority w:val="99"/>
    <w:semiHidden/>
    <w:unhideWhenUsed/>
    <w:rsid w:val="00E8345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8345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345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345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345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8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83450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E83450"/>
    <w:pPr>
      <w:ind w:left="720"/>
      <w:contextualSpacing/>
    </w:pPr>
  </w:style>
  <w:style w:type="character" w:styleId="Hipersaitas">
    <w:name w:val="Hyperlink"/>
    <w:semiHidden/>
    <w:unhideWhenUsed/>
    <w:rsid w:val="008A40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google.com/maps/d/viewer?mid=12e9r8BNEQSiYpAqBFOvNmI7gH8M&amp;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Microsoft%20Word%20diagrama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darbalapis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darbalapis1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darbalapis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12"/>
          <c:order val="11"/>
          <c:tx>
            <c:strRef>
              <c:f>'[Microsoft Word diagrama]Lapas1'!$Q$53</c:f>
              <c:strCache>
                <c:ptCount val="1"/>
                <c:pt idx="0">
                  <c:v>2017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'[Microsoft Word diagrama]Lapas1'!$R$39:$AR$40</c:f>
              <c:multiLvlStrCache>
                <c:ptCount val="27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</c:v>
                  </c:pt>
                  <c:pt idx="4">
                    <c:v>II</c:v>
                  </c:pt>
                  <c:pt idx="5">
                    <c:v>III</c:v>
                  </c:pt>
                  <c:pt idx="6">
                    <c:v>I</c:v>
                  </c:pt>
                  <c:pt idx="7">
                    <c:v>II</c:v>
                  </c:pt>
                  <c:pt idx="8">
                    <c:v>III</c:v>
                  </c:pt>
                  <c:pt idx="9">
                    <c:v>I</c:v>
                  </c:pt>
                  <c:pt idx="10">
                    <c:v>II</c:v>
                  </c:pt>
                  <c:pt idx="11">
                    <c:v>III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</c:v>
                  </c:pt>
                  <c:pt idx="16">
                    <c:v>II</c:v>
                  </c:pt>
                  <c:pt idx="17">
                    <c:v>III</c:v>
                  </c:pt>
                  <c:pt idx="18">
                    <c:v>I</c:v>
                  </c:pt>
                  <c:pt idx="19">
                    <c:v>II</c:v>
                  </c:pt>
                  <c:pt idx="20">
                    <c:v>III</c:v>
                  </c:pt>
                  <c:pt idx="21">
                    <c:v>I</c:v>
                  </c:pt>
                  <c:pt idx="22">
                    <c:v>II</c:v>
                  </c:pt>
                  <c:pt idx="23">
                    <c:v>III</c:v>
                  </c:pt>
                  <c:pt idx="24">
                    <c:v>I</c:v>
                  </c:pt>
                  <c:pt idx="25">
                    <c:v>II</c:v>
                  </c:pt>
                  <c:pt idx="26">
                    <c:v>III</c:v>
                  </c:pt>
                </c:lvl>
                <c:lvl>
                  <c:pt idx="0">
                    <c:v>kovas</c:v>
                  </c:pt>
                  <c:pt idx="3">
                    <c:v>balandis</c:v>
                  </c:pt>
                  <c:pt idx="6">
                    <c:v>gegužė</c:v>
                  </c:pt>
                  <c:pt idx="9">
                    <c:v>birželis</c:v>
                  </c:pt>
                  <c:pt idx="12">
                    <c:v>liepa</c:v>
                  </c:pt>
                  <c:pt idx="15">
                    <c:v>rugpjūtis</c:v>
                  </c:pt>
                  <c:pt idx="18">
                    <c:v>rugsėjis</c:v>
                  </c:pt>
                  <c:pt idx="21">
                    <c:v>spalis</c:v>
                  </c:pt>
                  <c:pt idx="24">
                    <c:v>lapkritis</c:v>
                  </c:pt>
                </c:lvl>
              </c:multiLvlStrCache>
            </c:multiLvlStrRef>
          </c:cat>
          <c:val>
            <c:numRef>
              <c:f>'[Microsoft Word diagrama]Lapas1'!$R$53:$AR$53</c:f>
              <c:numCache>
                <c:formatCode>General</c:formatCode>
                <c:ptCount val="27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22</c:v>
                </c:pt>
                <c:pt idx="4">
                  <c:v>23</c:v>
                </c:pt>
                <c:pt idx="5">
                  <c:v>24</c:v>
                </c:pt>
                <c:pt idx="6">
                  <c:v>27</c:v>
                </c:pt>
                <c:pt idx="7">
                  <c:v>57</c:v>
                </c:pt>
                <c:pt idx="8">
                  <c:v>52</c:v>
                </c:pt>
                <c:pt idx="9">
                  <c:v>49</c:v>
                </c:pt>
                <c:pt idx="10">
                  <c:v>32</c:v>
                </c:pt>
                <c:pt idx="11">
                  <c:v>31</c:v>
                </c:pt>
                <c:pt idx="12">
                  <c:v>23</c:v>
                </c:pt>
                <c:pt idx="13">
                  <c:v>22</c:v>
                </c:pt>
                <c:pt idx="14">
                  <c:v>12</c:v>
                </c:pt>
                <c:pt idx="15">
                  <c:v>9</c:v>
                </c:pt>
                <c:pt idx="16">
                  <c:v>11</c:v>
                </c:pt>
                <c:pt idx="17">
                  <c:v>6</c:v>
                </c:pt>
                <c:pt idx="18">
                  <c:v>4</c:v>
                </c:pt>
                <c:pt idx="19">
                  <c:v>4</c:v>
                </c:pt>
                <c:pt idx="20">
                  <c:v>3</c:v>
                </c:pt>
                <c:pt idx="21">
                  <c:v>3</c:v>
                </c:pt>
                <c:pt idx="22">
                  <c:v>1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D3A0-45EE-93F7-A3CC89B1AB5E}"/>
            </c:ext>
          </c:extLst>
        </c:ser>
        <c:ser>
          <c:idx val="0"/>
          <c:order val="12"/>
          <c:tx>
            <c:strRef>
              <c:f>'[Microsoft Word diagrama]Lapas1'!$Q$54</c:f>
              <c:strCache>
                <c:ptCount val="1"/>
                <c:pt idx="0">
                  <c:v>2018</c:v>
                </c:pt>
              </c:strCache>
            </c:strRef>
          </c:tx>
          <c:spPr>
            <a:ln w="28575">
              <a:solidFill>
                <a:sysClr val="windowText" lastClr="000000"/>
              </a:solidFill>
            </a:ln>
          </c:spPr>
          <c:marker>
            <c:symbol val="none"/>
          </c:marker>
          <c:val>
            <c:numRef>
              <c:f>'[Microsoft Word diagrama]Lapas1'!$R$54:$AR$54</c:f>
              <c:numCache>
                <c:formatCode>General</c:formatCode>
                <c:ptCount val="27"/>
                <c:pt idx="1">
                  <c:v>0</c:v>
                </c:pt>
                <c:pt idx="3">
                  <c:v>28</c:v>
                </c:pt>
                <c:pt idx="4">
                  <c:v>31</c:v>
                </c:pt>
                <c:pt idx="5">
                  <c:v>33</c:v>
                </c:pt>
                <c:pt idx="6">
                  <c:v>33</c:v>
                </c:pt>
                <c:pt idx="7">
                  <c:v>8</c:v>
                </c:pt>
                <c:pt idx="8">
                  <c:v>20</c:v>
                </c:pt>
                <c:pt idx="9">
                  <c:v>12</c:v>
                </c:pt>
                <c:pt idx="10">
                  <c:v>4</c:v>
                </c:pt>
                <c:pt idx="11">
                  <c:v>15</c:v>
                </c:pt>
                <c:pt idx="12">
                  <c:v>33</c:v>
                </c:pt>
                <c:pt idx="13">
                  <c:v>13</c:v>
                </c:pt>
                <c:pt idx="14">
                  <c:v>9</c:v>
                </c:pt>
                <c:pt idx="15">
                  <c:v>10</c:v>
                </c:pt>
                <c:pt idx="16">
                  <c:v>7</c:v>
                </c:pt>
                <c:pt idx="17">
                  <c:v>4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  <c:pt idx="21">
                  <c:v>5</c:v>
                </c:pt>
                <c:pt idx="22">
                  <c:v>3</c:v>
                </c:pt>
                <c:pt idx="23">
                  <c:v>0</c:v>
                </c:pt>
                <c:pt idx="24">
                  <c:v>1</c:v>
                </c:pt>
                <c:pt idx="25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C4A-4638-8D53-0A1191CE0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5325696"/>
        <c:axId val="125327616"/>
        <c:extLst>
          <c:ext xmlns:c15="http://schemas.microsoft.com/office/drawing/2012/chart" uri="{02D57815-91ED-43cb-92C2-25804820EDAC}">
            <c15:filteredLin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Lapas1!$Q$41</c15:sqref>
                        </c15:formulaRef>
                      </c:ext>
                    </c:extLst>
                    <c:strCache>
                      <c:ptCount val="1"/>
                      <c:pt idx="0">
                        <c:v>2005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>
                      <c:ext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>
                      <c:ext uri="{02D57815-91ED-43cb-92C2-25804820EDAC}">
                        <c15:formulaRef>
                          <c15:sqref>Lapas1!$R$41:$AR$41</c15:sqref>
                        </c15:formulaRef>
                      </c:ext>
                    </c:extLst>
                    <c:numCache>
                      <c:formatCode>General</c:formatCode>
                      <c:ptCount val="27"/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0-D3A0-45EE-93F7-A3CC89B1AB5E}"/>
                  </c:ext>
                </c:extLst>
              </c15:ser>
            </c15:filteredLineSeries>
            <c15:filteredLineSeries>
              <c15:ser>
                <c:idx val="2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Lapas1!$Q$42</c15:sqref>
                        </c15:formulaRef>
                      </c:ext>
                    </c:extLst>
                    <c:strCache>
                      <c:ptCount val="1"/>
                      <c:pt idx="0">
                        <c:v>2006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Lapas1!$R$42:$AR$42</c15:sqref>
                        </c15:formulaRef>
                      </c:ext>
                    </c:extLst>
                    <c:numCache>
                      <c:formatCode>General</c:formatCode>
                      <c:ptCount val="27"/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1-D3A0-45EE-93F7-A3CC89B1AB5E}"/>
                  </c:ext>
                </c:extLst>
              </c15:ser>
            </c15:filteredLineSeries>
            <c15:filteredLineSeries>
              <c15:ser>
                <c:idx val="3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Lapas1!$Q$43</c15:sqref>
                        </c15:formulaRef>
                      </c:ext>
                    </c:extLst>
                    <c:strCache>
                      <c:ptCount val="1"/>
                      <c:pt idx="0">
                        <c:v>2007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Lapas1!$R$43:$AR$43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3">
                        <c:v>5</c:v>
                      </c:pt>
                      <c:pt idx="4">
                        <c:v>13</c:v>
                      </c:pt>
                      <c:pt idx="5">
                        <c:v>39</c:v>
                      </c:pt>
                      <c:pt idx="6">
                        <c:v>114</c:v>
                      </c:pt>
                      <c:pt idx="7">
                        <c:v>49</c:v>
                      </c:pt>
                      <c:pt idx="8">
                        <c:v>50</c:v>
                      </c:pt>
                      <c:pt idx="9">
                        <c:v>47</c:v>
                      </c:pt>
                      <c:pt idx="10">
                        <c:v>39</c:v>
                      </c:pt>
                      <c:pt idx="11">
                        <c:v>26</c:v>
                      </c:pt>
                      <c:pt idx="12">
                        <c:v>11</c:v>
                      </c:pt>
                      <c:pt idx="13">
                        <c:v>13</c:v>
                      </c:pt>
                      <c:pt idx="14">
                        <c:v>3</c:v>
                      </c:pt>
                      <c:pt idx="15">
                        <c:v>2</c:v>
                      </c:pt>
                      <c:pt idx="16">
                        <c:v>3</c:v>
                      </c:pt>
                      <c:pt idx="17">
                        <c:v>2</c:v>
                      </c:pt>
                      <c:pt idx="18">
                        <c:v>11</c:v>
                      </c:pt>
                      <c:pt idx="19">
                        <c:v>7</c:v>
                      </c:pt>
                      <c:pt idx="20">
                        <c:v>4</c:v>
                      </c:pt>
                      <c:pt idx="21">
                        <c:v>0</c:v>
                      </c:pt>
                      <c:pt idx="22">
                        <c:v>0</c:v>
                      </c:pt>
                      <c:pt idx="23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D3A0-45EE-93F7-A3CC89B1AB5E}"/>
                  </c:ext>
                </c:extLst>
              </c15:ser>
            </c15:filteredLineSeries>
            <c15:filteredLineSeries>
              <c15:ser>
                <c:idx val="4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Lapas1!$Q$44</c15:sqref>
                        </c15:formulaRef>
                      </c:ext>
                    </c:extLst>
                    <c:strCache>
                      <c:ptCount val="1"/>
                      <c:pt idx="0">
                        <c:v>2008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Lapas1!$R$44:$AR$44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3">
                        <c:v>11</c:v>
                      </c:pt>
                      <c:pt idx="4">
                        <c:v>15</c:v>
                      </c:pt>
                      <c:pt idx="5">
                        <c:v>79</c:v>
                      </c:pt>
                      <c:pt idx="6">
                        <c:v>129</c:v>
                      </c:pt>
                      <c:pt idx="7">
                        <c:v>74</c:v>
                      </c:pt>
                      <c:pt idx="8">
                        <c:v>52</c:v>
                      </c:pt>
                      <c:pt idx="9">
                        <c:v>45</c:v>
                      </c:pt>
                      <c:pt idx="10">
                        <c:v>58</c:v>
                      </c:pt>
                      <c:pt idx="11">
                        <c:v>46</c:v>
                      </c:pt>
                      <c:pt idx="12">
                        <c:v>42</c:v>
                      </c:pt>
                      <c:pt idx="13">
                        <c:v>46</c:v>
                      </c:pt>
                      <c:pt idx="14">
                        <c:v>33</c:v>
                      </c:pt>
                      <c:pt idx="15">
                        <c:v>31</c:v>
                      </c:pt>
                      <c:pt idx="16">
                        <c:v>15</c:v>
                      </c:pt>
                      <c:pt idx="17">
                        <c:v>6</c:v>
                      </c:pt>
                      <c:pt idx="18">
                        <c:v>11</c:v>
                      </c:pt>
                      <c:pt idx="19">
                        <c:v>8</c:v>
                      </c:pt>
                      <c:pt idx="20">
                        <c:v>4</c:v>
                      </c:pt>
                      <c:pt idx="21">
                        <c:v>3</c:v>
                      </c:pt>
                      <c:pt idx="22">
                        <c:v>2</c:v>
                      </c:pt>
                      <c:pt idx="23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D3A0-45EE-93F7-A3CC89B1AB5E}"/>
                  </c:ext>
                </c:extLst>
              </c15:ser>
            </c15:filteredLineSeries>
            <c15:filteredLineSeries>
              <c15:ser>
                <c:idx val="5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Lapas1!$Q$45</c15:sqref>
                        </c15:formulaRef>
                      </c:ext>
                    </c:extLst>
                    <c:strCache>
                      <c:ptCount val="1"/>
                      <c:pt idx="0">
                        <c:v>2009</c:v>
                      </c:pt>
                    </c:strCache>
                  </c:strRef>
                </c:tx>
                <c:spPr>
                  <a:ln w="28575" cap="rnd">
                    <a:solidFill>
                      <a:schemeClr val="accent5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Lapas1!$R$45:$AR$45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3">
                        <c:v>5</c:v>
                      </c:pt>
                      <c:pt idx="4">
                        <c:v>10</c:v>
                      </c:pt>
                      <c:pt idx="5">
                        <c:v>15</c:v>
                      </c:pt>
                      <c:pt idx="6">
                        <c:v>39</c:v>
                      </c:pt>
                      <c:pt idx="7">
                        <c:v>112</c:v>
                      </c:pt>
                      <c:pt idx="8">
                        <c:v>143</c:v>
                      </c:pt>
                      <c:pt idx="13">
                        <c:v>31</c:v>
                      </c:pt>
                      <c:pt idx="14">
                        <c:v>26</c:v>
                      </c:pt>
                      <c:pt idx="15">
                        <c:v>13</c:v>
                      </c:pt>
                      <c:pt idx="16">
                        <c:v>5</c:v>
                      </c:pt>
                      <c:pt idx="17">
                        <c:v>5</c:v>
                      </c:pt>
                      <c:pt idx="18">
                        <c:v>11</c:v>
                      </c:pt>
                      <c:pt idx="19">
                        <c:v>14</c:v>
                      </c:pt>
                      <c:pt idx="20">
                        <c:v>3</c:v>
                      </c:pt>
                      <c:pt idx="21">
                        <c:v>2</c:v>
                      </c:pt>
                      <c:pt idx="22">
                        <c:v>0</c:v>
                      </c:pt>
                      <c:pt idx="23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D3A0-45EE-93F7-A3CC89B1AB5E}"/>
                  </c:ext>
                </c:extLst>
              </c15:ser>
            </c15:filteredLineSeries>
            <c15:filteredLineSeries>
              <c15:ser>
                <c:idx val="6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Lapas1!$Q$46</c15:sqref>
                        </c15:formulaRef>
                      </c:ext>
                    </c:extLst>
                    <c:strCache>
                      <c:ptCount val="1"/>
                      <c:pt idx="0">
                        <c:v>2010</c:v>
                      </c:pt>
                    </c:strCache>
                  </c:strRef>
                </c:tx>
                <c:spPr>
                  <a:ln w="28575" cap="rnd">
                    <a:solidFill>
                      <a:schemeClr val="accent6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Lapas1!$R$46:$AR$46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3">
                        <c:v>0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112</c:v>
                      </c:pt>
                      <c:pt idx="7">
                        <c:v>97</c:v>
                      </c:pt>
                      <c:pt idx="8">
                        <c:v>70</c:v>
                      </c:pt>
                      <c:pt idx="9">
                        <c:v>74</c:v>
                      </c:pt>
                      <c:pt idx="10">
                        <c:v>46</c:v>
                      </c:pt>
                      <c:pt idx="11">
                        <c:v>38</c:v>
                      </c:pt>
                      <c:pt idx="15">
                        <c:v>9</c:v>
                      </c:pt>
                      <c:pt idx="16">
                        <c:v>5</c:v>
                      </c:pt>
                      <c:pt idx="17">
                        <c:v>4</c:v>
                      </c:pt>
                      <c:pt idx="18">
                        <c:v>2</c:v>
                      </c:pt>
                      <c:pt idx="19">
                        <c:v>3</c:v>
                      </c:pt>
                      <c:pt idx="20">
                        <c:v>10</c:v>
                      </c:pt>
                      <c:pt idx="21">
                        <c:v>12</c:v>
                      </c:pt>
                      <c:pt idx="22">
                        <c:v>5</c:v>
                      </c:pt>
                      <c:pt idx="23">
                        <c:v>1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D3A0-45EE-93F7-A3CC89B1AB5E}"/>
                  </c:ext>
                </c:extLst>
              </c15:ser>
            </c15:filteredLineSeries>
            <c15:filteredLineSeries>
              <c15:ser>
                <c:idx val="7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Lapas1!$Q$47</c15:sqref>
                        </c15:formulaRef>
                      </c:ext>
                    </c:extLst>
                    <c:strCache>
                      <c:ptCount val="1"/>
                      <c:pt idx="0">
                        <c:v>2011</c:v>
                      </c:pt>
                    </c:strCache>
                  </c:strRef>
                </c:tx>
                <c:spPr>
                  <a:ln w="28575" cap="rnd">
                    <a:solidFill>
                      <a:schemeClr val="accent1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Lapas1!$R$47:$AR$47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7</c:v>
                      </c:pt>
                      <c:pt idx="4">
                        <c:v>8</c:v>
                      </c:pt>
                      <c:pt idx="5">
                        <c:v>25</c:v>
                      </c:pt>
                      <c:pt idx="6">
                        <c:v>35</c:v>
                      </c:pt>
                      <c:pt idx="7">
                        <c:v>30</c:v>
                      </c:pt>
                      <c:pt idx="8">
                        <c:v>56</c:v>
                      </c:pt>
                      <c:pt idx="9">
                        <c:v>29</c:v>
                      </c:pt>
                      <c:pt idx="10">
                        <c:v>31</c:v>
                      </c:pt>
                      <c:pt idx="11">
                        <c:v>24</c:v>
                      </c:pt>
                      <c:pt idx="15">
                        <c:v>10</c:v>
                      </c:pt>
                      <c:pt idx="16">
                        <c:v>13</c:v>
                      </c:pt>
                      <c:pt idx="17">
                        <c:v>14</c:v>
                      </c:pt>
                      <c:pt idx="18">
                        <c:v>15</c:v>
                      </c:pt>
                      <c:pt idx="19">
                        <c:v>13</c:v>
                      </c:pt>
                      <c:pt idx="20">
                        <c:v>9</c:v>
                      </c:pt>
                      <c:pt idx="21">
                        <c:v>7</c:v>
                      </c:pt>
                      <c:pt idx="22">
                        <c:v>2</c:v>
                      </c:pt>
                      <c:pt idx="23">
                        <c:v>0</c:v>
                      </c:pt>
                      <c:pt idx="24">
                        <c:v>0</c:v>
                      </c:pt>
                      <c:pt idx="25">
                        <c:v>0</c:v>
                      </c:pt>
                      <c:pt idx="26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D3A0-45EE-93F7-A3CC89B1AB5E}"/>
                  </c:ext>
                </c:extLst>
              </c15:ser>
            </c15:filteredLineSeries>
            <c15:filteredLineSeries>
              <c15:ser>
                <c:idx val="8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Lapas1!$Q$48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ln w="28575" cap="rnd">
                    <a:solidFill>
                      <a:schemeClr val="accent2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Lapas1!$R$48:$AR$48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0">
                        <c:v>0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2</c:v>
                      </c:pt>
                      <c:pt idx="4">
                        <c:v>2</c:v>
                      </c:pt>
                      <c:pt idx="5">
                        <c:v>5</c:v>
                      </c:pt>
                      <c:pt idx="6">
                        <c:v>38</c:v>
                      </c:pt>
                      <c:pt idx="7">
                        <c:v>28</c:v>
                      </c:pt>
                      <c:pt idx="8">
                        <c:v>20</c:v>
                      </c:pt>
                      <c:pt idx="9">
                        <c:v>32</c:v>
                      </c:pt>
                      <c:pt idx="10">
                        <c:v>57</c:v>
                      </c:pt>
                      <c:pt idx="11">
                        <c:v>47</c:v>
                      </c:pt>
                      <c:pt idx="15">
                        <c:v>21</c:v>
                      </c:pt>
                      <c:pt idx="16">
                        <c:v>20</c:v>
                      </c:pt>
                      <c:pt idx="17">
                        <c:v>11</c:v>
                      </c:pt>
                      <c:pt idx="18">
                        <c:v>7</c:v>
                      </c:pt>
                      <c:pt idx="19">
                        <c:v>1</c:v>
                      </c:pt>
                      <c:pt idx="20">
                        <c:v>0</c:v>
                      </c:pt>
                      <c:pt idx="21">
                        <c:v>0</c:v>
                      </c:pt>
                      <c:pt idx="22">
                        <c:v>0</c:v>
                      </c:pt>
                      <c:pt idx="23">
                        <c:v>0</c:v>
                      </c:pt>
                      <c:pt idx="24">
                        <c:v>0</c:v>
                      </c:pt>
                      <c:pt idx="25">
                        <c:v>0</c:v>
                      </c:pt>
                      <c:pt idx="26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D3A0-45EE-93F7-A3CC89B1AB5E}"/>
                  </c:ext>
                </c:extLst>
              </c15:ser>
            </c15:filteredLineSeries>
            <c15:filteredLineSeries>
              <c15:ser>
                <c:idx val="9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Lapas1!$Q$49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ln w="28575" cap="rnd">
                    <a:solidFill>
                      <a:schemeClr val="accent3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Lapas1!$R$49:$AR$49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7</c:v>
                      </c:pt>
                      <c:pt idx="5">
                        <c:v>3</c:v>
                      </c:pt>
                      <c:pt idx="6">
                        <c:v>11</c:v>
                      </c:pt>
                      <c:pt idx="7">
                        <c:v>16</c:v>
                      </c:pt>
                      <c:pt idx="8">
                        <c:v>11</c:v>
                      </c:pt>
                      <c:pt idx="9">
                        <c:v>10</c:v>
                      </c:pt>
                      <c:pt idx="10">
                        <c:v>11</c:v>
                      </c:pt>
                      <c:pt idx="11">
                        <c:v>10</c:v>
                      </c:pt>
                      <c:pt idx="12">
                        <c:v>9</c:v>
                      </c:pt>
                      <c:pt idx="13">
                        <c:v>5</c:v>
                      </c:pt>
                      <c:pt idx="14">
                        <c:v>9</c:v>
                      </c:pt>
                      <c:pt idx="15">
                        <c:v>6</c:v>
                      </c:pt>
                      <c:pt idx="16">
                        <c:v>4</c:v>
                      </c:pt>
                      <c:pt idx="17">
                        <c:v>7</c:v>
                      </c:pt>
                      <c:pt idx="18">
                        <c:v>1</c:v>
                      </c:pt>
                      <c:pt idx="19">
                        <c:v>2</c:v>
                      </c:pt>
                      <c:pt idx="20">
                        <c:v>0</c:v>
                      </c:pt>
                      <c:pt idx="21">
                        <c:v>2</c:v>
                      </c:pt>
                      <c:pt idx="22">
                        <c:v>1</c:v>
                      </c:pt>
                      <c:pt idx="23">
                        <c:v>0</c:v>
                      </c:pt>
                      <c:pt idx="24">
                        <c:v>0</c:v>
                      </c:pt>
                      <c:pt idx="25">
                        <c:v>0</c:v>
                      </c:pt>
                      <c:pt idx="26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D3A0-45EE-93F7-A3CC89B1AB5E}"/>
                  </c:ext>
                </c:extLst>
              </c15:ser>
            </c15:filteredLineSeries>
            <c15:filteredLineSeries>
              <c15:ser>
                <c:idx val="10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Lapas1!$Q$50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ln w="28575" cap="rnd">
                    <a:solidFill>
                      <a:schemeClr val="accent4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Lapas1!$R$50:$AR$50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0">
                        <c:v>0</c:v>
                      </c:pt>
                      <c:pt idx="1">
                        <c:v>3</c:v>
                      </c:pt>
                      <c:pt idx="2">
                        <c:v>8</c:v>
                      </c:pt>
                      <c:pt idx="3">
                        <c:v>13</c:v>
                      </c:pt>
                      <c:pt idx="4">
                        <c:v>32</c:v>
                      </c:pt>
                      <c:pt idx="5">
                        <c:v>20</c:v>
                      </c:pt>
                      <c:pt idx="6">
                        <c:v>16</c:v>
                      </c:pt>
                      <c:pt idx="7">
                        <c:v>19</c:v>
                      </c:pt>
                      <c:pt idx="8">
                        <c:v>20</c:v>
                      </c:pt>
                      <c:pt idx="9">
                        <c:v>37</c:v>
                      </c:pt>
                      <c:pt idx="10">
                        <c:v>38</c:v>
                      </c:pt>
                      <c:pt idx="11">
                        <c:v>33</c:v>
                      </c:pt>
                      <c:pt idx="18">
                        <c:v>4</c:v>
                      </c:pt>
                      <c:pt idx="19">
                        <c:v>4</c:v>
                      </c:pt>
                      <c:pt idx="20">
                        <c:v>5</c:v>
                      </c:pt>
                      <c:pt idx="21">
                        <c:v>3</c:v>
                      </c:pt>
                      <c:pt idx="22">
                        <c:v>1</c:v>
                      </c:pt>
                      <c:pt idx="23">
                        <c:v>0</c:v>
                      </c:pt>
                      <c:pt idx="24">
                        <c:v>0</c:v>
                      </c:pt>
                      <c:pt idx="25">
                        <c:v>0</c:v>
                      </c:pt>
                      <c:pt idx="26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D3A0-45EE-93F7-A3CC89B1AB5E}"/>
                  </c:ext>
                </c:extLst>
              </c15:ser>
            </c15:filteredLineSeries>
            <c15:filteredLineSeries>
              <c15:ser>
                <c:idx val="11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Lapas1!$Q$51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ln w="28575" cap="rnd">
                    <a:solidFill>
                      <a:schemeClr val="accent5">
                        <a:lumMod val="60000"/>
                      </a:schemeClr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multiLvl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Lapas1!$R$39:$AR$40</c15:sqref>
                        </c15:formulaRef>
                      </c:ext>
                    </c:extLst>
                    <c:multiLvlStrCache>
                      <c:ptCount val="27"/>
                      <c:lvl>
                        <c:pt idx="0">
                          <c:v>I</c:v>
                        </c:pt>
                        <c:pt idx="1">
                          <c:v>II</c:v>
                        </c:pt>
                        <c:pt idx="2">
                          <c:v>III</c:v>
                        </c:pt>
                        <c:pt idx="3">
                          <c:v>I</c:v>
                        </c:pt>
                        <c:pt idx="4">
                          <c:v>II</c:v>
                        </c:pt>
                        <c:pt idx="5">
                          <c:v>III</c:v>
                        </c:pt>
                        <c:pt idx="6">
                          <c:v>I</c:v>
                        </c:pt>
                        <c:pt idx="7">
                          <c:v>II</c:v>
                        </c:pt>
                        <c:pt idx="8">
                          <c:v>III</c:v>
                        </c:pt>
                        <c:pt idx="9">
                          <c:v>I</c:v>
                        </c:pt>
                        <c:pt idx="10">
                          <c:v>II</c:v>
                        </c:pt>
                        <c:pt idx="11">
                          <c:v>III</c:v>
                        </c:pt>
                        <c:pt idx="12">
                          <c:v>I</c:v>
                        </c:pt>
                        <c:pt idx="13">
                          <c:v>II</c:v>
                        </c:pt>
                        <c:pt idx="14">
                          <c:v>III</c:v>
                        </c:pt>
                        <c:pt idx="15">
                          <c:v>I</c:v>
                        </c:pt>
                        <c:pt idx="16">
                          <c:v>II</c:v>
                        </c:pt>
                        <c:pt idx="17">
                          <c:v>III</c:v>
                        </c:pt>
                        <c:pt idx="18">
                          <c:v>I</c:v>
                        </c:pt>
                        <c:pt idx="19">
                          <c:v>II</c:v>
                        </c:pt>
                        <c:pt idx="20">
                          <c:v>III</c:v>
                        </c:pt>
                        <c:pt idx="21">
                          <c:v>I</c:v>
                        </c:pt>
                        <c:pt idx="22">
                          <c:v>II</c:v>
                        </c:pt>
                        <c:pt idx="23">
                          <c:v>III</c:v>
                        </c:pt>
                        <c:pt idx="24">
                          <c:v>I</c:v>
                        </c:pt>
                        <c:pt idx="25">
                          <c:v>II</c:v>
                        </c:pt>
                        <c:pt idx="26">
                          <c:v>III</c:v>
                        </c:pt>
                      </c:lvl>
                      <c:lvl>
                        <c:pt idx="0">
                          <c:v>kovas</c:v>
                        </c:pt>
                        <c:pt idx="3">
                          <c:v>balandis</c:v>
                        </c:pt>
                        <c:pt idx="6">
                          <c:v>gegužė</c:v>
                        </c:pt>
                        <c:pt idx="9">
                          <c:v>birželis</c:v>
                        </c:pt>
                        <c:pt idx="12">
                          <c:v>liepa</c:v>
                        </c:pt>
                        <c:pt idx="15">
                          <c:v>rugpjūtis</c:v>
                        </c:pt>
                        <c:pt idx="18">
                          <c:v>rugsėjis</c:v>
                        </c:pt>
                        <c:pt idx="21">
                          <c:v>spalis</c:v>
                        </c:pt>
                        <c:pt idx="24">
                          <c:v>lapkritis</c:v>
                        </c:pt>
                      </c:lvl>
                    </c:multiLvlStrCache>
                  </c:multiLvl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Lapas1!$R$51:$AR$51</c15:sqref>
                        </c15:formulaRef>
                      </c:ext>
                    </c:extLst>
                    <c:numCache>
                      <c:formatCode>General</c:formatCode>
                      <c:ptCount val="27"/>
                      <c:pt idx="0">
                        <c:v>0</c:v>
                      </c:pt>
                      <c:pt idx="1">
                        <c:v>8</c:v>
                      </c:pt>
                      <c:pt idx="2">
                        <c:v>4</c:v>
                      </c:pt>
                      <c:pt idx="3">
                        <c:v>23</c:v>
                      </c:pt>
                      <c:pt idx="4">
                        <c:v>27</c:v>
                      </c:pt>
                      <c:pt idx="5">
                        <c:v>20</c:v>
                      </c:pt>
                      <c:pt idx="6">
                        <c:v>10</c:v>
                      </c:pt>
                      <c:pt idx="7">
                        <c:v>14</c:v>
                      </c:pt>
                      <c:pt idx="8">
                        <c:v>13</c:v>
                      </c:pt>
                      <c:pt idx="9">
                        <c:v>13</c:v>
                      </c:pt>
                      <c:pt idx="10">
                        <c:v>12</c:v>
                      </c:pt>
                      <c:pt idx="11">
                        <c:v>9</c:v>
                      </c:pt>
                      <c:pt idx="12">
                        <c:v>10</c:v>
                      </c:pt>
                      <c:pt idx="13">
                        <c:v>7</c:v>
                      </c:pt>
                      <c:pt idx="14">
                        <c:v>11</c:v>
                      </c:pt>
                      <c:pt idx="15">
                        <c:v>16</c:v>
                      </c:pt>
                      <c:pt idx="16">
                        <c:v>4</c:v>
                      </c:pt>
                      <c:pt idx="17">
                        <c:v>14</c:v>
                      </c:pt>
                      <c:pt idx="18">
                        <c:v>9</c:v>
                      </c:pt>
                      <c:pt idx="19">
                        <c:v>5</c:v>
                      </c:pt>
                      <c:pt idx="20">
                        <c:v>4</c:v>
                      </c:pt>
                      <c:pt idx="21">
                        <c:v>0</c:v>
                      </c:pt>
                      <c:pt idx="22">
                        <c:v>1</c:v>
                      </c:pt>
                      <c:pt idx="23">
                        <c:v>1</c:v>
                      </c:pt>
                      <c:pt idx="24">
                        <c:v>0</c:v>
                      </c:pt>
                      <c:pt idx="25">
                        <c:v>0</c:v>
                      </c:pt>
                      <c:pt idx="26">
                        <c:v>0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D3A0-45EE-93F7-A3CC89B1AB5E}"/>
                  </c:ext>
                </c:extLst>
              </c15:ser>
            </c15:filteredLineSeries>
          </c:ext>
        </c:extLst>
      </c:lineChart>
      <c:catAx>
        <c:axId val="12532569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dešimtadieniai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25327616"/>
        <c:crosses val="autoZero"/>
        <c:auto val="1"/>
        <c:lblAlgn val="ctr"/>
        <c:lblOffset val="100"/>
        <c:noMultiLvlLbl val="0"/>
      </c:catAx>
      <c:valAx>
        <c:axId val="125327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rastų</a:t>
                </a:r>
                <a:r>
                  <a:rPr lang="lt-LT" baseline="0"/>
                  <a:t> erkių sk.</a:t>
                </a:r>
                <a:endParaRPr lang="lt-LT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2532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047569803516028E-2"/>
          <c:y val="3.7606837606837605E-2"/>
          <c:w val="0.91591706960322616"/>
          <c:h val="0.86495726495726499"/>
        </c:manualLayout>
      </c:layout>
      <c:lineChart>
        <c:grouping val="standard"/>
        <c:varyColors val="0"/>
        <c:ser>
          <c:idx val="0"/>
          <c:order val="0"/>
          <c:tx>
            <c:strRef>
              <c:f>Sheet1!$A$69</c:f>
              <c:strCache>
                <c:ptCount val="1"/>
                <c:pt idx="0">
                  <c:v>Kauno apskrityje </c:v>
                </c:pt>
              </c:strCache>
            </c:strRef>
          </c:tx>
          <c:spPr>
            <a:ln w="12888">
              <a:solidFill>
                <a:schemeClr val="accent1"/>
              </a:solidFill>
              <a:prstDash val="solid"/>
            </a:ln>
          </c:spPr>
          <c:marker>
            <c:symbol val="square"/>
            <c:size val="5"/>
            <c:spPr>
              <a:ln>
                <a:solidFill>
                  <a:schemeClr val="accent1"/>
                </a:solidFill>
              </a:ln>
            </c:spPr>
          </c:marker>
          <c:cat>
            <c:strRef>
              <c:f>Sheet1!$B$67:$S$67</c:f>
              <c:strCache>
                <c:ptCount val="18"/>
                <c:pt idx="0">
                  <c:v>2001 m.</c:v>
                </c:pt>
                <c:pt idx="1">
                  <c:v>2002 m.</c:v>
                </c:pt>
                <c:pt idx="2">
                  <c:v>2003 m.</c:v>
                </c:pt>
                <c:pt idx="3">
                  <c:v>2004 m.</c:v>
                </c:pt>
                <c:pt idx="4">
                  <c:v>2005 m.</c:v>
                </c:pt>
                <c:pt idx="5">
                  <c:v>2006 m.</c:v>
                </c:pt>
                <c:pt idx="6">
                  <c:v>2007 m.</c:v>
                </c:pt>
                <c:pt idx="7">
                  <c:v>2008 m.</c:v>
                </c:pt>
                <c:pt idx="8">
                  <c:v>2009 m.</c:v>
                </c:pt>
                <c:pt idx="9">
                  <c:v>2010 m. </c:v>
                </c:pt>
                <c:pt idx="10">
                  <c:v>2011 m.</c:v>
                </c:pt>
                <c:pt idx="11">
                  <c:v>2012 m.</c:v>
                </c:pt>
                <c:pt idx="12">
                  <c:v>2013 m.</c:v>
                </c:pt>
                <c:pt idx="13">
                  <c:v>2014 m.</c:v>
                </c:pt>
                <c:pt idx="14">
                  <c:v>2015 m.</c:v>
                </c:pt>
                <c:pt idx="15">
                  <c:v>2016 m.</c:v>
                </c:pt>
                <c:pt idx="16">
                  <c:v>2017 m.</c:v>
                </c:pt>
                <c:pt idx="17">
                  <c:v>2018 m.</c:v>
                </c:pt>
              </c:strCache>
            </c:strRef>
          </c:cat>
          <c:val>
            <c:numRef>
              <c:f>Sheet1!$B$69:$S$69</c:f>
              <c:numCache>
                <c:formatCode>General</c:formatCode>
                <c:ptCount val="18"/>
                <c:pt idx="0">
                  <c:v>57</c:v>
                </c:pt>
                <c:pt idx="1">
                  <c:v>45</c:v>
                </c:pt>
                <c:pt idx="2">
                  <c:v>177</c:v>
                </c:pt>
                <c:pt idx="3">
                  <c:v>68</c:v>
                </c:pt>
                <c:pt idx="4">
                  <c:v>50</c:v>
                </c:pt>
                <c:pt idx="5">
                  <c:v>76</c:v>
                </c:pt>
                <c:pt idx="6">
                  <c:v>39</c:v>
                </c:pt>
                <c:pt idx="7">
                  <c:v>34</c:v>
                </c:pt>
                <c:pt idx="8">
                  <c:v>134</c:v>
                </c:pt>
                <c:pt idx="9">
                  <c:v>89</c:v>
                </c:pt>
                <c:pt idx="10">
                  <c:v>83</c:v>
                </c:pt>
                <c:pt idx="11">
                  <c:v>96</c:v>
                </c:pt>
                <c:pt idx="12">
                  <c:v>121</c:v>
                </c:pt>
                <c:pt idx="13">
                  <c:v>86</c:v>
                </c:pt>
                <c:pt idx="14">
                  <c:v>96.6</c:v>
                </c:pt>
                <c:pt idx="15">
                  <c:v>140</c:v>
                </c:pt>
                <c:pt idx="16">
                  <c:v>107</c:v>
                </c:pt>
                <c:pt idx="17">
                  <c:v>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2B0-4B92-AA0A-C04BD0667994}"/>
            </c:ext>
          </c:extLst>
        </c:ser>
        <c:ser>
          <c:idx val="1"/>
          <c:order val="1"/>
          <c:tx>
            <c:strRef>
              <c:f>Sheet1!$A$70</c:f>
              <c:strCache>
                <c:ptCount val="1"/>
                <c:pt idx="0">
                  <c:v>Lietuvoje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Sheet1!$B$67:$S$67</c:f>
              <c:strCache>
                <c:ptCount val="18"/>
                <c:pt idx="0">
                  <c:v>2001 m.</c:v>
                </c:pt>
                <c:pt idx="1">
                  <c:v>2002 m.</c:v>
                </c:pt>
                <c:pt idx="2">
                  <c:v>2003 m.</c:v>
                </c:pt>
                <c:pt idx="3">
                  <c:v>2004 m.</c:v>
                </c:pt>
                <c:pt idx="4">
                  <c:v>2005 m.</c:v>
                </c:pt>
                <c:pt idx="5">
                  <c:v>2006 m.</c:v>
                </c:pt>
                <c:pt idx="6">
                  <c:v>2007 m.</c:v>
                </c:pt>
                <c:pt idx="7">
                  <c:v>2008 m.</c:v>
                </c:pt>
                <c:pt idx="8">
                  <c:v>2009 m.</c:v>
                </c:pt>
                <c:pt idx="9">
                  <c:v>2010 m. </c:v>
                </c:pt>
                <c:pt idx="10">
                  <c:v>2011 m.</c:v>
                </c:pt>
                <c:pt idx="11">
                  <c:v>2012 m.</c:v>
                </c:pt>
                <c:pt idx="12">
                  <c:v>2013 m.</c:v>
                </c:pt>
                <c:pt idx="13">
                  <c:v>2014 m.</c:v>
                </c:pt>
                <c:pt idx="14">
                  <c:v>2015 m.</c:v>
                </c:pt>
                <c:pt idx="15">
                  <c:v>2016 m.</c:v>
                </c:pt>
                <c:pt idx="16">
                  <c:v>2017 m.</c:v>
                </c:pt>
                <c:pt idx="17">
                  <c:v>2018 m.</c:v>
                </c:pt>
              </c:strCache>
            </c:strRef>
          </c:cat>
          <c:val>
            <c:numRef>
              <c:f>Sheet1!$B$70:$S$70</c:f>
              <c:numCache>
                <c:formatCode>General</c:formatCode>
                <c:ptCount val="18"/>
                <c:pt idx="2">
                  <c:v>106</c:v>
                </c:pt>
                <c:pt idx="3">
                  <c:v>50.4</c:v>
                </c:pt>
                <c:pt idx="4">
                  <c:v>33.799999999999997</c:v>
                </c:pt>
                <c:pt idx="5">
                  <c:v>59</c:v>
                </c:pt>
                <c:pt idx="6">
                  <c:v>41</c:v>
                </c:pt>
                <c:pt idx="7">
                  <c:v>34</c:v>
                </c:pt>
                <c:pt idx="8">
                  <c:v>107</c:v>
                </c:pt>
                <c:pt idx="9">
                  <c:v>77</c:v>
                </c:pt>
                <c:pt idx="10">
                  <c:v>74</c:v>
                </c:pt>
                <c:pt idx="11">
                  <c:v>82</c:v>
                </c:pt>
                <c:pt idx="12">
                  <c:v>87</c:v>
                </c:pt>
                <c:pt idx="13">
                  <c:v>77</c:v>
                </c:pt>
                <c:pt idx="14">
                  <c:v>78</c:v>
                </c:pt>
                <c:pt idx="15">
                  <c:v>102</c:v>
                </c:pt>
                <c:pt idx="16">
                  <c:v>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DF-483C-A7FD-F11AD366D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835520"/>
        <c:axId val="126017536"/>
      </c:lineChart>
      <c:catAx>
        <c:axId val="125835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0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t-LT"/>
          </a:p>
        </c:txPr>
        <c:crossAx val="126017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6017536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lt-LT"/>
                  <a:t>rodiklis 100 000 gyv.</a:t>
                </a:r>
              </a:p>
            </c:rich>
          </c:tx>
          <c:layout>
            <c:manualLayout>
              <c:xMode val="edge"/>
              <c:yMode val="edge"/>
              <c:x val="1.1375499160375106E-2"/>
              <c:y val="0.37264938699638672"/>
            </c:manualLayout>
          </c:layout>
          <c:overlay val="0"/>
          <c:spPr>
            <a:noFill/>
            <a:ln w="8592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0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t-LT"/>
          </a:p>
        </c:txPr>
        <c:crossAx val="125835520"/>
        <c:crosses val="autoZero"/>
        <c:crossBetween val="between"/>
      </c:valAx>
      <c:spPr>
        <a:noFill/>
        <a:ln w="8592">
          <a:noFill/>
        </a:ln>
      </c:spPr>
    </c:plotArea>
    <c:legend>
      <c:legendPos val="r"/>
      <c:layout>
        <c:manualLayout>
          <c:xMode val="edge"/>
          <c:yMode val="edge"/>
          <c:x val="0.77072036664370636"/>
          <c:y val="3.5213489560489294E-2"/>
          <c:w val="0.13468988006944105"/>
          <c:h val="0.13994329701996477"/>
        </c:manualLayout>
      </c:layout>
      <c:overlay val="0"/>
      <c:spPr>
        <a:solidFill>
          <a:srgbClr val="FFFFFF"/>
        </a:solidFill>
        <a:ln w="1074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38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t-L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'[Microsoft Word diagrama]laimo'!$A$8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'[Microsoft Word diagrama]laimo'!$B$7:$M$7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'[Microsoft Word diagrama]laimo'!$B$8:$M$8</c:f>
              <c:numCache>
                <c:formatCode>General</c:formatCode>
                <c:ptCount val="12"/>
                <c:pt idx="0">
                  <c:v>6</c:v>
                </c:pt>
                <c:pt idx="1">
                  <c:v>8</c:v>
                </c:pt>
                <c:pt idx="2">
                  <c:v>4</c:v>
                </c:pt>
                <c:pt idx="3">
                  <c:v>19</c:v>
                </c:pt>
                <c:pt idx="4">
                  <c:v>11</c:v>
                </c:pt>
                <c:pt idx="5">
                  <c:v>107</c:v>
                </c:pt>
                <c:pt idx="6">
                  <c:v>124</c:v>
                </c:pt>
                <c:pt idx="7">
                  <c:v>196</c:v>
                </c:pt>
                <c:pt idx="8">
                  <c:v>161</c:v>
                </c:pt>
                <c:pt idx="9">
                  <c:v>90</c:v>
                </c:pt>
                <c:pt idx="10">
                  <c:v>52</c:v>
                </c:pt>
                <c:pt idx="1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B4-44D2-91FF-E4322E134465}"/>
            </c:ext>
          </c:extLst>
        </c:ser>
        <c:ser>
          <c:idx val="1"/>
          <c:order val="1"/>
          <c:tx>
            <c:strRef>
              <c:f>'[Microsoft Word diagrama]laimo'!$A$9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'[Microsoft Word diagrama]laimo'!$B$7:$M$7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'[Microsoft Word diagrama]laimo'!$B$9:$M$9</c:f>
              <c:numCache>
                <c:formatCode>General</c:formatCode>
                <c:ptCount val="12"/>
                <c:pt idx="0">
                  <c:v>22</c:v>
                </c:pt>
                <c:pt idx="1">
                  <c:v>7</c:v>
                </c:pt>
                <c:pt idx="2">
                  <c:v>2</c:v>
                </c:pt>
                <c:pt idx="3">
                  <c:v>7</c:v>
                </c:pt>
                <c:pt idx="4">
                  <c:v>29</c:v>
                </c:pt>
                <c:pt idx="5">
                  <c:v>49</c:v>
                </c:pt>
                <c:pt idx="6">
                  <c:v>101</c:v>
                </c:pt>
                <c:pt idx="7">
                  <c:v>108</c:v>
                </c:pt>
                <c:pt idx="8">
                  <c:v>86</c:v>
                </c:pt>
                <c:pt idx="9">
                  <c:v>105</c:v>
                </c:pt>
                <c:pt idx="10">
                  <c:v>53</c:v>
                </c:pt>
                <c:pt idx="11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B4-44D2-91FF-E4322E134465}"/>
            </c:ext>
          </c:extLst>
        </c:ser>
        <c:ser>
          <c:idx val="2"/>
          <c:order val="2"/>
          <c:tx>
            <c:strRef>
              <c:f>'[Microsoft Word diagrama]laimo'!$A$10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invertIfNegative val="0"/>
          <c:cat>
            <c:numRef>
              <c:f>'[Microsoft Word diagrama]laimo'!$B$7:$M$7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'[Microsoft Word diagrama]laimo'!$B$10:$M$10</c:f>
              <c:numCache>
                <c:formatCode>General</c:formatCode>
                <c:ptCount val="12"/>
                <c:pt idx="0">
                  <c:v>8</c:v>
                </c:pt>
                <c:pt idx="1">
                  <c:v>6</c:v>
                </c:pt>
                <c:pt idx="2">
                  <c:v>0</c:v>
                </c:pt>
                <c:pt idx="3">
                  <c:v>5</c:v>
                </c:pt>
                <c:pt idx="4">
                  <c:v>44</c:v>
                </c:pt>
                <c:pt idx="5">
                  <c:v>53</c:v>
                </c:pt>
                <c:pt idx="6">
                  <c:v>85</c:v>
                </c:pt>
                <c:pt idx="7">
                  <c:v>102</c:v>
                </c:pt>
                <c:pt idx="8">
                  <c:v>87</c:v>
                </c:pt>
                <c:pt idx="9">
                  <c:v>71</c:v>
                </c:pt>
                <c:pt idx="10">
                  <c:v>29</c:v>
                </c:pt>
                <c:pt idx="1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CD-44CA-BEC0-4E75A6F502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379712"/>
        <c:axId val="149423616"/>
      </c:barChart>
      <c:catAx>
        <c:axId val="1493797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metų mėnesiai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9423616"/>
        <c:crosses val="autoZero"/>
        <c:auto val="1"/>
        <c:lblAlgn val="ctr"/>
        <c:lblOffset val="100"/>
        <c:noMultiLvlLbl val="0"/>
      </c:catAx>
      <c:valAx>
        <c:axId val="149423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atvejų sk.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9379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573582371970951E-2"/>
          <c:y val="3.1090175311663755E-2"/>
          <c:w val="0.92296013226440332"/>
          <c:h val="0.86495726495726499"/>
        </c:manualLayout>
      </c:layout>
      <c:lineChart>
        <c:grouping val="standard"/>
        <c:varyColors val="0"/>
        <c:ser>
          <c:idx val="1"/>
          <c:order val="0"/>
          <c:tx>
            <c:strRef>
              <c:f>Sheet1!$A$13</c:f>
              <c:strCache>
                <c:ptCount val="1"/>
                <c:pt idx="0">
                  <c:v>Kauno apskrityje</c:v>
                </c:pt>
              </c:strCache>
            </c:strRef>
          </c:tx>
          <c:spPr>
            <a:ln w="8899">
              <a:solidFill>
                <a:schemeClr val="accent1"/>
              </a:solidFill>
            </a:ln>
          </c:spPr>
          <c:marker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accent1"/>
                </a:solidFill>
              </a:ln>
            </c:spPr>
          </c:marker>
          <c:cat>
            <c:strRef>
              <c:f>Sheet1!$B$4:$S$4</c:f>
              <c:strCache>
                <c:ptCount val="18"/>
                <c:pt idx="0">
                  <c:v>2001 m.</c:v>
                </c:pt>
                <c:pt idx="1">
                  <c:v>2002 m.</c:v>
                </c:pt>
                <c:pt idx="2">
                  <c:v>2003 m.</c:v>
                </c:pt>
                <c:pt idx="3">
                  <c:v>2004 m.</c:v>
                </c:pt>
                <c:pt idx="4">
                  <c:v>2005 m.</c:v>
                </c:pt>
                <c:pt idx="5">
                  <c:v>2006 m.</c:v>
                </c:pt>
                <c:pt idx="6">
                  <c:v>2007 m.</c:v>
                </c:pt>
                <c:pt idx="7">
                  <c:v>2008 m.</c:v>
                </c:pt>
                <c:pt idx="8">
                  <c:v>2009 m.</c:v>
                </c:pt>
                <c:pt idx="9">
                  <c:v>2010 m. </c:v>
                </c:pt>
                <c:pt idx="10">
                  <c:v>2011 m.</c:v>
                </c:pt>
                <c:pt idx="11">
                  <c:v>2012 m. </c:v>
                </c:pt>
                <c:pt idx="12">
                  <c:v>2013 m.</c:v>
                </c:pt>
                <c:pt idx="13">
                  <c:v>2014 m.</c:v>
                </c:pt>
                <c:pt idx="14">
                  <c:v>2015 m.</c:v>
                </c:pt>
                <c:pt idx="15">
                  <c:v>2016 m.</c:v>
                </c:pt>
                <c:pt idx="16">
                  <c:v>2017 m.</c:v>
                </c:pt>
                <c:pt idx="17">
                  <c:v>2018</c:v>
                </c:pt>
              </c:strCache>
            </c:strRef>
          </c:cat>
          <c:val>
            <c:numRef>
              <c:f>Sheet1!$B$13:$S$13</c:f>
              <c:numCache>
                <c:formatCode>General</c:formatCode>
                <c:ptCount val="18"/>
                <c:pt idx="0">
                  <c:v>13</c:v>
                </c:pt>
                <c:pt idx="1">
                  <c:v>8</c:v>
                </c:pt>
                <c:pt idx="2">
                  <c:v>35</c:v>
                </c:pt>
                <c:pt idx="3">
                  <c:v>21</c:v>
                </c:pt>
                <c:pt idx="4">
                  <c:v>12</c:v>
                </c:pt>
                <c:pt idx="5">
                  <c:v>21</c:v>
                </c:pt>
                <c:pt idx="6">
                  <c:v>10</c:v>
                </c:pt>
                <c:pt idx="7">
                  <c:v>10</c:v>
                </c:pt>
                <c:pt idx="8">
                  <c:v>31</c:v>
                </c:pt>
                <c:pt idx="9">
                  <c:v>25</c:v>
                </c:pt>
                <c:pt idx="10">
                  <c:v>13</c:v>
                </c:pt>
                <c:pt idx="11">
                  <c:v>12</c:v>
                </c:pt>
                <c:pt idx="12">
                  <c:v>19</c:v>
                </c:pt>
                <c:pt idx="13">
                  <c:v>12</c:v>
                </c:pt>
                <c:pt idx="14">
                  <c:v>12.9</c:v>
                </c:pt>
                <c:pt idx="15">
                  <c:v>28</c:v>
                </c:pt>
                <c:pt idx="16">
                  <c:v>19</c:v>
                </c:pt>
                <c:pt idx="17">
                  <c:v>15.1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76-4F99-946A-BFE0A8BC679E}"/>
            </c:ext>
          </c:extLst>
        </c:ser>
        <c:ser>
          <c:idx val="2"/>
          <c:order val="1"/>
          <c:tx>
            <c:strRef>
              <c:f>Sheet1!$A$14</c:f>
              <c:strCache>
                <c:ptCount val="1"/>
                <c:pt idx="0">
                  <c:v>Lietuvoje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1-B976-4F99-946A-BFE0A8BC679E}"/>
              </c:ext>
            </c:extLst>
          </c:dPt>
          <c:cat>
            <c:strRef>
              <c:f>Sheet1!$B$4:$S$4</c:f>
              <c:strCache>
                <c:ptCount val="18"/>
                <c:pt idx="0">
                  <c:v>2001 m.</c:v>
                </c:pt>
                <c:pt idx="1">
                  <c:v>2002 m.</c:v>
                </c:pt>
                <c:pt idx="2">
                  <c:v>2003 m.</c:v>
                </c:pt>
                <c:pt idx="3">
                  <c:v>2004 m.</c:v>
                </c:pt>
                <c:pt idx="4">
                  <c:v>2005 m.</c:v>
                </c:pt>
                <c:pt idx="5">
                  <c:v>2006 m.</c:v>
                </c:pt>
                <c:pt idx="6">
                  <c:v>2007 m.</c:v>
                </c:pt>
                <c:pt idx="7">
                  <c:v>2008 m.</c:v>
                </c:pt>
                <c:pt idx="8">
                  <c:v>2009 m.</c:v>
                </c:pt>
                <c:pt idx="9">
                  <c:v>2010 m. </c:v>
                </c:pt>
                <c:pt idx="10">
                  <c:v>2011 m.</c:v>
                </c:pt>
                <c:pt idx="11">
                  <c:v>2012 m. </c:v>
                </c:pt>
                <c:pt idx="12">
                  <c:v>2013 m.</c:v>
                </c:pt>
                <c:pt idx="13">
                  <c:v>2014 m.</c:v>
                </c:pt>
                <c:pt idx="14">
                  <c:v>2015 m.</c:v>
                </c:pt>
                <c:pt idx="15">
                  <c:v>2016 m.</c:v>
                </c:pt>
                <c:pt idx="16">
                  <c:v>2017 m.</c:v>
                </c:pt>
                <c:pt idx="17">
                  <c:v>2018</c:v>
                </c:pt>
              </c:strCache>
            </c:strRef>
          </c:cat>
          <c:val>
            <c:numRef>
              <c:f>Sheet1!$B$14:$S$14</c:f>
              <c:numCache>
                <c:formatCode>General</c:formatCode>
                <c:ptCount val="18"/>
                <c:pt idx="2">
                  <c:v>22</c:v>
                </c:pt>
                <c:pt idx="3">
                  <c:v>12.3</c:v>
                </c:pt>
                <c:pt idx="4">
                  <c:v>7.1</c:v>
                </c:pt>
                <c:pt idx="5">
                  <c:v>13.5</c:v>
                </c:pt>
                <c:pt idx="6">
                  <c:v>6.9</c:v>
                </c:pt>
                <c:pt idx="7">
                  <c:v>6.5</c:v>
                </c:pt>
                <c:pt idx="8">
                  <c:v>17.899999999999999</c:v>
                </c:pt>
                <c:pt idx="9">
                  <c:v>18.3</c:v>
                </c:pt>
                <c:pt idx="10">
                  <c:v>11</c:v>
                </c:pt>
                <c:pt idx="11">
                  <c:v>16.5</c:v>
                </c:pt>
                <c:pt idx="12">
                  <c:v>16.899999999999999</c:v>
                </c:pt>
                <c:pt idx="13">
                  <c:v>12</c:v>
                </c:pt>
                <c:pt idx="14">
                  <c:v>11.6</c:v>
                </c:pt>
                <c:pt idx="15">
                  <c:v>22</c:v>
                </c:pt>
                <c:pt idx="16">
                  <c:v>16.8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976-4F99-946A-BFE0A8BC67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630336"/>
        <c:axId val="149677184"/>
      </c:lineChart>
      <c:catAx>
        <c:axId val="14963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11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t-LT"/>
          </a:p>
        </c:txPr>
        <c:crossAx val="149677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967718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lt-LT"/>
                  <a:t>rodiklis 100 000 gyventojų</a:t>
                </a:r>
              </a:p>
            </c:rich>
          </c:tx>
          <c:layout>
            <c:manualLayout>
              <c:xMode val="edge"/>
              <c:yMode val="edge"/>
              <c:x val="1.13753406596532E-2"/>
              <c:y val="0.34529913374348037"/>
            </c:manualLayout>
          </c:layout>
          <c:overlay val="0"/>
          <c:spPr>
            <a:noFill/>
            <a:ln w="88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11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lt-LT"/>
          </a:p>
        </c:txPr>
        <c:crossAx val="149630336"/>
        <c:crosses val="autoZero"/>
        <c:crossBetween val="between"/>
      </c:valAx>
      <c:spPr>
        <a:noFill/>
        <a:ln w="8899">
          <a:noFill/>
        </a:ln>
      </c:spPr>
    </c:plotArea>
    <c:legend>
      <c:legendPos val="r"/>
      <c:layout>
        <c:manualLayout>
          <c:xMode val="edge"/>
          <c:yMode val="edge"/>
          <c:x val="0.75567427502851736"/>
          <c:y val="5.499750517099216E-2"/>
          <c:w val="0.1854641046555211"/>
          <c:h val="0.13028598176500153"/>
        </c:manualLayout>
      </c:layout>
      <c:overlay val="0"/>
      <c:spPr>
        <a:solidFill>
          <a:srgbClr val="FFFFFF"/>
        </a:solidFill>
        <a:ln w="1112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03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lt-L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laimo!$A$20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laimo!$B$18:$M$18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laimo!$B$20:$M$20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</c:v>
                </c:pt>
                <c:pt idx="5">
                  <c:v>8</c:v>
                </c:pt>
                <c:pt idx="6">
                  <c:v>25</c:v>
                </c:pt>
                <c:pt idx="7">
                  <c:v>48</c:v>
                </c:pt>
                <c:pt idx="8">
                  <c:v>47</c:v>
                </c:pt>
                <c:pt idx="9">
                  <c:v>22</c:v>
                </c:pt>
                <c:pt idx="10">
                  <c:v>3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ED1-4665-A929-86B6699BED01}"/>
            </c:ext>
          </c:extLst>
        </c:ser>
        <c:ser>
          <c:idx val="0"/>
          <c:order val="1"/>
          <c:tx>
            <c:strRef>
              <c:f>laimo!$A$21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val>
            <c:numRef>
              <c:f>laimo!$B$21:$M$21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6</c:v>
                </c:pt>
                <c:pt idx="6">
                  <c:v>6</c:v>
                </c:pt>
                <c:pt idx="7">
                  <c:v>23</c:v>
                </c:pt>
                <c:pt idx="8">
                  <c:v>14</c:v>
                </c:pt>
                <c:pt idx="9">
                  <c:v>49</c:v>
                </c:pt>
                <c:pt idx="10">
                  <c:v>5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26-4FED-9CB7-C7D66A4C8B96}"/>
            </c:ext>
          </c:extLst>
        </c:ser>
        <c:ser>
          <c:idx val="2"/>
          <c:order val="2"/>
          <c:tx>
            <c:strRef>
              <c:f>laimo!$A$22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val>
            <c:numRef>
              <c:f>laimo!$B$22:$M$22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11</c:v>
                </c:pt>
                <c:pt idx="6">
                  <c:v>22</c:v>
                </c:pt>
                <c:pt idx="7">
                  <c:v>11</c:v>
                </c:pt>
                <c:pt idx="8">
                  <c:v>6</c:v>
                </c:pt>
                <c:pt idx="9">
                  <c:v>26</c:v>
                </c:pt>
                <c:pt idx="10">
                  <c:v>4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26-4FED-9CB7-C7D66A4C8B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359616"/>
        <c:axId val="149783680"/>
      </c:barChart>
      <c:catAx>
        <c:axId val="14935961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metų mėnesiai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9783680"/>
        <c:crosses val="autoZero"/>
        <c:auto val="1"/>
        <c:lblAlgn val="ctr"/>
        <c:lblOffset val="100"/>
        <c:noMultiLvlLbl val="0"/>
      </c:catAx>
      <c:valAx>
        <c:axId val="14978368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atvejų sk.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t-LT"/>
          </a:p>
        </c:txPr>
        <c:crossAx val="14935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t-L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5037</Words>
  <Characters>2872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R</dc:creator>
  <cp:lastModifiedBy>Giedrė Juškaitė</cp:lastModifiedBy>
  <cp:revision>2</cp:revision>
  <dcterms:created xsi:type="dcterms:W3CDTF">2019-02-11T08:31:00Z</dcterms:created>
  <dcterms:modified xsi:type="dcterms:W3CDTF">2019-02-11T08:31:00Z</dcterms:modified>
</cp:coreProperties>
</file>