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98BD8" w14:textId="145149B0" w:rsidR="00D7595F" w:rsidRDefault="00D7595F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D84A130" w14:textId="77777777" w:rsidR="00FB59C6" w:rsidRDefault="00FB59C6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82CA40A" w14:textId="44F44576" w:rsidR="006527E4" w:rsidRPr="00D50F27" w:rsidRDefault="006527E4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0F27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539DD4D2" w14:textId="77777777" w:rsidR="003512D2" w:rsidRPr="00D50F27" w:rsidRDefault="003512D2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0F27">
        <w:rPr>
          <w:rFonts w:ascii="Times New Roman" w:eastAsia="Calibri" w:hAnsi="Times New Roman" w:cs="Times New Roman"/>
          <w:sz w:val="24"/>
          <w:szCs w:val="24"/>
        </w:rPr>
        <w:t>Kauno miesto savivaldybės administracijos direktoriaus</w:t>
      </w:r>
    </w:p>
    <w:p w14:paraId="68FA572D" w14:textId="024A4FA9" w:rsidR="00A872EA" w:rsidRPr="00D50F27" w:rsidRDefault="00EF74EE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C93202">
        <w:rPr>
          <w:rFonts w:ascii="Times New Roman" w:eastAsia="Calibri" w:hAnsi="Times New Roman" w:cs="Times New Roman"/>
          <w:sz w:val="24"/>
          <w:szCs w:val="24"/>
        </w:rPr>
        <w:t xml:space="preserve">21 m. vasario 11 d. </w:t>
      </w:r>
      <w:r w:rsidR="00527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66EF3FD9" w14:textId="70192A32" w:rsidR="0041368E" w:rsidRDefault="006E0A4F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0F27">
        <w:rPr>
          <w:rFonts w:ascii="Times New Roman" w:eastAsia="Calibri" w:hAnsi="Times New Roman" w:cs="Times New Roman"/>
          <w:sz w:val="24"/>
          <w:szCs w:val="24"/>
        </w:rPr>
        <w:t>įsakymu Nr.</w:t>
      </w:r>
      <w:r w:rsidR="00EF7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202">
        <w:rPr>
          <w:rFonts w:ascii="Times New Roman" w:eastAsia="Calibri" w:hAnsi="Times New Roman" w:cs="Times New Roman"/>
          <w:sz w:val="24"/>
          <w:szCs w:val="24"/>
        </w:rPr>
        <w:t>A-450</w:t>
      </w:r>
    </w:p>
    <w:p w14:paraId="17728744" w14:textId="77777777" w:rsidR="005C6040" w:rsidRPr="000A0840" w:rsidRDefault="005C6040" w:rsidP="005C6040">
      <w:pPr>
        <w:spacing w:after="0" w:line="360" w:lineRule="auto"/>
        <w:ind w:left="10237" w:firstLine="1103"/>
        <w:rPr>
          <w:rFonts w:ascii="Times New Roman" w:hAnsi="Times New Roman"/>
          <w:sz w:val="24"/>
          <w:szCs w:val="24"/>
        </w:rPr>
      </w:pPr>
      <w:r w:rsidRPr="000A0840">
        <w:rPr>
          <w:rFonts w:ascii="Times New Roman" w:hAnsi="Times New Roman"/>
          <w:sz w:val="24"/>
          <w:szCs w:val="24"/>
        </w:rPr>
        <w:t>(Kauno miesto savivaldybės</w:t>
      </w:r>
    </w:p>
    <w:p w14:paraId="1FBC024A" w14:textId="77777777" w:rsidR="005C6040" w:rsidRPr="000A0840" w:rsidRDefault="005C6040" w:rsidP="005C6040">
      <w:pPr>
        <w:spacing w:after="0" w:line="360" w:lineRule="auto"/>
        <w:ind w:left="10090" w:firstLine="1250"/>
        <w:rPr>
          <w:rFonts w:ascii="Times New Roman" w:hAnsi="Times New Roman"/>
          <w:sz w:val="24"/>
          <w:szCs w:val="24"/>
        </w:rPr>
      </w:pPr>
      <w:r w:rsidRPr="000A0840">
        <w:rPr>
          <w:rFonts w:ascii="Times New Roman" w:hAnsi="Times New Roman"/>
          <w:sz w:val="24"/>
          <w:szCs w:val="24"/>
        </w:rPr>
        <w:t>administracijos direktoriaus</w:t>
      </w:r>
    </w:p>
    <w:p w14:paraId="0AB08869" w14:textId="77777777" w:rsidR="005C6040" w:rsidRDefault="005C6040" w:rsidP="005C6040">
      <w:pPr>
        <w:spacing w:after="0" w:line="360" w:lineRule="auto"/>
        <w:ind w:left="10237" w:firstLine="1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vasario 4</w:t>
      </w:r>
      <w:r w:rsidRPr="000A0840">
        <w:rPr>
          <w:rFonts w:ascii="Times New Roman" w:hAnsi="Times New Roman"/>
          <w:sz w:val="24"/>
          <w:szCs w:val="24"/>
        </w:rPr>
        <w:t xml:space="preserve"> d.</w:t>
      </w:r>
    </w:p>
    <w:p w14:paraId="1074AAF1" w14:textId="23D203E2" w:rsidR="005C6040" w:rsidRPr="005C6040" w:rsidRDefault="005C6040" w:rsidP="005C6040">
      <w:pPr>
        <w:spacing w:after="0" w:line="360" w:lineRule="auto"/>
        <w:ind w:left="10090" w:firstLine="1250"/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</w:pPr>
      <w:r w:rsidRPr="000A0840">
        <w:rPr>
          <w:rFonts w:ascii="Times New Roman" w:hAnsi="Times New Roman"/>
          <w:sz w:val="24"/>
          <w:szCs w:val="24"/>
        </w:rPr>
        <w:t>įsakymo Nr. A-</w:t>
      </w:r>
      <w:r>
        <w:rPr>
          <w:rFonts w:ascii="Times New Roman" w:hAnsi="Times New Roman"/>
          <w:sz w:val="24"/>
          <w:szCs w:val="24"/>
        </w:rPr>
        <w:t>435</w:t>
      </w:r>
      <w:r w:rsidRPr="000A0840">
        <w:rPr>
          <w:rFonts w:ascii="Times New Roman" w:hAnsi="Times New Roman"/>
          <w:sz w:val="24"/>
          <w:szCs w:val="24"/>
        </w:rPr>
        <w:t xml:space="preserve"> redakcija)</w:t>
      </w:r>
    </w:p>
    <w:p w14:paraId="03715442" w14:textId="77777777" w:rsidR="00942A43" w:rsidRPr="00D50F27" w:rsidRDefault="00942A43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BA1516" w14:textId="77777777" w:rsidR="006527E4" w:rsidRPr="00D50F27" w:rsidRDefault="006527E4" w:rsidP="00A850DE">
      <w:pPr>
        <w:spacing w:line="360" w:lineRule="auto"/>
        <w:ind w:right="17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F27">
        <w:rPr>
          <w:rFonts w:ascii="Times New Roman" w:eastAsia="Calibri" w:hAnsi="Times New Roman" w:cs="Times New Roman"/>
          <w:b/>
          <w:sz w:val="24"/>
          <w:szCs w:val="24"/>
        </w:rPr>
        <w:t>KVIETIMAS TEIKTI PARAIŠKAS</w:t>
      </w:r>
      <w:r w:rsidR="00B43DFE" w:rsidRPr="00D50F27">
        <w:rPr>
          <w:rFonts w:ascii="Times New Roman" w:hAnsi="Times New Roman" w:cs="Times New Roman"/>
          <w:sz w:val="24"/>
          <w:szCs w:val="24"/>
        </w:rPr>
        <w:t xml:space="preserve"> </w:t>
      </w:r>
      <w:r w:rsidR="006E0A4F" w:rsidRPr="00D50F27">
        <w:rPr>
          <w:rFonts w:ascii="Times New Roman" w:hAnsi="Times New Roman" w:cs="Times New Roman"/>
          <w:b/>
          <w:sz w:val="24"/>
          <w:szCs w:val="24"/>
        </w:rPr>
        <w:t xml:space="preserve">ĮGYVENDINTI </w:t>
      </w:r>
      <w:r w:rsidR="00EF74EE">
        <w:rPr>
          <w:rFonts w:ascii="Times New Roman" w:eastAsia="Calibri" w:hAnsi="Times New Roman" w:cs="Times New Roman"/>
          <w:b/>
          <w:sz w:val="24"/>
          <w:szCs w:val="24"/>
        </w:rPr>
        <w:t>KAUNO MIESTO SAVIVALDYBĖS 2021–2023</w:t>
      </w:r>
      <w:r w:rsidR="00A850DE" w:rsidRPr="00D50F27">
        <w:rPr>
          <w:rFonts w:ascii="Times New Roman" w:eastAsia="Calibri" w:hAnsi="Times New Roman" w:cs="Times New Roman"/>
          <w:b/>
          <w:sz w:val="24"/>
          <w:szCs w:val="24"/>
        </w:rPr>
        <w:t xml:space="preserve"> METŲ UŽIMTUMO DIDINIMO PROGRAMOS </w:t>
      </w:r>
      <w:r w:rsidR="00EF74EE">
        <w:rPr>
          <w:rFonts w:ascii="Times New Roman" w:eastAsia="Calibri" w:hAnsi="Times New Roman" w:cs="Times New Roman"/>
          <w:b/>
          <w:sz w:val="24"/>
          <w:szCs w:val="24"/>
        </w:rPr>
        <w:t xml:space="preserve">9.3 </w:t>
      </w:r>
      <w:r w:rsidR="00392FDA" w:rsidRPr="00D50F27">
        <w:rPr>
          <w:rFonts w:ascii="Times New Roman" w:eastAsia="Calibri" w:hAnsi="Times New Roman" w:cs="Times New Roman"/>
          <w:b/>
          <w:sz w:val="24"/>
          <w:szCs w:val="24"/>
        </w:rPr>
        <w:t>PRIEMONĘ</w:t>
      </w:r>
      <w:r w:rsidR="00B43DFE" w:rsidRPr="00D50F27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3E4FBA" w:rsidRPr="00D50F27">
        <w:rPr>
          <w:rFonts w:ascii="Times New Roman" w:eastAsia="Times New Roman" w:hAnsi="Times New Roman" w:cs="Times New Roman"/>
          <w:b/>
          <w:bCs/>
          <w:sz w:val="24"/>
          <w:szCs w:val="24"/>
        </w:rPr>
        <w:t>SKATINTI BEDARBIŲ ASMENŲ ĮSITRAUKIMĄ Į DARBO R</w:t>
      </w:r>
      <w:bookmarkStart w:id="0" w:name="_GoBack"/>
      <w:bookmarkEnd w:id="0"/>
      <w:r w:rsidR="003E4FBA" w:rsidRPr="00D50F27">
        <w:rPr>
          <w:rFonts w:ascii="Times New Roman" w:eastAsia="Times New Roman" w:hAnsi="Times New Roman" w:cs="Times New Roman"/>
          <w:b/>
          <w:bCs/>
          <w:sz w:val="24"/>
          <w:szCs w:val="24"/>
        </w:rPr>
        <w:t>INKĄ SUKURIANT PERKVALIFIKAVIMO, MOKYMŲ, PROFESINI</w:t>
      </w:r>
      <w:r w:rsidR="00070AC3" w:rsidRPr="00D50F27">
        <w:rPr>
          <w:rFonts w:ascii="Times New Roman" w:eastAsia="Times New Roman" w:hAnsi="Times New Roman" w:cs="Times New Roman"/>
          <w:b/>
          <w:bCs/>
          <w:sz w:val="24"/>
          <w:szCs w:val="24"/>
        </w:rPr>
        <w:t>Ų</w:t>
      </w:r>
      <w:r w:rsidR="003E4FBA" w:rsidRPr="00D50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 KITŲ DARBINIŲ ĮGŪDŽIŲ IR ŽINIŲ SUTEIKIMO GALIMYBES</w:t>
      </w:r>
      <w:r w:rsidR="00337D27" w:rsidRPr="00D50F27">
        <w:rPr>
          <w:rFonts w:ascii="Times New Roman" w:eastAsia="Calibri" w:hAnsi="Times New Roman" w:cs="Times New Roman"/>
          <w:b/>
          <w:sz w:val="24"/>
          <w:szCs w:val="24"/>
        </w:rPr>
        <w:t>“</w:t>
      </w:r>
    </w:p>
    <w:p w14:paraId="56C7ADCE" w14:textId="77777777" w:rsidR="001A675A" w:rsidRPr="00D50F27" w:rsidRDefault="001A675A" w:rsidP="005372C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Lentelstinklelis"/>
        <w:tblW w:w="15323" w:type="dxa"/>
        <w:tblLayout w:type="fixed"/>
        <w:tblLook w:val="04A0" w:firstRow="1" w:lastRow="0" w:firstColumn="1" w:lastColumn="0" w:noHBand="0" w:noVBand="1"/>
      </w:tblPr>
      <w:tblGrid>
        <w:gridCol w:w="666"/>
        <w:gridCol w:w="8"/>
        <w:gridCol w:w="1588"/>
        <w:gridCol w:w="13042"/>
        <w:gridCol w:w="19"/>
      </w:tblGrid>
      <w:tr w:rsidR="00D50F27" w:rsidRPr="00AE19BC" w14:paraId="71B45858" w14:textId="77777777" w:rsidTr="000A14A7">
        <w:trPr>
          <w:gridAfter w:val="1"/>
          <w:wAfter w:w="19" w:type="dxa"/>
          <w:trHeight w:val="818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4563963F" w14:textId="77777777" w:rsidR="00420B2A" w:rsidRPr="00AE19BC" w:rsidRDefault="00420B2A" w:rsidP="0039203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887C3A2" w14:textId="77777777" w:rsidR="00420B2A" w:rsidRPr="00AE19BC" w:rsidRDefault="00004A31" w:rsidP="0039203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Finansavimo s</w:t>
            </w:r>
            <w:r w:rsidR="00420B2A" w:rsidRPr="00AE19BC">
              <w:rPr>
                <w:rFonts w:ascii="Times New Roman" w:hAnsi="Times New Roman" w:cs="Times New Roman"/>
                <w:sz w:val="24"/>
                <w:szCs w:val="24"/>
              </w:rPr>
              <w:t>ąlygos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B68E20A" w14:textId="77777777" w:rsidR="00420B2A" w:rsidRPr="00AE19BC" w:rsidRDefault="00A51650" w:rsidP="00C6065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Aprašymas</w:t>
            </w:r>
          </w:p>
        </w:tc>
      </w:tr>
      <w:tr w:rsidR="00D50F27" w:rsidRPr="00AE19BC" w14:paraId="334BB7E8" w14:textId="77777777" w:rsidTr="000A14A7">
        <w:trPr>
          <w:gridAfter w:val="1"/>
          <w:wAfter w:w="19" w:type="dxa"/>
        </w:trPr>
        <w:tc>
          <w:tcPr>
            <w:tcW w:w="675" w:type="dxa"/>
            <w:gridSpan w:val="2"/>
          </w:tcPr>
          <w:p w14:paraId="2EAE2972" w14:textId="77777777" w:rsidR="001E2C8B" w:rsidRPr="00AE19BC" w:rsidRDefault="000A6EAE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8" w:type="dxa"/>
          </w:tcPr>
          <w:p w14:paraId="6A78CF75" w14:textId="77777777" w:rsidR="001E2C8B" w:rsidRPr="00AE19BC" w:rsidRDefault="000D0D26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13041" w:type="dxa"/>
          </w:tcPr>
          <w:p w14:paraId="37BB9B90" w14:textId="191BA787" w:rsidR="000A14A7" w:rsidRPr="00AE19BC" w:rsidRDefault="006E0A4F" w:rsidP="000A14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Įgyvendinama </w:t>
            </w:r>
            <w:r w:rsidR="00EF74EE"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</w:t>
            </w:r>
            <w:r w:rsidR="00513629"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priemonė „</w:t>
            </w:r>
            <w:r w:rsidR="003E4FBA"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Skatinti bedarbių asmenų įsitraukimą į darbo rinką sukuriant perkvalifikavimo, mokymų, profesinių ar kitų darbinių įgūdžių ir žinių suteikimo galimybes</w:t>
            </w:r>
            <w:r w:rsidR="00513629"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  <w:r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(toliau – priemonė).</w:t>
            </w:r>
          </w:p>
        </w:tc>
      </w:tr>
      <w:tr w:rsidR="000A14A7" w:rsidRPr="00AE19BC" w14:paraId="79C1E299" w14:textId="77777777" w:rsidTr="000A14A7">
        <w:trPr>
          <w:gridAfter w:val="1"/>
          <w:wAfter w:w="19" w:type="dxa"/>
        </w:trPr>
        <w:tc>
          <w:tcPr>
            <w:tcW w:w="675" w:type="dxa"/>
            <w:gridSpan w:val="2"/>
          </w:tcPr>
          <w:p w14:paraId="343DA8AA" w14:textId="56E98AB4" w:rsidR="000A14A7" w:rsidRPr="00AE19BC" w:rsidRDefault="000A14A7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8" w:type="dxa"/>
          </w:tcPr>
          <w:p w14:paraId="3C7C45F1" w14:textId="6874C039" w:rsidR="000A14A7" w:rsidRPr="00AE19BC" w:rsidRDefault="000A14A7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/>
                <w:sz w:val="24"/>
                <w:szCs w:val="24"/>
              </w:rPr>
              <w:t>Tinkamos veiklos</w:t>
            </w:r>
          </w:p>
        </w:tc>
        <w:tc>
          <w:tcPr>
            <w:tcW w:w="13041" w:type="dxa"/>
          </w:tcPr>
          <w:p w14:paraId="1F094090" w14:textId="77777777" w:rsidR="000A14A7" w:rsidRPr="00AE19BC" w:rsidRDefault="000A14A7" w:rsidP="000A14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 Lietuvos Respublikos užimtumo įstatymo (toliau – Įstatymas) 20 straipsnio 2 dalyje ir 48 straipsnio 2 dalyje nurodytų asmenų perkvalifikavimas, mokymai, profesinių ar kitų darbinių įgūdžių ir žinių suteikimo galimybės, įdarbinimas.</w:t>
            </w:r>
          </w:p>
          <w:p w14:paraId="40FE926E" w14:textId="498AB0A1" w:rsidR="000A14A7" w:rsidRPr="00AE19BC" w:rsidRDefault="00B8776F" w:rsidP="000A14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2.2. </w:t>
            </w:r>
            <w:r w:rsidR="005C6040" w:rsidRPr="005C60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Paraiškoje nurodytos veiklos turi būti įgyvendintos iki 2022 m. gruodžio 12 dienos.</w:t>
            </w:r>
          </w:p>
          <w:p w14:paraId="069413A2" w14:textId="639B5E64" w:rsidR="000A14A7" w:rsidRPr="00AE19BC" w:rsidRDefault="000A14A7" w:rsidP="00AE19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2.3. Asmenų mokymui gali būti skiriama ne daugiau kaip 2 mėn., o įgyvendinus </w:t>
            </w:r>
            <w:r w:rsidR="00B8776F"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paraiškoje nurodytas </w:t>
            </w:r>
            <w:r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veiklas ne mažiau kaip pusė </w:t>
            </w:r>
            <w:r w:rsidR="00B8776F"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Kauno miesto savivaldybės 2021–2023 metų užimtumo didinimo programoje (toliau – Programa) </w:t>
            </w:r>
            <w:r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dalyvavusių asmenų turi būti </w:t>
            </w:r>
            <w:r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įdarbinti ne trumpiau kaip 6 mėn. </w:t>
            </w:r>
            <w:r w:rsidR="00B8776F" w:rsidRPr="00AE19BC">
              <w:rPr>
                <w:rFonts w:ascii="Times New Roman" w:hAnsi="Times New Roman" w:cs="Times New Roman"/>
                <w:sz w:val="24"/>
                <w:szCs w:val="24"/>
              </w:rPr>
              <w:t xml:space="preserve">Paraiškoje nurodytų veiklų </w:t>
            </w:r>
            <w:r w:rsidR="00E5146D"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pabaigos data</w:t>
            </w:r>
            <w:r w:rsidRPr="00AE19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laikoma data, iki kurios naudojamos Programos lėšos paraiškoje nurodytoms veikloms finansuoti.</w:t>
            </w:r>
          </w:p>
        </w:tc>
      </w:tr>
      <w:tr w:rsidR="00D50F27" w:rsidRPr="00AE19BC" w14:paraId="7CB3A537" w14:textId="77777777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14:paraId="415D495B" w14:textId="77777777" w:rsidR="001C2B27" w:rsidRPr="00AE19BC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88" w:type="dxa"/>
          </w:tcPr>
          <w:p w14:paraId="32D40F16" w14:textId="77777777" w:rsidR="001C2B27" w:rsidRPr="00AE19BC" w:rsidRDefault="001C2B27" w:rsidP="0034128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Tikslinė grupė</w:t>
            </w:r>
          </w:p>
        </w:tc>
        <w:tc>
          <w:tcPr>
            <w:tcW w:w="13046" w:type="dxa"/>
          </w:tcPr>
          <w:p w14:paraId="0C538F78" w14:textId="5FCCCB1C" w:rsidR="0095392D" w:rsidRPr="00AE19BC" w:rsidRDefault="000E4E80" w:rsidP="00D7595F">
            <w:pPr>
              <w:tabs>
                <w:tab w:val="left" w:pos="1701"/>
              </w:tabs>
              <w:spacing w:line="360" w:lineRule="auto"/>
              <w:ind w:right="17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Užimtumo tarnybos Kauno departame</w:t>
            </w:r>
            <w:r w:rsidR="0095392D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nte užsiregistravę ir bent vienai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392D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Įstatymo 48 straipsnyje nurodytai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392D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tikslinei grupei priskiriami 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asmenys, kurių gyvenamoji vieta Kauno mieste (u</w:t>
            </w:r>
            <w:r w:rsidR="00AA2C24" w:rsidRPr="00AE19B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ž tikslinės grupės atranką </w:t>
            </w:r>
            <w:r w:rsidR="00337D27" w:rsidRPr="00AE19B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ir atitiktį šiame k</w:t>
            </w:r>
            <w:r w:rsidR="0022279E" w:rsidRPr="00AE19B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vietime nustatytiems reikalavimams </w:t>
            </w:r>
            <w:r w:rsidR="00AA2C24" w:rsidRPr="00AE19B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atsakingas pareiškėjas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  <w:r w:rsidR="00AA2C24" w:rsidRPr="00AE19B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D50F27" w:rsidRPr="00AE19BC" w14:paraId="0C44747B" w14:textId="77777777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14:paraId="12D618C8" w14:textId="77777777" w:rsidR="00A05C4C" w:rsidRPr="00AE19BC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5C4C" w:rsidRPr="00AE1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5D983D08" w14:textId="77777777" w:rsidR="0095392D" w:rsidRPr="00AE19BC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 xml:space="preserve">Tinkamos </w:t>
            </w:r>
          </w:p>
          <w:p w14:paraId="3A81766A" w14:textId="43575733" w:rsidR="00A05C4C" w:rsidRPr="00AE19BC" w:rsidRDefault="0095392D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 xml:space="preserve">finansuoti </w:t>
            </w:r>
            <w:r w:rsidR="00A05C4C" w:rsidRPr="00AE19BC">
              <w:rPr>
                <w:rFonts w:ascii="Times New Roman" w:hAnsi="Times New Roman" w:cs="Times New Roman"/>
                <w:sz w:val="24"/>
                <w:szCs w:val="24"/>
              </w:rPr>
              <w:t>išlaidos</w:t>
            </w:r>
          </w:p>
        </w:tc>
        <w:tc>
          <w:tcPr>
            <w:tcW w:w="13046" w:type="dxa"/>
          </w:tcPr>
          <w:p w14:paraId="13A89E79" w14:textId="29897E33" w:rsidR="00070AC3" w:rsidRPr="00AE19BC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70AC3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.1. </w:t>
            </w:r>
            <w:r w:rsidR="0095392D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Įdarbinto asmens ir dalyvaujančio mokymo programoje</w:t>
            </w:r>
            <w:r w:rsidR="00070AC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asmens darbo užmokestis </w:t>
            </w:r>
            <w:r w:rsidR="00337D2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(įskaitant visus mokesčius).</w:t>
            </w:r>
          </w:p>
          <w:p w14:paraId="46D432E4" w14:textId="77777777" w:rsidR="00070AC3" w:rsidRPr="00AE19BC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070AC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.2</w:t>
            </w:r>
            <w:r w:rsidR="00070AC3" w:rsidRPr="00AE19B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. </w:t>
            </w:r>
            <w:r w:rsidR="00070AC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Asmens, kuris moko, darbo užmokestis (įskaitant visus mokesčius)</w:t>
            </w:r>
            <w:r w:rsidR="00337D2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5B131BD" w14:textId="77777777" w:rsidR="00070AC3" w:rsidRPr="00AE19BC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070AC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.3.</w:t>
            </w:r>
            <w:r w:rsidR="00070AC3" w:rsidRPr="00AE19B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0E4E80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Darbo medžiagų ir priemonių, reikalingų</w:t>
            </w:r>
            <w:r w:rsidR="00947B1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364D4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asmens mokymui</w:t>
            </w:r>
            <w:r w:rsidR="000E4E80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įsigijimo išlaidos</w:t>
            </w:r>
            <w:r w:rsidR="00337D2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09CE027F" w14:textId="77777777" w:rsidR="00070AC3" w:rsidRPr="00AE19BC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37D2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.4. Asmens</w:t>
            </w:r>
            <w:r w:rsidR="00947B1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0AC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vykimo į darbo vietą ir iš </w:t>
            </w:r>
            <w:r w:rsidR="00D13105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darbo vietos</w:t>
            </w:r>
            <w:r w:rsidR="00947B1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0AC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išlaidos</w:t>
            </w:r>
            <w:r w:rsidR="00337D2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F4265A7" w14:textId="77777777" w:rsidR="00337D27" w:rsidRPr="00AE19BC" w:rsidRDefault="005D18DF" w:rsidP="00337D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37D2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.5. D</w:t>
            </w:r>
            <w:r w:rsidR="00070AC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arbo vietos įrengimo (atnaujinimo) išlaidos</w:t>
            </w:r>
            <w:r w:rsidR="00337D2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71429540" w14:textId="77777777" w:rsidR="00B02187" w:rsidRPr="00AE19BC" w:rsidRDefault="005D18DF" w:rsidP="009364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37D2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.6. </w:t>
            </w:r>
            <w:r w:rsidR="00B0218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Ilgalaikio turto vieneto vertė – 10000 </w:t>
            </w:r>
            <w:proofErr w:type="spellStart"/>
            <w:r w:rsidR="00B0218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="00B0218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turi sudaryti ne didesnę nei 20 proc. visos sąmatos sumos.</w:t>
            </w:r>
          </w:p>
          <w:p w14:paraId="2264B36F" w14:textId="77777777" w:rsidR="006945A4" w:rsidRPr="00AE19BC" w:rsidRDefault="00B02187" w:rsidP="009364D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4.7. </w:t>
            </w:r>
            <w:r w:rsidR="00337D27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070AC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itos išlaidos (įskaitant visus mokesčius), tiesiogiai susijusios su asmens mokymu, perkvalifikavimu (</w:t>
            </w:r>
            <w:r w:rsidR="009364D4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paraiškoje </w:t>
            </w:r>
            <w:r w:rsidR="00070AC3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konkrečiai turi būti nurodytas šių išlaidų ryšys su vykdoma veikla). </w:t>
            </w:r>
          </w:p>
        </w:tc>
      </w:tr>
      <w:tr w:rsidR="00D50F27" w:rsidRPr="00AE19BC" w14:paraId="2F680C37" w14:textId="77777777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14:paraId="39354D47" w14:textId="77777777" w:rsidR="00A05C4C" w:rsidRPr="00AE19BC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5C4C" w:rsidRPr="00AE1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2340E451" w14:textId="77777777" w:rsidR="0095392D" w:rsidRPr="00AE19BC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 xml:space="preserve">Netinkamos </w:t>
            </w:r>
          </w:p>
          <w:p w14:paraId="29317E8C" w14:textId="6D98E7D0" w:rsidR="0095392D" w:rsidRPr="00AE19BC" w:rsidRDefault="0095392D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finansuoti</w:t>
            </w:r>
          </w:p>
          <w:p w14:paraId="4CE27848" w14:textId="5C8659D7" w:rsidR="00A05C4C" w:rsidRPr="00AE19BC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išlaidos</w:t>
            </w:r>
          </w:p>
        </w:tc>
        <w:tc>
          <w:tcPr>
            <w:tcW w:w="13046" w:type="dxa"/>
          </w:tcPr>
          <w:p w14:paraId="272D33AE" w14:textId="77777777" w:rsidR="002D346A" w:rsidRPr="00AE19BC" w:rsidRDefault="00337D27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Paraiškos rengimo išlaidos.</w:t>
            </w:r>
          </w:p>
          <w:p w14:paraId="0C2465AB" w14:textId="77777777" w:rsidR="00F56484" w:rsidRPr="00AE19BC" w:rsidRDefault="00337D27" w:rsidP="00947B13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ind w:left="3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</w:t>
            </w:r>
            <w:r w:rsidR="00694352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šlaidos, tiesiogiai </w:t>
            </w:r>
            <w:r w:rsidR="00F56484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</w:t>
            </w:r>
            <w:r w:rsidR="00694352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susijusios su asmens mokymu, perkvalifikavimu (pavyzdžiui, </w:t>
            </w:r>
            <w:r w:rsidR="0041404A" w:rsidRPr="00AE19BC">
              <w:rPr>
                <w:rFonts w:ascii="Times New Roman" w:hAnsi="Times New Roman" w:cs="Times New Roman"/>
                <w:sz w:val="24"/>
                <w:szCs w:val="24"/>
              </w:rPr>
              <w:t>mokymams, skirtiems komandos, organizacijos kultūrai formuoti, asmeniniam efektyvumui ugdyti, konfliktams spręsti, stresui valdyti, laikui planuoti, bendravimui, motyvavimui, emociniam intelektui, lyderystei, pozityviam mąstymui, kūrybiškumui ugdyti ir pan.)</w:t>
            </w:r>
            <w:r w:rsidR="00A850DE" w:rsidRPr="00AE19BC">
              <w:rPr>
                <w:rFonts w:ascii="Times New Roman" w:hAnsi="Times New Roman" w:cs="Times New Roman"/>
                <w:sz w:val="24"/>
                <w:szCs w:val="24"/>
              </w:rPr>
              <w:t xml:space="preserve">, mokymai, privalomi pagal </w:t>
            </w: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Lietuvos Respublikos teisės aktus (d</w:t>
            </w:r>
            <w:r w:rsidR="00A850DE" w:rsidRPr="00AE19BC">
              <w:rPr>
                <w:rFonts w:ascii="Times New Roman" w:hAnsi="Times New Roman" w:cs="Times New Roman"/>
                <w:sz w:val="24"/>
                <w:szCs w:val="24"/>
              </w:rPr>
              <w:t>arbų saugos</w:t>
            </w: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, priešgaisrinės saugos ir kt.).</w:t>
            </w:r>
            <w:r w:rsidR="00A850DE" w:rsidRPr="00AE1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5D0139" w14:textId="6CE1E16A" w:rsidR="0041404A" w:rsidRPr="00AE19BC" w:rsidRDefault="006945A4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392D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Išlaidos b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audo</w:t>
            </w:r>
            <w:r w:rsidR="0095392D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ms, delspinigiams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, finansinėms nuo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baudoms, bylinėjimosi išlaidos.</w:t>
            </w:r>
          </w:p>
          <w:p w14:paraId="6A04D912" w14:textId="77777777" w:rsidR="0022279E" w:rsidRPr="00AE19BC" w:rsidRDefault="006945A4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šlaidos paskolų palūkanom</w:t>
            </w:r>
            <w:r w:rsidR="009364D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s ir skoloms padengti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70880FF" w14:textId="77777777" w:rsidR="0022279E" w:rsidRPr="00AE19BC" w:rsidRDefault="006945A4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riemonės įgyvendinimo išlaidos, finansuojam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os iš kitų finansavimo šaltinių.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49A155" w14:textId="77777777" w:rsidR="0022279E" w:rsidRPr="00AE19BC" w:rsidRDefault="006945A4" w:rsidP="009211B7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šlaidos ilgalaikiam materialiajam ir nematerialiajam turtui, tiesiogiai nesusijusiam su </w:t>
            </w:r>
            <w:r w:rsidR="009211B7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priemonės 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įgyvendinimu, įsigyti.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BF2CE5" w14:textId="614EAA35" w:rsidR="0022279E" w:rsidRPr="00AE19BC" w:rsidRDefault="00947B13" w:rsidP="00947B13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5.7.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11B7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Pareiškėjo veiklos plėtros ar jo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kasdienės veiklos </w:t>
            </w:r>
            <w:r w:rsidR="00F27121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išlaidos 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(pavyzdžiui, biuro nuomai ar komunalinėms paslaugoms),</w:t>
            </w:r>
            <w:r w:rsidR="0041404A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tiesiogiai nesusij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usios su </w:t>
            </w:r>
            <w:r w:rsidR="009211B7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priemonės 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įgyvendinimu.</w:t>
            </w:r>
          </w:p>
          <w:p w14:paraId="542A2023" w14:textId="77777777" w:rsidR="0022279E" w:rsidRPr="00AE19BC" w:rsidRDefault="005D42BB" w:rsidP="005D42BB">
            <w:p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5.8. 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šlaidos pastatų ir patalpų remontui, tiesiogiai nesusijusiam su </w:t>
            </w:r>
            <w:r w:rsidR="009211B7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priemonės 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įgyvendinimu.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1FBB79" w14:textId="77777777" w:rsidR="006945A4" w:rsidRPr="00AE19BC" w:rsidRDefault="005D42BB" w:rsidP="00EB7798">
            <w:p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5.9. 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šlaidos, skirtos veikloms, kurios bet kokiomis formomis, metodais ar būdais pažeidžia Lietuvos Respublikos Konstituciją, įstatymus ir kitus teisė</w:t>
            </w:r>
            <w:r w:rsidR="009211B7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s aktus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50F27" w:rsidRPr="00AE19BC" w14:paraId="12A69A06" w14:textId="77777777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14:paraId="45A96C2D" w14:textId="77777777" w:rsidR="00A05C4C" w:rsidRPr="00AE19BC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05C4C" w:rsidRPr="00AE1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0FA7DE28" w14:textId="77777777" w:rsidR="006945A4" w:rsidRPr="00AE19BC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Reikalavimai pareiškėjams</w:t>
            </w:r>
          </w:p>
        </w:tc>
        <w:tc>
          <w:tcPr>
            <w:tcW w:w="13046" w:type="dxa"/>
          </w:tcPr>
          <w:p w14:paraId="360255E9" w14:textId="77777777" w:rsidR="0022279E" w:rsidRPr="00AE19BC" w:rsidRDefault="006945A4" w:rsidP="00B34B5F">
            <w:pPr>
              <w:spacing w:after="16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Pareiškėjais gali būti d</w:t>
            </w:r>
            <w:r w:rsidR="00B34B5F" w:rsidRPr="00AE19BC">
              <w:rPr>
                <w:rFonts w:ascii="Times New Roman" w:hAnsi="Times New Roman" w:cs="Times New Roman"/>
                <w:sz w:val="24"/>
                <w:szCs w:val="24"/>
              </w:rPr>
              <w:t>arbdaviai, kurių nuolatinė buveinė yra Lietuvos Respublikoje</w:t>
            </w: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F27" w:rsidRPr="00AE19BC" w14:paraId="0CD983C4" w14:textId="77777777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14:paraId="1C6F8B82" w14:textId="77777777" w:rsidR="00A05C4C" w:rsidRPr="00AE19BC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5C4C" w:rsidRPr="00AE1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7E47BDF5" w14:textId="77777777" w:rsidR="00A05C4C" w:rsidRPr="00AE19BC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Finansavimo intensyvumas</w:t>
            </w:r>
          </w:p>
        </w:tc>
        <w:tc>
          <w:tcPr>
            <w:tcW w:w="13046" w:type="dxa"/>
          </w:tcPr>
          <w:p w14:paraId="214F6800" w14:textId="77777777" w:rsidR="00BC3A5C" w:rsidRPr="00AE19BC" w:rsidRDefault="00D56063" w:rsidP="007F1411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7.1. 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Priemonei 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įgyvendinti gali būti skiriama </w:t>
            </w:r>
            <w:r w:rsidR="00BC3A5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lėšų </w:t>
            </w:r>
            <w:r w:rsidR="00D13105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iki 100 proc. (atsižvelgiant į 4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punkte nurodytas išlaidų grupes) tinkamų finansuoti išlaidų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padengti. </w:t>
            </w:r>
          </w:p>
          <w:p w14:paraId="7E55958C" w14:textId="77777777" w:rsidR="00A05C4C" w:rsidRPr="00AE19BC" w:rsidRDefault="00BC3A5C" w:rsidP="007F1411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7.2. 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Pareiškėjo ir (ar) kitų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finansavimo šaltinių įnašas suteikia galimybę gauti papildomų vertinimo balų</w:t>
            </w:r>
            <w:r w:rsidR="007F1411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571BFD" w14:textId="726389DA" w:rsidR="00ED43C6" w:rsidRPr="00AE19BC" w:rsidRDefault="00ED43C6" w:rsidP="002E518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7.3. </w:t>
            </w:r>
            <w:r w:rsidR="002E518A" w:rsidRPr="00AE19BC">
              <w:rPr>
                <w:rFonts w:ascii="Times New Roman" w:hAnsi="Times New Roman"/>
                <w:sz w:val="24"/>
                <w:szCs w:val="24"/>
              </w:rPr>
              <w:t>Konkrečioms išlaidoms</w:t>
            </w:r>
            <w:r w:rsidRPr="00AE1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121" w:rsidRPr="00AE19BC">
              <w:rPr>
                <w:rFonts w:ascii="Times New Roman" w:hAnsi="Times New Roman"/>
                <w:sz w:val="24"/>
                <w:szCs w:val="24"/>
              </w:rPr>
              <w:t xml:space="preserve">finansuoti </w:t>
            </w:r>
            <w:r w:rsidRPr="00AE19BC">
              <w:rPr>
                <w:rFonts w:ascii="Times New Roman" w:hAnsi="Times New Roman"/>
                <w:sz w:val="24"/>
                <w:szCs w:val="24"/>
              </w:rPr>
              <w:t>taikomos paraiškos formoje nurodytos</w:t>
            </w:r>
            <w:r w:rsidR="00F27121" w:rsidRPr="00AE19BC">
              <w:rPr>
                <w:rFonts w:ascii="Times New Roman" w:hAnsi="Times New Roman"/>
                <w:sz w:val="24"/>
                <w:szCs w:val="24"/>
              </w:rPr>
              <w:t xml:space="preserve"> finansavimo</w:t>
            </w:r>
            <w:r w:rsidRPr="00AE19BC">
              <w:rPr>
                <w:rFonts w:ascii="Times New Roman" w:hAnsi="Times New Roman"/>
                <w:sz w:val="24"/>
                <w:szCs w:val="24"/>
              </w:rPr>
              <w:t xml:space="preserve"> ribos.</w:t>
            </w:r>
          </w:p>
        </w:tc>
      </w:tr>
      <w:tr w:rsidR="00D50F27" w:rsidRPr="00AE19BC" w14:paraId="7619C893" w14:textId="77777777" w:rsidTr="000A14A7">
        <w:trPr>
          <w:gridAfter w:val="1"/>
          <w:wAfter w:w="1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BB4A" w14:textId="77777777" w:rsidR="00337E1A" w:rsidRPr="00AE19BC" w:rsidRDefault="00337E1A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CB7E" w14:textId="77777777" w:rsidR="00337E1A" w:rsidRPr="00AE19BC" w:rsidRDefault="00337E1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Paraiškų  rengimo ir teikimo tvarka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70CB" w14:textId="77777777" w:rsidR="00337E1A" w:rsidRPr="00AE19BC" w:rsidRDefault="00337E1A">
            <w:pPr>
              <w:spacing w:line="33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8.1. Paraiška rengiama pagal Kauno miesto savivaldybės administracijos direktoriaus įsakymu patvirtintą formą, kurioje nurodyti privalomi pateikti duomenys ir informacija. Paraiška turi būti užpildyta kompiuteriu, lietuvių kalba, atspausdinta ir susegta į lengvai išardomus segtuvus. Paraiškos dokumentai negali būti įrišti spiraliniu ar terminiu būdu, įkišti į įmautes. Visi paraiškos lapai turi būti sunumeruoti eilės tvarka. Ranka užpildytos paraiškos nepriimamos. Paraiška turi būti pasirašyta ją teikiančio juridinio asmens vadovo ar jo įgalioto asmens. Kartu su paraiška privalomai pateikiami 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juridinio asmens steigimo dokumentai</w:t>
            </w:r>
            <w:r w:rsidRPr="00AE19BC">
              <w:rPr>
                <w:rFonts w:ascii="Times New Roman" w:hAnsi="Times New Roman" w:cs="Times New Roman"/>
                <w:bCs/>
                <w:sz w:val="24"/>
                <w:szCs w:val="24"/>
              </w:rPr>
              <w:t>. Priemonei įgyvendinti vienas pareiškėjas gali teikti tik vieną paraišką.</w:t>
            </w:r>
          </w:p>
          <w:p w14:paraId="32581BA6" w14:textId="77777777" w:rsidR="00337E1A" w:rsidRPr="00AE19BC" w:rsidRDefault="00337E1A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8.2. Pateikiamų dokumentų kopijos turi būti patvirtintos teisės aktų nustatyta tvarka.</w:t>
            </w:r>
          </w:p>
          <w:p w14:paraId="79298B8A" w14:textId="2A4CD064" w:rsidR="000145AE" w:rsidRPr="00AE19BC" w:rsidRDefault="00337E1A" w:rsidP="000145AE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19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8.3. Užpildyta ir pasirašyta nustatytos formos paraiška turi būti siunčiama paštu</w:t>
            </w:r>
            <w:r w:rsidR="00E923FA" w:rsidRPr="00AE19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(paraiškos pateikimo data laikoma paraiškos išsiuntimo </w:t>
            </w:r>
            <w:r w:rsidR="00B8776F" w:rsidRPr="00AE19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iš pašto </w:t>
            </w:r>
            <w:r w:rsidR="00E923FA" w:rsidRPr="00AE19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data) </w:t>
            </w:r>
            <w:r w:rsidRPr="00AE19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arba pristatoma į vietą adresu: Kauno miesto savivaldybės administracijos Klientų aptarnavimo ir informavimo skyriaus Asmenų apta</w:t>
            </w:r>
            <w:r w:rsidR="00F27121" w:rsidRPr="00AE19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rnavimo poskyris, Laisvės al. 94A</w:t>
            </w:r>
            <w:r w:rsidRPr="00AE19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(5 darbo vieta), užklijuotame voke (pakete), ant kurio turi būti užrašyta „Paraiška įgyvendinti</w:t>
            </w:r>
            <w:r w:rsidR="000145AE" w:rsidRPr="00AE19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Užimtumo didinimo programos 9.3</w:t>
            </w:r>
            <w:r w:rsidRPr="00AE19B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E19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priemonę“, pareiškėjo pavadinimas ir adresas. </w:t>
            </w:r>
          </w:p>
          <w:p w14:paraId="49DB1DF9" w14:textId="0A49B2B5" w:rsidR="00337E1A" w:rsidRPr="00AE19BC" w:rsidRDefault="00337E1A" w:rsidP="00AE19BC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 xml:space="preserve">8.4. </w:t>
            </w:r>
            <w:r w:rsidR="005C6040" w:rsidRPr="005C6040">
              <w:rPr>
                <w:rFonts w:ascii="Times New Roman" w:hAnsi="Times New Roman" w:cs="Times New Roman"/>
                <w:sz w:val="24"/>
                <w:szCs w:val="24"/>
              </w:rPr>
              <w:t>Galutinis paraiškų pateikimo terminas – 2022 m. vasario 25 d. 15.00 val.</w:t>
            </w:r>
          </w:p>
        </w:tc>
      </w:tr>
      <w:tr w:rsidR="00D50F27" w:rsidRPr="00AE19BC" w14:paraId="14859C34" w14:textId="77777777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14:paraId="5630978D" w14:textId="77777777" w:rsidR="00A05C4C" w:rsidRPr="00AE19BC" w:rsidRDefault="005D18DF" w:rsidP="00622DED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5C4C" w:rsidRPr="00AE1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2132E8A5" w14:textId="77777777" w:rsidR="00A05C4C" w:rsidRPr="00AE19BC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Aktualūs dokumentai</w:t>
            </w:r>
          </w:p>
        </w:tc>
        <w:tc>
          <w:tcPr>
            <w:tcW w:w="13046" w:type="dxa"/>
          </w:tcPr>
          <w:p w14:paraId="3913D56A" w14:textId="77777777" w:rsidR="006945A4" w:rsidRPr="00AE19BC" w:rsidRDefault="00CB67BC" w:rsidP="00D13105">
            <w:pPr>
              <w:spacing w:line="32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9.1. </w:t>
            </w:r>
            <w:r w:rsidR="003F210B" w:rsidRPr="00AE19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miesto savivaldybės 2021–2023</w:t>
            </w:r>
            <w:r w:rsidR="00A05C4C" w:rsidRPr="00AE19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metų užimtumo didinimo programa, 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patvirtinta Kauno </w:t>
            </w:r>
            <w:r w:rsidR="003F210B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miesto savivaldybės tarybos 2020</w:t>
            </w:r>
            <w:r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r w:rsidR="003F210B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gruodžio 22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sprendimu Nr. T-</w:t>
            </w:r>
            <w:r w:rsidR="003F210B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„Dė</w:t>
            </w:r>
            <w:r w:rsidR="003F210B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l Kauno miesto savivaldybės 2021–2023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užimtumo d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idinimo programos patvirtinimo“.</w:t>
            </w:r>
          </w:p>
          <w:p w14:paraId="48EF0452" w14:textId="6DE1EAD7" w:rsidR="00A05C4C" w:rsidRPr="00B41363" w:rsidRDefault="00CB67BC" w:rsidP="00D13105">
            <w:pPr>
              <w:spacing w:line="32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9.2. </w:t>
            </w:r>
            <w:r w:rsidR="002D51F5" w:rsidRPr="00AE19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miesto savivaldybės 2021–2023</w:t>
            </w:r>
            <w:r w:rsidR="00A05C4C" w:rsidRPr="00AE19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metų užimtumo didinimo programos įgyvendinimo 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tvarkos aprašas, patvirtintas Kauno miesto savivaldybės administracijos di</w:t>
            </w:r>
            <w:r w:rsidR="002D51F5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rektoriaus 2021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</w:t>
            </w:r>
            <w:r w:rsidR="007553E5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sausio 27 </w:t>
            </w:r>
            <w:r w:rsidR="00A05C4C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d. įsakymu Nr. A-</w:t>
            </w:r>
            <w:hyperlink r:id="rId11" w:history="1"/>
            <w:r w:rsidR="007553E5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262 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57702D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Dėl 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Kauno miesto s</w:t>
            </w:r>
            <w:r w:rsidR="002D51F5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avivaldybės 2021–2023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užimtumo didinimo progra</w:t>
            </w:r>
            <w:r w:rsidR="0057702D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mos įgyvendinimo tvarkos </w:t>
            </w:r>
            <w:r w:rsidR="00A2618F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aprašo</w:t>
            </w:r>
            <w:r w:rsidR="00F27121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patvirtinimo</w:t>
            </w:r>
            <w:r w:rsidR="006945A4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0145AE" w:rsidRPr="00AE19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50F27" w:rsidRPr="00AE19BC" w14:paraId="125A31A7" w14:textId="77777777" w:rsidTr="000A14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2545" w14:textId="77777777" w:rsidR="00337E1A" w:rsidRPr="00AE19BC" w:rsidRDefault="00337E1A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B29E" w14:textId="77777777" w:rsidR="00337E1A" w:rsidRPr="00AE19BC" w:rsidRDefault="00337E1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</w:p>
        </w:tc>
        <w:tc>
          <w:tcPr>
            <w:tcW w:w="1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161C" w14:textId="4758ACD3" w:rsidR="00337E1A" w:rsidRPr="00AE19BC" w:rsidRDefault="00337E1A" w:rsidP="00661C2F">
            <w:pPr>
              <w:spacing w:line="32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E1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Informacija ir konsultacija </w:t>
            </w:r>
            <w:r w:rsidRPr="00AE19BC">
              <w:rPr>
                <w:rFonts w:ascii="Times New Roman" w:hAnsi="Times New Roman" w:cs="Times New Roman"/>
                <w:bCs/>
                <w:sz w:val="24"/>
                <w:szCs w:val="24"/>
              </w:rPr>
              <w:t>dėl paraiškų pildymo, teikimo, priėmimo</w:t>
            </w:r>
            <w:r w:rsidR="00F27121" w:rsidRPr="00AE1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</w:t>
            </w:r>
            <w:r w:rsidRPr="00AE1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paraiškų turinio (veiklų pobūdžio, veiklų atitikties priemonei ir kt.) teikiama </w:t>
            </w:r>
            <w:r w:rsidRPr="00AE19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darbo dienomis I–IV nuo 8 val. iki 17 val., V – nuo 8 val. iki 15.45 val. (nuo 12  val. iki 12.45 val. pietūs) telefonu </w:t>
            </w:r>
            <w:r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(8 37) </w:t>
            </w:r>
            <w:r w:rsidR="00661C2F"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42 56 25</w:t>
            </w:r>
            <w:r w:rsidR="00F27121" w:rsidRPr="00AE19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elektroniniu paštu</w:t>
            </w:r>
            <w:r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hyperlink r:id="rId12" w:history="1">
              <w:r w:rsidR="00942A43" w:rsidRPr="00AE19BC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lt-LT"/>
                </w:rPr>
                <w:t>sigita.liateke@kaunas.lt</w:t>
              </w:r>
            </w:hyperlink>
            <w:r w:rsidRPr="00AE19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292F825A" w14:textId="77777777" w:rsidR="001B55EE" w:rsidRPr="00D50F27" w:rsidRDefault="00CA664F" w:rsidP="004867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19B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</w:t>
      </w:r>
    </w:p>
    <w:sectPr w:rsidR="001B55EE" w:rsidRPr="00D50F27" w:rsidSect="00277D5B">
      <w:headerReference w:type="default" r:id="rId13"/>
      <w:pgSz w:w="16838" w:h="11906" w:orient="landscape"/>
      <w:pgMar w:top="851" w:right="536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C8162" w14:textId="77777777" w:rsidR="00487262" w:rsidRDefault="00487262" w:rsidP="00241794">
      <w:pPr>
        <w:spacing w:after="0" w:line="240" w:lineRule="auto"/>
      </w:pPr>
      <w:r>
        <w:separator/>
      </w:r>
    </w:p>
  </w:endnote>
  <w:endnote w:type="continuationSeparator" w:id="0">
    <w:p w14:paraId="41EB5FFB" w14:textId="77777777" w:rsidR="00487262" w:rsidRDefault="00487262" w:rsidP="0024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503B4" w14:textId="77777777" w:rsidR="00487262" w:rsidRDefault="00487262" w:rsidP="00241794">
      <w:pPr>
        <w:spacing w:after="0" w:line="240" w:lineRule="auto"/>
      </w:pPr>
      <w:r>
        <w:separator/>
      </w:r>
    </w:p>
  </w:footnote>
  <w:footnote w:type="continuationSeparator" w:id="0">
    <w:p w14:paraId="5113E346" w14:textId="77777777" w:rsidR="00487262" w:rsidRDefault="00487262" w:rsidP="0024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46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8B979F" w14:textId="5C6249A1" w:rsidR="003E4FBA" w:rsidRPr="00E85556" w:rsidRDefault="003E4FBA">
        <w:pPr>
          <w:pStyle w:val="Antrats"/>
          <w:jc w:val="center"/>
          <w:rPr>
            <w:rFonts w:ascii="Times New Roman" w:hAnsi="Times New Roman" w:cs="Times New Roman"/>
          </w:rPr>
        </w:pPr>
        <w:r w:rsidRPr="00E85556">
          <w:rPr>
            <w:rFonts w:ascii="Times New Roman" w:hAnsi="Times New Roman" w:cs="Times New Roman"/>
          </w:rPr>
          <w:fldChar w:fldCharType="begin"/>
        </w:r>
        <w:r w:rsidRPr="00E85556">
          <w:rPr>
            <w:rFonts w:ascii="Times New Roman" w:hAnsi="Times New Roman" w:cs="Times New Roman"/>
          </w:rPr>
          <w:instrText>PAGE   \* MERGEFORMAT</w:instrText>
        </w:r>
        <w:r w:rsidRPr="00E85556">
          <w:rPr>
            <w:rFonts w:ascii="Times New Roman" w:hAnsi="Times New Roman" w:cs="Times New Roman"/>
          </w:rPr>
          <w:fldChar w:fldCharType="separate"/>
        </w:r>
        <w:r w:rsidR="005C6040">
          <w:rPr>
            <w:rFonts w:ascii="Times New Roman" w:hAnsi="Times New Roman" w:cs="Times New Roman"/>
            <w:noProof/>
          </w:rPr>
          <w:t>4</w:t>
        </w:r>
        <w:r w:rsidRPr="00E8555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F91"/>
    <w:multiLevelType w:val="hybridMultilevel"/>
    <w:tmpl w:val="2D0A60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14CC"/>
    <w:multiLevelType w:val="multilevel"/>
    <w:tmpl w:val="2CE81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4650D91"/>
    <w:multiLevelType w:val="hybridMultilevel"/>
    <w:tmpl w:val="4AA61AE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C7A54"/>
    <w:multiLevelType w:val="hybridMultilevel"/>
    <w:tmpl w:val="8E7493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AC09E4"/>
    <w:multiLevelType w:val="hybridMultilevel"/>
    <w:tmpl w:val="2CE2394E"/>
    <w:lvl w:ilvl="0" w:tplc="0427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4C59"/>
    <w:multiLevelType w:val="hybridMultilevel"/>
    <w:tmpl w:val="E40E80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52C76"/>
    <w:multiLevelType w:val="multilevel"/>
    <w:tmpl w:val="C4A80F6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</w:rPr>
    </w:lvl>
  </w:abstractNum>
  <w:abstractNum w:abstractNumId="7" w15:restartNumberingAfterBreak="0">
    <w:nsid w:val="27D43C99"/>
    <w:multiLevelType w:val="hybridMultilevel"/>
    <w:tmpl w:val="CE22A4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9181C"/>
    <w:multiLevelType w:val="hybridMultilevel"/>
    <w:tmpl w:val="4DF2D28E"/>
    <w:lvl w:ilvl="0" w:tplc="0427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76029"/>
    <w:multiLevelType w:val="hybridMultilevel"/>
    <w:tmpl w:val="91060C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D6A73"/>
    <w:multiLevelType w:val="hybridMultilevel"/>
    <w:tmpl w:val="0B5E81DA"/>
    <w:lvl w:ilvl="0" w:tplc="0427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24831"/>
    <w:multiLevelType w:val="hybridMultilevel"/>
    <w:tmpl w:val="624A3CC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908EB"/>
    <w:multiLevelType w:val="hybridMultilevel"/>
    <w:tmpl w:val="966C11E4"/>
    <w:lvl w:ilvl="0" w:tplc="BC64D4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1508"/>
    <w:multiLevelType w:val="multilevel"/>
    <w:tmpl w:val="64F8D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857E54"/>
    <w:multiLevelType w:val="hybridMultilevel"/>
    <w:tmpl w:val="60F63050"/>
    <w:lvl w:ilvl="0" w:tplc="BC64D4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34C8E"/>
    <w:multiLevelType w:val="multilevel"/>
    <w:tmpl w:val="497A1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6" w15:restartNumberingAfterBreak="0">
    <w:nsid w:val="587379BF"/>
    <w:multiLevelType w:val="hybridMultilevel"/>
    <w:tmpl w:val="122447F4"/>
    <w:lvl w:ilvl="0" w:tplc="BC64D4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ED2287"/>
    <w:multiLevelType w:val="hybridMultilevel"/>
    <w:tmpl w:val="C194C0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34D10"/>
    <w:multiLevelType w:val="multilevel"/>
    <w:tmpl w:val="517697D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</w:rPr>
    </w:lvl>
  </w:abstractNum>
  <w:abstractNum w:abstractNumId="19" w15:restartNumberingAfterBreak="0">
    <w:nsid w:val="6BBC6600"/>
    <w:multiLevelType w:val="hybridMultilevel"/>
    <w:tmpl w:val="B16635B0"/>
    <w:lvl w:ilvl="0" w:tplc="64D60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B95"/>
    <w:multiLevelType w:val="hybridMultilevel"/>
    <w:tmpl w:val="25547F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66563"/>
    <w:multiLevelType w:val="hybridMultilevel"/>
    <w:tmpl w:val="E5300C84"/>
    <w:lvl w:ilvl="0" w:tplc="64D60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744A95"/>
    <w:multiLevelType w:val="multilevel"/>
    <w:tmpl w:val="B9B83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20"/>
  </w:num>
  <w:num w:numId="11">
    <w:abstractNumId w:val="7"/>
  </w:num>
  <w:num w:numId="12">
    <w:abstractNumId w:val="21"/>
  </w:num>
  <w:num w:numId="13">
    <w:abstractNumId w:val="19"/>
  </w:num>
  <w:num w:numId="14">
    <w:abstractNumId w:val="10"/>
  </w:num>
  <w:num w:numId="15">
    <w:abstractNumId w:val="11"/>
  </w:num>
  <w:num w:numId="16">
    <w:abstractNumId w:val="0"/>
  </w:num>
  <w:num w:numId="17">
    <w:abstractNumId w:val="15"/>
  </w:num>
  <w:num w:numId="18">
    <w:abstractNumId w:val="5"/>
  </w:num>
  <w:num w:numId="19">
    <w:abstractNumId w:val="17"/>
  </w:num>
  <w:num w:numId="20">
    <w:abstractNumId w:val="13"/>
  </w:num>
  <w:num w:numId="21">
    <w:abstractNumId w:val="9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2A"/>
    <w:rsid w:val="00003C91"/>
    <w:rsid w:val="00004A31"/>
    <w:rsid w:val="00012DF3"/>
    <w:rsid w:val="000145AE"/>
    <w:rsid w:val="000265D3"/>
    <w:rsid w:val="00037E4B"/>
    <w:rsid w:val="00063308"/>
    <w:rsid w:val="00070AC3"/>
    <w:rsid w:val="00082502"/>
    <w:rsid w:val="00094D9D"/>
    <w:rsid w:val="000A14A7"/>
    <w:rsid w:val="000A3ED2"/>
    <w:rsid w:val="000A6EAE"/>
    <w:rsid w:val="000B40A2"/>
    <w:rsid w:val="000B4D05"/>
    <w:rsid w:val="000C24AF"/>
    <w:rsid w:val="000D0D26"/>
    <w:rsid w:val="000E4E80"/>
    <w:rsid w:val="000E5CE4"/>
    <w:rsid w:val="000E61B5"/>
    <w:rsid w:val="000F11E5"/>
    <w:rsid w:val="000F6126"/>
    <w:rsid w:val="00101487"/>
    <w:rsid w:val="00103086"/>
    <w:rsid w:val="00103793"/>
    <w:rsid w:val="00127D25"/>
    <w:rsid w:val="001367DA"/>
    <w:rsid w:val="00143E3D"/>
    <w:rsid w:val="0014550F"/>
    <w:rsid w:val="001533A3"/>
    <w:rsid w:val="001569FA"/>
    <w:rsid w:val="00160111"/>
    <w:rsid w:val="00162471"/>
    <w:rsid w:val="00162AD3"/>
    <w:rsid w:val="0017608A"/>
    <w:rsid w:val="0019178E"/>
    <w:rsid w:val="00195A6E"/>
    <w:rsid w:val="001A1353"/>
    <w:rsid w:val="001A1AE3"/>
    <w:rsid w:val="001A3E8E"/>
    <w:rsid w:val="001A4C7F"/>
    <w:rsid w:val="001A5F75"/>
    <w:rsid w:val="001A675A"/>
    <w:rsid w:val="001A7AD7"/>
    <w:rsid w:val="001B55EE"/>
    <w:rsid w:val="001C222C"/>
    <w:rsid w:val="001C2B27"/>
    <w:rsid w:val="001D24BC"/>
    <w:rsid w:val="001E0613"/>
    <w:rsid w:val="001E14A9"/>
    <w:rsid w:val="001E1CC6"/>
    <w:rsid w:val="001E2C8B"/>
    <w:rsid w:val="001E3346"/>
    <w:rsid w:val="0020241F"/>
    <w:rsid w:val="00206303"/>
    <w:rsid w:val="00217D2C"/>
    <w:rsid w:val="0022279E"/>
    <w:rsid w:val="002259ED"/>
    <w:rsid w:val="00231136"/>
    <w:rsid w:val="00241794"/>
    <w:rsid w:val="002441BA"/>
    <w:rsid w:val="002511FE"/>
    <w:rsid w:val="00252A2F"/>
    <w:rsid w:val="0026158F"/>
    <w:rsid w:val="0027546B"/>
    <w:rsid w:val="00277D5B"/>
    <w:rsid w:val="00282D07"/>
    <w:rsid w:val="00292E9D"/>
    <w:rsid w:val="002945ED"/>
    <w:rsid w:val="002A21A2"/>
    <w:rsid w:val="002A4E94"/>
    <w:rsid w:val="002A60B2"/>
    <w:rsid w:val="002B2301"/>
    <w:rsid w:val="002B42D6"/>
    <w:rsid w:val="002B6867"/>
    <w:rsid w:val="002D11FD"/>
    <w:rsid w:val="002D346A"/>
    <w:rsid w:val="002D51F5"/>
    <w:rsid w:val="002D5398"/>
    <w:rsid w:val="002E0589"/>
    <w:rsid w:val="002E518A"/>
    <w:rsid w:val="002E68EE"/>
    <w:rsid w:val="002F3EB3"/>
    <w:rsid w:val="002F722B"/>
    <w:rsid w:val="00304C4E"/>
    <w:rsid w:val="00304EDF"/>
    <w:rsid w:val="0031441C"/>
    <w:rsid w:val="003251E4"/>
    <w:rsid w:val="00335CC0"/>
    <w:rsid w:val="00337D27"/>
    <w:rsid w:val="00337E1A"/>
    <w:rsid w:val="00341287"/>
    <w:rsid w:val="003512D2"/>
    <w:rsid w:val="003524F8"/>
    <w:rsid w:val="003525CD"/>
    <w:rsid w:val="0035765B"/>
    <w:rsid w:val="00360C88"/>
    <w:rsid w:val="00362D62"/>
    <w:rsid w:val="00363802"/>
    <w:rsid w:val="0038539A"/>
    <w:rsid w:val="0039203B"/>
    <w:rsid w:val="00392BBA"/>
    <w:rsid w:val="00392FDA"/>
    <w:rsid w:val="003B28F7"/>
    <w:rsid w:val="003B5EA8"/>
    <w:rsid w:val="003C3B8D"/>
    <w:rsid w:val="003D4A39"/>
    <w:rsid w:val="003D685F"/>
    <w:rsid w:val="003E37C6"/>
    <w:rsid w:val="003E4FBA"/>
    <w:rsid w:val="003F210B"/>
    <w:rsid w:val="00401587"/>
    <w:rsid w:val="004016B8"/>
    <w:rsid w:val="0041368E"/>
    <w:rsid w:val="0041404A"/>
    <w:rsid w:val="004140EF"/>
    <w:rsid w:val="0041459A"/>
    <w:rsid w:val="0042057F"/>
    <w:rsid w:val="00420B2A"/>
    <w:rsid w:val="00426315"/>
    <w:rsid w:val="00426583"/>
    <w:rsid w:val="004351B0"/>
    <w:rsid w:val="00436874"/>
    <w:rsid w:val="004610D4"/>
    <w:rsid w:val="00464FBD"/>
    <w:rsid w:val="00470E55"/>
    <w:rsid w:val="00472C6B"/>
    <w:rsid w:val="004744FE"/>
    <w:rsid w:val="004750F8"/>
    <w:rsid w:val="00485458"/>
    <w:rsid w:val="004867C4"/>
    <w:rsid w:val="00487262"/>
    <w:rsid w:val="00490A99"/>
    <w:rsid w:val="004A0A97"/>
    <w:rsid w:val="004C14D0"/>
    <w:rsid w:val="004D7A73"/>
    <w:rsid w:val="004E043E"/>
    <w:rsid w:val="004F13BB"/>
    <w:rsid w:val="004F285E"/>
    <w:rsid w:val="00500217"/>
    <w:rsid w:val="00504474"/>
    <w:rsid w:val="00513629"/>
    <w:rsid w:val="00522192"/>
    <w:rsid w:val="005232B2"/>
    <w:rsid w:val="005243B6"/>
    <w:rsid w:val="0052719B"/>
    <w:rsid w:val="005372C0"/>
    <w:rsid w:val="00542897"/>
    <w:rsid w:val="00557DF3"/>
    <w:rsid w:val="005641A6"/>
    <w:rsid w:val="005644D0"/>
    <w:rsid w:val="0056644C"/>
    <w:rsid w:val="005714C7"/>
    <w:rsid w:val="00574112"/>
    <w:rsid w:val="00575353"/>
    <w:rsid w:val="0057702D"/>
    <w:rsid w:val="00581296"/>
    <w:rsid w:val="005A623F"/>
    <w:rsid w:val="005A7037"/>
    <w:rsid w:val="005B1DD2"/>
    <w:rsid w:val="005C6040"/>
    <w:rsid w:val="005D18DF"/>
    <w:rsid w:val="005D2006"/>
    <w:rsid w:val="005D42BB"/>
    <w:rsid w:val="005D5DEF"/>
    <w:rsid w:val="005E10E0"/>
    <w:rsid w:val="005E2465"/>
    <w:rsid w:val="005F2FFE"/>
    <w:rsid w:val="00603C66"/>
    <w:rsid w:val="00606958"/>
    <w:rsid w:val="00611215"/>
    <w:rsid w:val="00612FBE"/>
    <w:rsid w:val="00622DED"/>
    <w:rsid w:val="00624224"/>
    <w:rsid w:val="00626719"/>
    <w:rsid w:val="006463CE"/>
    <w:rsid w:val="00650148"/>
    <w:rsid w:val="006527E4"/>
    <w:rsid w:val="0065305C"/>
    <w:rsid w:val="00657ED3"/>
    <w:rsid w:val="00661C2F"/>
    <w:rsid w:val="00694352"/>
    <w:rsid w:val="006945A4"/>
    <w:rsid w:val="006A1DAC"/>
    <w:rsid w:val="006A7B49"/>
    <w:rsid w:val="006B2E0B"/>
    <w:rsid w:val="006B2FB6"/>
    <w:rsid w:val="006C6A54"/>
    <w:rsid w:val="006D5158"/>
    <w:rsid w:val="006E0A4F"/>
    <w:rsid w:val="006E3F1B"/>
    <w:rsid w:val="006E4178"/>
    <w:rsid w:val="006F060A"/>
    <w:rsid w:val="00701C25"/>
    <w:rsid w:val="00705033"/>
    <w:rsid w:val="007146F0"/>
    <w:rsid w:val="0073674A"/>
    <w:rsid w:val="0074190D"/>
    <w:rsid w:val="00751EB1"/>
    <w:rsid w:val="00753A9D"/>
    <w:rsid w:val="00754431"/>
    <w:rsid w:val="007553E5"/>
    <w:rsid w:val="00755782"/>
    <w:rsid w:val="00755834"/>
    <w:rsid w:val="00776B45"/>
    <w:rsid w:val="00787F83"/>
    <w:rsid w:val="00792072"/>
    <w:rsid w:val="00796430"/>
    <w:rsid w:val="007A73CA"/>
    <w:rsid w:val="007A785E"/>
    <w:rsid w:val="007B0A28"/>
    <w:rsid w:val="007B6B65"/>
    <w:rsid w:val="007B7304"/>
    <w:rsid w:val="007E12C7"/>
    <w:rsid w:val="007E644E"/>
    <w:rsid w:val="007F0EB1"/>
    <w:rsid w:val="007F1411"/>
    <w:rsid w:val="008038D8"/>
    <w:rsid w:val="0082016E"/>
    <w:rsid w:val="008324EE"/>
    <w:rsid w:val="00835CEC"/>
    <w:rsid w:val="00846EDB"/>
    <w:rsid w:val="0085661C"/>
    <w:rsid w:val="008652A4"/>
    <w:rsid w:val="00872D3B"/>
    <w:rsid w:val="00873257"/>
    <w:rsid w:val="00880A36"/>
    <w:rsid w:val="008856FD"/>
    <w:rsid w:val="00885D98"/>
    <w:rsid w:val="00896D9A"/>
    <w:rsid w:val="008A5700"/>
    <w:rsid w:val="008C5744"/>
    <w:rsid w:val="008C7D5A"/>
    <w:rsid w:val="008C7E62"/>
    <w:rsid w:val="008D3C22"/>
    <w:rsid w:val="008D3EE2"/>
    <w:rsid w:val="008D58D0"/>
    <w:rsid w:val="008E0D49"/>
    <w:rsid w:val="008E3483"/>
    <w:rsid w:val="008E3BDB"/>
    <w:rsid w:val="008F438A"/>
    <w:rsid w:val="00912D68"/>
    <w:rsid w:val="009162DF"/>
    <w:rsid w:val="009211B7"/>
    <w:rsid w:val="0092156A"/>
    <w:rsid w:val="00921A9F"/>
    <w:rsid w:val="00923E32"/>
    <w:rsid w:val="00925E5B"/>
    <w:rsid w:val="009364D4"/>
    <w:rsid w:val="00942A43"/>
    <w:rsid w:val="00942AAD"/>
    <w:rsid w:val="00945CD4"/>
    <w:rsid w:val="00947B13"/>
    <w:rsid w:val="0095392D"/>
    <w:rsid w:val="00970C8C"/>
    <w:rsid w:val="009743AB"/>
    <w:rsid w:val="009754F5"/>
    <w:rsid w:val="0098206E"/>
    <w:rsid w:val="009A01E1"/>
    <w:rsid w:val="009B763B"/>
    <w:rsid w:val="009C1C4B"/>
    <w:rsid w:val="009C5BC8"/>
    <w:rsid w:val="009D17F6"/>
    <w:rsid w:val="009D43FD"/>
    <w:rsid w:val="009D6E42"/>
    <w:rsid w:val="009E36A8"/>
    <w:rsid w:val="009E53EF"/>
    <w:rsid w:val="009E75F0"/>
    <w:rsid w:val="009F229A"/>
    <w:rsid w:val="009F27C3"/>
    <w:rsid w:val="009F5C7D"/>
    <w:rsid w:val="00A05C4C"/>
    <w:rsid w:val="00A145D1"/>
    <w:rsid w:val="00A25FB1"/>
    <w:rsid w:val="00A2618F"/>
    <w:rsid w:val="00A46238"/>
    <w:rsid w:val="00A51650"/>
    <w:rsid w:val="00A51F3E"/>
    <w:rsid w:val="00A52C06"/>
    <w:rsid w:val="00A5431A"/>
    <w:rsid w:val="00A64E68"/>
    <w:rsid w:val="00A74ED2"/>
    <w:rsid w:val="00A850DE"/>
    <w:rsid w:val="00A872EA"/>
    <w:rsid w:val="00A977AB"/>
    <w:rsid w:val="00AA17D1"/>
    <w:rsid w:val="00AA2C24"/>
    <w:rsid w:val="00AB5528"/>
    <w:rsid w:val="00AB76F9"/>
    <w:rsid w:val="00AC5C33"/>
    <w:rsid w:val="00AD1399"/>
    <w:rsid w:val="00AD51E0"/>
    <w:rsid w:val="00AE19BC"/>
    <w:rsid w:val="00AE4287"/>
    <w:rsid w:val="00AF0165"/>
    <w:rsid w:val="00AF1FB8"/>
    <w:rsid w:val="00AF6556"/>
    <w:rsid w:val="00AF7270"/>
    <w:rsid w:val="00B018B0"/>
    <w:rsid w:val="00B02187"/>
    <w:rsid w:val="00B0549E"/>
    <w:rsid w:val="00B1324B"/>
    <w:rsid w:val="00B15082"/>
    <w:rsid w:val="00B15C52"/>
    <w:rsid w:val="00B15ED9"/>
    <w:rsid w:val="00B23DC6"/>
    <w:rsid w:val="00B25F2D"/>
    <w:rsid w:val="00B34B5F"/>
    <w:rsid w:val="00B41363"/>
    <w:rsid w:val="00B43AE3"/>
    <w:rsid w:val="00B43DFE"/>
    <w:rsid w:val="00B45CB8"/>
    <w:rsid w:val="00B6441D"/>
    <w:rsid w:val="00B6520F"/>
    <w:rsid w:val="00B71840"/>
    <w:rsid w:val="00B7237A"/>
    <w:rsid w:val="00B752B1"/>
    <w:rsid w:val="00B77388"/>
    <w:rsid w:val="00B804F0"/>
    <w:rsid w:val="00B84669"/>
    <w:rsid w:val="00B8776F"/>
    <w:rsid w:val="00B93C2E"/>
    <w:rsid w:val="00BC225D"/>
    <w:rsid w:val="00BC2407"/>
    <w:rsid w:val="00BC3A5C"/>
    <w:rsid w:val="00BC439C"/>
    <w:rsid w:val="00BC5CF5"/>
    <w:rsid w:val="00BE233E"/>
    <w:rsid w:val="00BE257B"/>
    <w:rsid w:val="00BE772B"/>
    <w:rsid w:val="00BF1E86"/>
    <w:rsid w:val="00BF34D0"/>
    <w:rsid w:val="00C0139D"/>
    <w:rsid w:val="00C13779"/>
    <w:rsid w:val="00C17084"/>
    <w:rsid w:val="00C21044"/>
    <w:rsid w:val="00C22E87"/>
    <w:rsid w:val="00C24F05"/>
    <w:rsid w:val="00C332AF"/>
    <w:rsid w:val="00C6065A"/>
    <w:rsid w:val="00C6101A"/>
    <w:rsid w:val="00C6160F"/>
    <w:rsid w:val="00C64EE2"/>
    <w:rsid w:val="00C72069"/>
    <w:rsid w:val="00C8451C"/>
    <w:rsid w:val="00C93202"/>
    <w:rsid w:val="00C93A6E"/>
    <w:rsid w:val="00C93BFD"/>
    <w:rsid w:val="00C9683F"/>
    <w:rsid w:val="00C96E90"/>
    <w:rsid w:val="00CA1CC2"/>
    <w:rsid w:val="00CA3CFE"/>
    <w:rsid w:val="00CA664F"/>
    <w:rsid w:val="00CA7BDD"/>
    <w:rsid w:val="00CB67BC"/>
    <w:rsid w:val="00CB7C52"/>
    <w:rsid w:val="00CE2B90"/>
    <w:rsid w:val="00CE3347"/>
    <w:rsid w:val="00CE5D55"/>
    <w:rsid w:val="00CE63B6"/>
    <w:rsid w:val="00CF441F"/>
    <w:rsid w:val="00D03B2C"/>
    <w:rsid w:val="00D12E57"/>
    <w:rsid w:val="00D13105"/>
    <w:rsid w:val="00D1314B"/>
    <w:rsid w:val="00D2363C"/>
    <w:rsid w:val="00D258EC"/>
    <w:rsid w:val="00D31F3F"/>
    <w:rsid w:val="00D37236"/>
    <w:rsid w:val="00D45CF7"/>
    <w:rsid w:val="00D50F27"/>
    <w:rsid w:val="00D56063"/>
    <w:rsid w:val="00D6047B"/>
    <w:rsid w:val="00D7595F"/>
    <w:rsid w:val="00D778F7"/>
    <w:rsid w:val="00D80D3F"/>
    <w:rsid w:val="00D80DB1"/>
    <w:rsid w:val="00D92014"/>
    <w:rsid w:val="00D938EB"/>
    <w:rsid w:val="00DA165C"/>
    <w:rsid w:val="00DC54CC"/>
    <w:rsid w:val="00DC609A"/>
    <w:rsid w:val="00DD5ED6"/>
    <w:rsid w:val="00DE188E"/>
    <w:rsid w:val="00DF0F6B"/>
    <w:rsid w:val="00DF19DA"/>
    <w:rsid w:val="00DF39ED"/>
    <w:rsid w:val="00E04B53"/>
    <w:rsid w:val="00E05086"/>
    <w:rsid w:val="00E066C8"/>
    <w:rsid w:val="00E10572"/>
    <w:rsid w:val="00E1591F"/>
    <w:rsid w:val="00E163E0"/>
    <w:rsid w:val="00E266BE"/>
    <w:rsid w:val="00E318E8"/>
    <w:rsid w:val="00E33530"/>
    <w:rsid w:val="00E41259"/>
    <w:rsid w:val="00E44406"/>
    <w:rsid w:val="00E5146D"/>
    <w:rsid w:val="00E54FED"/>
    <w:rsid w:val="00E55F4C"/>
    <w:rsid w:val="00E7174A"/>
    <w:rsid w:val="00E7619F"/>
    <w:rsid w:val="00E85556"/>
    <w:rsid w:val="00E923FA"/>
    <w:rsid w:val="00E94C7C"/>
    <w:rsid w:val="00EB7798"/>
    <w:rsid w:val="00ED196D"/>
    <w:rsid w:val="00ED4334"/>
    <w:rsid w:val="00ED43C6"/>
    <w:rsid w:val="00EE164F"/>
    <w:rsid w:val="00EF74EE"/>
    <w:rsid w:val="00F126A3"/>
    <w:rsid w:val="00F143DB"/>
    <w:rsid w:val="00F1611D"/>
    <w:rsid w:val="00F23919"/>
    <w:rsid w:val="00F27121"/>
    <w:rsid w:val="00F33038"/>
    <w:rsid w:val="00F44C74"/>
    <w:rsid w:val="00F56484"/>
    <w:rsid w:val="00F6425B"/>
    <w:rsid w:val="00F668B5"/>
    <w:rsid w:val="00F7197A"/>
    <w:rsid w:val="00FA75E2"/>
    <w:rsid w:val="00FB13D2"/>
    <w:rsid w:val="00FB58AB"/>
    <w:rsid w:val="00FB59C6"/>
    <w:rsid w:val="00FB6AB1"/>
    <w:rsid w:val="00FB6F23"/>
    <w:rsid w:val="00FC0A97"/>
    <w:rsid w:val="00FC522A"/>
    <w:rsid w:val="00FC7818"/>
    <w:rsid w:val="00FF4F1A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73EE"/>
  <w15:docId w15:val="{349920FE-94FA-4C0B-86EB-50C2B8A5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10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qFormat/>
    <w:rsid w:val="0042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20B2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F7270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53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53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53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53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53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5353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7419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190D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41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1794"/>
  </w:style>
  <w:style w:type="paragraph" w:styleId="Porat">
    <w:name w:val="footer"/>
    <w:basedOn w:val="prastasis"/>
    <w:link w:val="PoratDiagrama"/>
    <w:uiPriority w:val="99"/>
    <w:unhideWhenUsed/>
    <w:rsid w:val="00241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1794"/>
  </w:style>
  <w:style w:type="character" w:styleId="Perirtashipersaitas">
    <w:name w:val="FollowedHyperlink"/>
    <w:basedOn w:val="Numatytasispastraiposriftas"/>
    <w:uiPriority w:val="99"/>
    <w:semiHidden/>
    <w:unhideWhenUsed/>
    <w:rsid w:val="001A675A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2B42D6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F6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2">
    <w:name w:val="Lentelės tinklelis2"/>
    <w:basedOn w:val="prastojilentel"/>
    <w:uiPriority w:val="39"/>
    <w:rsid w:val="00C616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661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gita.liateke@kauna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eveleidu\Desktop\U&#382;imtumas\a181248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77CCB79AA914EA7A0077E73EEEF20" ma:contentTypeVersion="11" ma:contentTypeDescription="Create a new document." ma:contentTypeScope="" ma:versionID="f9e9028385f36454f77a31c8e89d05ea">
  <xsd:schema xmlns:xsd="http://www.w3.org/2001/XMLSchema" xmlns:xs="http://www.w3.org/2001/XMLSchema" xmlns:p="http://schemas.microsoft.com/office/2006/metadata/properties" xmlns:ns3="c095585d-59ce-4786-8200-355f7d245ba2" xmlns:ns4="7f267bba-aa25-4273-9a50-d1d6e500b068" targetNamespace="http://schemas.microsoft.com/office/2006/metadata/properties" ma:root="true" ma:fieldsID="6c42948a76396c8b7db2a84c0083cb7d" ns3:_="" ns4:_="">
    <xsd:import namespace="c095585d-59ce-4786-8200-355f7d245ba2"/>
    <xsd:import namespace="7f267bba-aa25-4273-9a50-d1d6e500b0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5585d-59ce-4786-8200-355f7d245b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7bba-aa25-4273-9a50-d1d6e500b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31CD-AD4A-488B-92A0-7ECCFDEC65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95585d-59ce-4786-8200-355f7d245ba2"/>
    <ds:schemaRef ds:uri="http://purl.org/dc/elements/1.1/"/>
    <ds:schemaRef ds:uri="http://schemas.microsoft.com/office/2006/metadata/properties"/>
    <ds:schemaRef ds:uri="7f267bba-aa25-4273-9a50-d1d6e500b06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97B7B0-6EDE-4DC3-8DCA-0AA21330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5585d-59ce-4786-8200-355f7d245ba2"/>
    <ds:schemaRef ds:uri="7f267bba-aa25-4273-9a50-d1d6e500b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78503-E0A1-4D71-B81A-08855FE11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1C58C-80F2-4674-AEB7-A30C94F6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4357</Words>
  <Characters>2485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KVIETIMAS TEIKTI PARAIŠKAS PAGAL KAUNO MIESTO SAVIVALDYBĖS 2018–2020 METŲ UŽIMTUMO DIDINIMO PROGRAMOS 9.4 PRIEMONĘ „SKATINTI BEDARBIŲ ASMENŲ ĮSITRAUKIMĄ Į DARBO RINKĄ SUKURIANT PERKVALIFIKAVIMO, MOKYMŲ, PROFESINIŲ AR KITŲ DARBINIŲ ĮGŪDŽIŲ IR ŽINIŲ SUTEIKIMO GALIMYBES“</dc:subject>
  <dc:creator>Socialinių paslaugų skyrius</dc:creator>
  <cp:lastModifiedBy>Skaidrė Kareniauskaitė</cp:lastModifiedBy>
  <cp:revision>3</cp:revision>
  <cp:lastPrinted>2020-04-30T07:50:00Z</cp:lastPrinted>
  <dcterms:created xsi:type="dcterms:W3CDTF">2021-02-11T13:37:00Z</dcterms:created>
  <dcterms:modified xsi:type="dcterms:W3CDTF">2022-02-04T12:56:00Z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0x010100A2177CCB79AA914EA7A0077E73EEEF20</vt:lpwstr>
  </property>
</Properties>
</file>