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4005" w:type="dxa"/>
        <w:tblInd w:w="93" w:type="dxa"/>
        <w:tblLook w:val="04A0" w:firstRow="1" w:lastRow="0" w:firstColumn="1" w:lastColumn="0" w:noHBand="0" w:noVBand="1"/>
      </w:tblPr>
      <w:tblGrid>
        <w:gridCol w:w="420"/>
        <w:gridCol w:w="5265"/>
        <w:gridCol w:w="2000"/>
        <w:gridCol w:w="2400"/>
        <w:gridCol w:w="3920"/>
      </w:tblGrid>
      <w:tr w:rsidR="00E33C76" w:rsidTr="003C54F4">
        <w:trPr>
          <w:cantSplit/>
          <w:trHeight w:val="283"/>
        </w:trPr>
        <w:tc>
          <w:tcPr>
            <w:tcW w:w="420" w:type="dxa"/>
            <w:tcBorders>
              <w:top w:val="nil"/>
              <w:left w:val="nil"/>
              <w:bottom w:val="nil"/>
              <w:right w:val="nil"/>
            </w:tcBorders>
            <w:shd w:val="clear" w:color="auto" w:fill="auto"/>
            <w:noWrap/>
            <w:vAlign w:val="bottom"/>
            <w:hideMark/>
          </w:tcPr>
          <w:p w:rsidR="00E33C76" w:rsidRDefault="00E33C76" w:rsidP="003C54F4">
            <w:pPr>
              <w:rPr>
                <w:color w:val="000000"/>
                <w:sz w:val="22"/>
                <w:szCs w:val="22"/>
                <w:lang w:eastAsia="lt-LT"/>
              </w:rPr>
            </w:pPr>
          </w:p>
        </w:tc>
        <w:tc>
          <w:tcPr>
            <w:tcW w:w="13585" w:type="dxa"/>
            <w:gridSpan w:val="4"/>
            <w:tcBorders>
              <w:top w:val="nil"/>
              <w:left w:val="nil"/>
              <w:bottom w:val="nil"/>
              <w:right w:val="nil"/>
            </w:tcBorders>
            <w:shd w:val="clear" w:color="auto" w:fill="auto"/>
            <w:noWrap/>
            <w:vAlign w:val="bottom"/>
            <w:hideMark/>
          </w:tcPr>
          <w:p w:rsidR="00E33C76" w:rsidRDefault="00E33C76" w:rsidP="003C54F4">
            <w:pPr>
              <w:jc w:val="center"/>
              <w:rPr>
                <w:b/>
                <w:bCs/>
                <w:color w:val="000000"/>
                <w:sz w:val="22"/>
                <w:szCs w:val="22"/>
                <w:lang w:eastAsia="lt-LT"/>
              </w:rPr>
            </w:pPr>
          </w:p>
          <w:p w:rsidR="00E33C76" w:rsidRDefault="00E33C76" w:rsidP="003C54F4">
            <w:pPr>
              <w:jc w:val="center"/>
              <w:rPr>
                <w:b/>
                <w:bCs/>
                <w:color w:val="000000"/>
                <w:sz w:val="22"/>
                <w:szCs w:val="22"/>
                <w:lang w:eastAsia="lt-LT"/>
              </w:rPr>
            </w:pPr>
          </w:p>
          <w:p w:rsidR="00E33C76" w:rsidRDefault="00E33C76" w:rsidP="003C54F4">
            <w:pPr>
              <w:jc w:val="center"/>
              <w:rPr>
                <w:b/>
                <w:bCs/>
                <w:color w:val="000000"/>
                <w:sz w:val="22"/>
                <w:szCs w:val="22"/>
                <w:lang w:eastAsia="lt-LT"/>
              </w:rPr>
            </w:pPr>
            <w:r>
              <w:rPr>
                <w:b/>
                <w:bCs/>
                <w:color w:val="000000"/>
                <w:sz w:val="22"/>
                <w:szCs w:val="22"/>
                <w:lang w:eastAsia="lt-LT"/>
              </w:rPr>
              <w:t>KAUNO MIESTO INTEGRUOTA TERITORIJŲ VYSTYMO PROGRAMA</w:t>
            </w:r>
          </w:p>
          <w:p w:rsidR="00E33C76" w:rsidRDefault="00E33C76" w:rsidP="003C54F4">
            <w:pPr>
              <w:jc w:val="center"/>
              <w:rPr>
                <w:b/>
                <w:bCs/>
                <w:color w:val="000000"/>
                <w:sz w:val="22"/>
                <w:szCs w:val="22"/>
                <w:lang w:eastAsia="lt-LT"/>
              </w:rPr>
            </w:pPr>
          </w:p>
          <w:p w:rsidR="00E33C76" w:rsidRDefault="00E33C76" w:rsidP="003C54F4">
            <w:pPr>
              <w:jc w:val="center"/>
              <w:rPr>
                <w:b/>
                <w:bCs/>
                <w:color w:val="000000"/>
                <w:sz w:val="22"/>
                <w:szCs w:val="22"/>
                <w:lang w:eastAsia="lt-LT"/>
              </w:rPr>
            </w:pPr>
          </w:p>
          <w:p w:rsidR="00E33C76" w:rsidRDefault="00E33C76" w:rsidP="003C54F4">
            <w:pPr>
              <w:jc w:val="center"/>
              <w:rPr>
                <w:b/>
                <w:bCs/>
                <w:color w:val="000000"/>
                <w:sz w:val="22"/>
                <w:szCs w:val="22"/>
                <w:lang w:eastAsia="lt-LT"/>
              </w:rPr>
            </w:pPr>
            <w:r>
              <w:rPr>
                <w:b/>
                <w:bCs/>
                <w:color w:val="000000"/>
                <w:sz w:val="22"/>
                <w:szCs w:val="22"/>
                <w:lang w:eastAsia="lt-LT"/>
              </w:rPr>
              <w:t>STIPRYBIŲ, SIPLNYBIŲ, GALIMYBIŲ IR GRĖSMIŲ LENTELĖ</w:t>
            </w:r>
          </w:p>
        </w:tc>
      </w:tr>
      <w:tr w:rsidR="00E33C76" w:rsidTr="003C54F4">
        <w:trPr>
          <w:cantSplit/>
          <w:trHeight w:val="283"/>
        </w:trPr>
        <w:tc>
          <w:tcPr>
            <w:tcW w:w="420" w:type="dxa"/>
            <w:tcBorders>
              <w:top w:val="nil"/>
              <w:left w:val="nil"/>
              <w:bottom w:val="nil"/>
              <w:right w:val="nil"/>
            </w:tcBorders>
            <w:shd w:val="clear" w:color="auto" w:fill="auto"/>
            <w:noWrap/>
            <w:vAlign w:val="bottom"/>
            <w:hideMark/>
          </w:tcPr>
          <w:p w:rsidR="00E33C76" w:rsidRDefault="00E33C76" w:rsidP="003C54F4">
            <w:pPr>
              <w:rPr>
                <w:color w:val="000000"/>
                <w:sz w:val="22"/>
                <w:szCs w:val="22"/>
                <w:lang w:eastAsia="lt-LT"/>
              </w:rPr>
            </w:pPr>
          </w:p>
        </w:tc>
        <w:tc>
          <w:tcPr>
            <w:tcW w:w="5265" w:type="dxa"/>
            <w:tcBorders>
              <w:top w:val="nil"/>
              <w:left w:val="nil"/>
              <w:bottom w:val="nil"/>
              <w:right w:val="nil"/>
            </w:tcBorders>
            <w:shd w:val="clear" w:color="auto" w:fill="auto"/>
            <w:noWrap/>
            <w:vAlign w:val="bottom"/>
            <w:hideMark/>
          </w:tcPr>
          <w:p w:rsidR="00E33C76" w:rsidRDefault="00E33C76" w:rsidP="003C54F4">
            <w:pPr>
              <w:rPr>
                <w:color w:val="000000"/>
                <w:sz w:val="22"/>
                <w:szCs w:val="22"/>
                <w:lang w:eastAsia="lt-LT"/>
              </w:rPr>
            </w:pPr>
          </w:p>
        </w:tc>
        <w:tc>
          <w:tcPr>
            <w:tcW w:w="2000" w:type="dxa"/>
            <w:tcBorders>
              <w:top w:val="nil"/>
              <w:left w:val="nil"/>
              <w:bottom w:val="nil"/>
              <w:right w:val="nil"/>
            </w:tcBorders>
            <w:shd w:val="clear" w:color="auto" w:fill="auto"/>
            <w:noWrap/>
            <w:vAlign w:val="bottom"/>
            <w:hideMark/>
          </w:tcPr>
          <w:p w:rsidR="00E33C76" w:rsidRDefault="00E33C76" w:rsidP="003C54F4">
            <w:pPr>
              <w:rPr>
                <w:color w:val="000000"/>
                <w:sz w:val="22"/>
                <w:szCs w:val="22"/>
                <w:lang w:eastAsia="lt-LT"/>
              </w:rPr>
            </w:pPr>
          </w:p>
        </w:tc>
        <w:tc>
          <w:tcPr>
            <w:tcW w:w="2400" w:type="dxa"/>
            <w:tcBorders>
              <w:top w:val="nil"/>
              <w:left w:val="nil"/>
              <w:bottom w:val="nil"/>
              <w:right w:val="nil"/>
            </w:tcBorders>
            <w:shd w:val="clear" w:color="auto" w:fill="auto"/>
            <w:noWrap/>
            <w:vAlign w:val="bottom"/>
            <w:hideMark/>
          </w:tcPr>
          <w:p w:rsidR="00E33C76" w:rsidRDefault="00E33C76" w:rsidP="003C54F4">
            <w:pPr>
              <w:rPr>
                <w:color w:val="000000"/>
                <w:sz w:val="22"/>
                <w:szCs w:val="22"/>
                <w:lang w:eastAsia="lt-LT"/>
              </w:rPr>
            </w:pPr>
          </w:p>
        </w:tc>
        <w:tc>
          <w:tcPr>
            <w:tcW w:w="3920" w:type="dxa"/>
            <w:tcBorders>
              <w:top w:val="nil"/>
              <w:left w:val="nil"/>
              <w:bottom w:val="nil"/>
              <w:right w:val="nil"/>
            </w:tcBorders>
            <w:shd w:val="clear" w:color="auto" w:fill="auto"/>
            <w:noWrap/>
            <w:vAlign w:val="bottom"/>
            <w:hideMark/>
          </w:tcPr>
          <w:p w:rsidR="00E33C76" w:rsidRDefault="00E33C76" w:rsidP="003C54F4">
            <w:pPr>
              <w:rPr>
                <w:color w:val="000000"/>
                <w:sz w:val="22"/>
                <w:szCs w:val="22"/>
                <w:lang w:eastAsia="lt-LT"/>
              </w:rPr>
            </w:pPr>
          </w:p>
        </w:tc>
      </w:tr>
      <w:tr w:rsidR="00E33C76" w:rsidTr="003C54F4">
        <w:trPr>
          <w:cantSplit/>
          <w:trHeight w:val="283"/>
        </w:trPr>
        <w:tc>
          <w:tcPr>
            <w:tcW w:w="5685" w:type="dxa"/>
            <w:gridSpan w:val="2"/>
            <w:tcBorders>
              <w:top w:val="single" w:sz="4" w:space="0" w:color="auto"/>
              <w:left w:val="single" w:sz="4" w:space="0" w:color="auto"/>
              <w:bottom w:val="nil"/>
              <w:right w:val="single" w:sz="4" w:space="0" w:color="auto"/>
            </w:tcBorders>
            <w:shd w:val="clear" w:color="auto" w:fill="auto"/>
            <w:noWrap/>
            <w:vAlign w:val="center"/>
            <w:hideMark/>
          </w:tcPr>
          <w:p w:rsidR="00E33C76" w:rsidRDefault="00E33C76" w:rsidP="003C54F4">
            <w:pPr>
              <w:jc w:val="center"/>
              <w:rPr>
                <w:color w:val="000000"/>
                <w:sz w:val="22"/>
                <w:szCs w:val="22"/>
                <w:lang w:eastAsia="lt-LT"/>
              </w:rPr>
            </w:pPr>
            <w:r>
              <w:rPr>
                <w:color w:val="000000"/>
                <w:sz w:val="22"/>
                <w:szCs w:val="22"/>
                <w:lang w:eastAsia="lt-LT"/>
              </w:rPr>
              <w:t>Stiprybės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 w:val="22"/>
                <w:szCs w:val="22"/>
                <w:lang w:eastAsia="lt-LT"/>
              </w:rPr>
            </w:pPr>
            <w:r>
              <w:rPr>
                <w:color w:val="000000"/>
                <w:sz w:val="22"/>
                <w:szCs w:val="22"/>
                <w:lang w:eastAsia="lt-LT"/>
              </w:rPr>
              <w:t>Aktualumo įvertinimas</w:t>
            </w:r>
          </w:p>
        </w:tc>
        <w:tc>
          <w:tcPr>
            <w:tcW w:w="6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33C76" w:rsidRDefault="00E33C76" w:rsidP="003C54F4">
            <w:pPr>
              <w:jc w:val="center"/>
              <w:rPr>
                <w:color w:val="000000"/>
                <w:sz w:val="22"/>
                <w:szCs w:val="22"/>
                <w:lang w:eastAsia="lt-LT"/>
              </w:rPr>
            </w:pPr>
            <w:r>
              <w:rPr>
                <w:color w:val="000000"/>
                <w:sz w:val="22"/>
                <w:szCs w:val="22"/>
                <w:lang w:eastAsia="lt-LT"/>
              </w:rPr>
              <w:t>Suteiktą informaciją pagrindžianti informacija, prielaidos</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center"/>
              <w:rPr>
                <w:color w:val="000000"/>
                <w:sz w:val="22"/>
                <w:szCs w:val="22"/>
                <w:lang w:eastAsia="lt-LT"/>
              </w:rPr>
            </w:pPr>
            <w:r>
              <w:rPr>
                <w:color w:val="000000"/>
                <w:sz w:val="22"/>
                <w:szCs w:val="22"/>
                <w:lang w:eastAsia="lt-LT"/>
              </w:rPr>
              <w:t>1.</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Kauno miestas įsikūręs ypatingai patogioje geografinėje vietoje, kur susikerta sausumos, oro ir upių keliai bei išplėtota miesto išorės ir vidaus transporto infrastruktūra</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5</w:t>
            </w:r>
          </w:p>
        </w:tc>
        <w:tc>
          <w:tcPr>
            <w:tcW w:w="6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 xml:space="preserve">Kauno miestas dėl nedidelių atstumų ir strategiškai patogios padėties aukštos kategorijos tarptautinių kelių ir geležinkelių atžvilgiu yra gerai integruotas ne tik į bendrą Lietuvos susisiekimo sistemą, bet ir į tarptautinį transporto koridorių tinklą. </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center"/>
              <w:rPr>
                <w:color w:val="000000"/>
                <w:sz w:val="22"/>
                <w:szCs w:val="22"/>
                <w:lang w:eastAsia="lt-LT"/>
              </w:rPr>
            </w:pPr>
            <w:r>
              <w:rPr>
                <w:color w:val="000000"/>
                <w:sz w:val="22"/>
                <w:szCs w:val="22"/>
                <w:lang w:eastAsia="lt-LT"/>
              </w:rPr>
              <w:t>2.</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Aleksoto ir Žaliakalnio viešosios erdvės išsiskiria rekreaciniais objektais, kurie pritraukia didelę dalį lankytojų</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5</w:t>
            </w:r>
          </w:p>
        </w:tc>
        <w:tc>
          <w:tcPr>
            <w:tcW w:w="6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Aleksoto ir Žaliakalnio tikslinėse teritorijose yra: Aleksoto funikulierius  ir apžvalgos aikštelė, VDU Kauno botanikos sodas, S. Dariaus ir S. Girėno aerodromas, Kauno tvirtovės statiniai, Lengvosios atletikos maniežas, Dariaus ir Girėno sporto kompleksas su sporto hale, Futbolo  maniežas ir aikštė su dirbtine danga, „Ąžuolyno“ teniso kortai, žiemos sporto mokykla „Baltų ainiai“ (ledo arena), Kauko laiptų baseino zona, Sporto gatvė, Ąžuolyno parkas.</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center"/>
              <w:rPr>
                <w:color w:val="000000"/>
                <w:sz w:val="22"/>
                <w:szCs w:val="22"/>
                <w:lang w:eastAsia="lt-LT"/>
              </w:rPr>
            </w:pPr>
            <w:r>
              <w:rPr>
                <w:color w:val="000000"/>
                <w:sz w:val="22"/>
                <w:szCs w:val="22"/>
                <w:lang w:eastAsia="lt-LT"/>
              </w:rPr>
              <w:t>3.</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Aleksoto tikslinėje teritorijoje susiformavusios apleistos teritorijos, turinčios urbanistinį potencialą</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4</w:t>
            </w:r>
          </w:p>
        </w:tc>
        <w:tc>
          <w:tcPr>
            <w:tcW w:w="6320" w:type="dxa"/>
            <w:gridSpan w:val="2"/>
            <w:tcBorders>
              <w:top w:val="single" w:sz="4" w:space="0" w:color="auto"/>
              <w:left w:val="nil"/>
              <w:bottom w:val="single" w:sz="4" w:space="0" w:color="auto"/>
              <w:right w:val="single" w:sz="4" w:space="0" w:color="auto"/>
            </w:tcBorders>
            <w:shd w:val="clear" w:color="auto" w:fill="auto"/>
            <w:vAlign w:val="bottom"/>
            <w:hideMark/>
          </w:tcPr>
          <w:p w:rsidR="00E33C76" w:rsidRDefault="00E33C76" w:rsidP="003C54F4">
            <w:pPr>
              <w:jc w:val="both"/>
              <w:rPr>
                <w:color w:val="000000"/>
                <w:szCs w:val="24"/>
                <w:lang w:eastAsia="lt-LT"/>
              </w:rPr>
            </w:pPr>
            <w:r>
              <w:rPr>
                <w:color w:val="000000"/>
                <w:szCs w:val="24"/>
                <w:lang w:eastAsia="lt-LT"/>
              </w:rPr>
              <w:t>Aleksote yra buvusių pramoninių zonų, kurios patrauklios investuotojams: Julijanavos g. 1 buvusių Mėsos kombinato valymo įrenginių, buvusi Mėsos kombinato teritorija, Aviacijos gamyklos teritorija. </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3C76" w:rsidRDefault="00E33C76" w:rsidP="003C54F4">
            <w:pPr>
              <w:jc w:val="center"/>
              <w:rPr>
                <w:color w:val="000000"/>
                <w:sz w:val="22"/>
                <w:szCs w:val="22"/>
                <w:lang w:eastAsia="lt-LT"/>
              </w:rPr>
            </w:pPr>
            <w:r>
              <w:rPr>
                <w:color w:val="000000"/>
                <w:sz w:val="22"/>
                <w:szCs w:val="22"/>
                <w:lang w:eastAsia="lt-LT"/>
              </w:rPr>
              <w:t>4.</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tcPr>
          <w:p w:rsidR="00E33C76" w:rsidRDefault="00E33C76" w:rsidP="003C54F4">
            <w:pPr>
              <w:jc w:val="both"/>
              <w:rPr>
                <w:color w:val="000000"/>
                <w:szCs w:val="24"/>
                <w:lang w:eastAsia="lt-LT"/>
              </w:rPr>
            </w:pPr>
            <w:r>
              <w:rPr>
                <w:color w:val="000000"/>
                <w:szCs w:val="24"/>
                <w:lang w:eastAsia="lt-LT"/>
              </w:rPr>
              <w:t>Aukštas verslumo lygis</w:t>
            </w:r>
          </w:p>
        </w:tc>
        <w:tc>
          <w:tcPr>
            <w:tcW w:w="2000" w:type="dxa"/>
            <w:tcBorders>
              <w:top w:val="single" w:sz="4" w:space="0" w:color="auto"/>
              <w:left w:val="nil"/>
              <w:bottom w:val="single" w:sz="4" w:space="0" w:color="auto"/>
              <w:right w:val="single" w:sz="4" w:space="0" w:color="auto"/>
            </w:tcBorders>
            <w:shd w:val="clear" w:color="auto" w:fill="auto"/>
            <w:vAlign w:val="center"/>
          </w:tcPr>
          <w:p w:rsidR="00E33C76" w:rsidRDefault="00E33C76" w:rsidP="003C54F4">
            <w:pPr>
              <w:jc w:val="center"/>
              <w:rPr>
                <w:color w:val="000000"/>
                <w:szCs w:val="24"/>
                <w:lang w:eastAsia="lt-LT"/>
              </w:rPr>
            </w:pPr>
            <w:r>
              <w:rPr>
                <w:color w:val="000000"/>
                <w:szCs w:val="24"/>
                <w:lang w:eastAsia="lt-LT"/>
              </w:rPr>
              <w:t>3</w:t>
            </w:r>
          </w:p>
        </w:tc>
        <w:tc>
          <w:tcPr>
            <w:tcW w:w="6320" w:type="dxa"/>
            <w:gridSpan w:val="2"/>
            <w:tcBorders>
              <w:top w:val="single" w:sz="4" w:space="0" w:color="auto"/>
              <w:left w:val="nil"/>
              <w:bottom w:val="single" w:sz="4" w:space="0" w:color="auto"/>
              <w:right w:val="single" w:sz="4" w:space="0" w:color="auto"/>
            </w:tcBorders>
            <w:shd w:val="clear" w:color="auto" w:fill="auto"/>
            <w:vAlign w:val="bottom"/>
          </w:tcPr>
          <w:p w:rsidR="00E33C76" w:rsidRDefault="00E33C76" w:rsidP="003C54F4">
            <w:pPr>
              <w:jc w:val="both"/>
              <w:rPr>
                <w:color w:val="000000"/>
                <w:szCs w:val="24"/>
                <w:lang w:eastAsia="lt-LT"/>
              </w:rPr>
            </w:pPr>
            <w:r>
              <w:rPr>
                <w:szCs w:val="24"/>
              </w:rPr>
              <w:t xml:space="preserve">Kauno miesto savivaldybė 2015 m. pradžioje (kaip ir ankstesniais metais) pasižymėjo vienu didžiausių šalyje veikiančių įmonių skaičiumi, tiek absoliutiniu, tiek tenkančiu 1000 gyventojų (verslumo lygiu). 2015 m. pradžioje Kauno miesto savivaldybėje veikė 10,7 tūkst. įmonių (14 proc. visų Lietuvos įmonių), o veikiančių įmonių skaičius, tenkantis 1000 gyventojų siekė 35,5, tai buvo antras didžiausias rodiklis tarp didžiųjų miestų savivaldybių (po Vilniaus miesto savivaldybės, kurioje 1000 gyventojų teko 52,0 veikiančios įmonės). </w:t>
            </w:r>
          </w:p>
        </w:tc>
      </w:tr>
      <w:tr w:rsidR="00E33C76" w:rsidTr="003C54F4">
        <w:trPr>
          <w:cantSplit/>
          <w:trHeight w:val="283"/>
        </w:trPr>
        <w:tc>
          <w:tcPr>
            <w:tcW w:w="420" w:type="dxa"/>
            <w:tcBorders>
              <w:top w:val="single" w:sz="4" w:space="0" w:color="auto"/>
              <w:left w:val="nil"/>
              <w:bottom w:val="single" w:sz="4" w:space="0" w:color="auto"/>
            </w:tcBorders>
            <w:shd w:val="clear" w:color="auto" w:fill="auto"/>
            <w:noWrap/>
            <w:vAlign w:val="center"/>
            <w:hideMark/>
          </w:tcPr>
          <w:p w:rsidR="00E33C76" w:rsidRDefault="00E33C76" w:rsidP="003C54F4">
            <w:pPr>
              <w:jc w:val="center"/>
              <w:rPr>
                <w:color w:val="000000"/>
                <w:sz w:val="22"/>
                <w:szCs w:val="22"/>
                <w:lang w:eastAsia="lt-LT"/>
              </w:rPr>
            </w:pPr>
          </w:p>
        </w:tc>
        <w:tc>
          <w:tcPr>
            <w:tcW w:w="5265" w:type="dxa"/>
            <w:tcBorders>
              <w:top w:val="single" w:sz="4" w:space="0" w:color="auto"/>
              <w:bottom w:val="single" w:sz="4" w:space="0" w:color="auto"/>
            </w:tcBorders>
            <w:shd w:val="clear" w:color="auto" w:fill="auto"/>
            <w:vAlign w:val="center"/>
            <w:hideMark/>
          </w:tcPr>
          <w:p w:rsidR="00E33C76" w:rsidRDefault="00E33C76" w:rsidP="003C54F4">
            <w:pPr>
              <w:rPr>
                <w:color w:val="000000"/>
                <w:szCs w:val="24"/>
                <w:lang w:eastAsia="lt-LT"/>
              </w:rPr>
            </w:pPr>
          </w:p>
        </w:tc>
        <w:tc>
          <w:tcPr>
            <w:tcW w:w="2000" w:type="dxa"/>
            <w:tcBorders>
              <w:top w:val="single" w:sz="4" w:space="0" w:color="auto"/>
              <w:bottom w:val="single" w:sz="4" w:space="0" w:color="auto"/>
            </w:tcBorders>
            <w:shd w:val="clear" w:color="auto" w:fill="auto"/>
            <w:vAlign w:val="center"/>
            <w:hideMark/>
          </w:tcPr>
          <w:p w:rsidR="00E33C76" w:rsidRDefault="00E33C76" w:rsidP="003C54F4">
            <w:pPr>
              <w:jc w:val="center"/>
              <w:rPr>
                <w:color w:val="000000"/>
                <w:szCs w:val="24"/>
                <w:lang w:eastAsia="lt-LT"/>
              </w:rPr>
            </w:pPr>
          </w:p>
        </w:tc>
        <w:tc>
          <w:tcPr>
            <w:tcW w:w="2400" w:type="dxa"/>
            <w:tcBorders>
              <w:top w:val="single" w:sz="4" w:space="0" w:color="auto"/>
              <w:bottom w:val="single" w:sz="4" w:space="0" w:color="auto"/>
            </w:tcBorders>
            <w:shd w:val="clear" w:color="auto" w:fill="auto"/>
            <w:vAlign w:val="bottom"/>
            <w:hideMark/>
          </w:tcPr>
          <w:p w:rsidR="00E33C76" w:rsidRDefault="00E33C76" w:rsidP="003C54F4">
            <w:pPr>
              <w:jc w:val="center"/>
              <w:rPr>
                <w:color w:val="000000"/>
                <w:szCs w:val="24"/>
                <w:lang w:eastAsia="lt-LT"/>
              </w:rPr>
            </w:pPr>
          </w:p>
        </w:tc>
        <w:tc>
          <w:tcPr>
            <w:tcW w:w="3920" w:type="dxa"/>
            <w:tcBorders>
              <w:top w:val="single" w:sz="4" w:space="0" w:color="auto"/>
              <w:bottom w:val="single" w:sz="4" w:space="0" w:color="auto"/>
            </w:tcBorders>
            <w:shd w:val="clear" w:color="auto" w:fill="auto"/>
            <w:vAlign w:val="bottom"/>
            <w:hideMark/>
          </w:tcPr>
          <w:p w:rsidR="00E33C76" w:rsidRDefault="00E33C76" w:rsidP="003C54F4">
            <w:pPr>
              <w:jc w:val="center"/>
              <w:rPr>
                <w:color w:val="000000"/>
                <w:szCs w:val="24"/>
                <w:lang w:eastAsia="lt-LT"/>
              </w:rPr>
            </w:pPr>
          </w:p>
        </w:tc>
      </w:tr>
      <w:tr w:rsidR="00E33C76" w:rsidTr="003C54F4">
        <w:trPr>
          <w:cantSplit/>
          <w:trHeight w:val="283"/>
        </w:trPr>
        <w:tc>
          <w:tcPr>
            <w:tcW w:w="5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center"/>
              <w:rPr>
                <w:color w:val="000000"/>
                <w:szCs w:val="24"/>
                <w:lang w:eastAsia="lt-LT"/>
              </w:rPr>
            </w:pPr>
            <w:r>
              <w:rPr>
                <w:color w:val="000000"/>
                <w:szCs w:val="24"/>
                <w:lang w:eastAsia="lt-LT"/>
              </w:rPr>
              <w:t>Silpnybės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Aktualumo įvertinimas</w:t>
            </w:r>
          </w:p>
        </w:tc>
        <w:tc>
          <w:tcPr>
            <w:tcW w:w="6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33C76" w:rsidRDefault="00E33C76" w:rsidP="003C54F4">
            <w:pPr>
              <w:jc w:val="center"/>
              <w:rPr>
                <w:color w:val="000000"/>
                <w:szCs w:val="24"/>
                <w:lang w:eastAsia="lt-LT"/>
              </w:rPr>
            </w:pPr>
            <w:r>
              <w:rPr>
                <w:color w:val="000000"/>
                <w:szCs w:val="24"/>
                <w:lang w:eastAsia="lt-LT"/>
              </w:rPr>
              <w:t>Suteiktą informaciją pagrindžianti informacija, prielaidos</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center"/>
              <w:rPr>
                <w:color w:val="000000"/>
                <w:sz w:val="22"/>
                <w:szCs w:val="22"/>
                <w:lang w:eastAsia="lt-LT"/>
              </w:rPr>
            </w:pPr>
            <w:r>
              <w:rPr>
                <w:color w:val="000000"/>
                <w:sz w:val="22"/>
                <w:szCs w:val="22"/>
                <w:lang w:eastAsia="lt-LT"/>
              </w:rPr>
              <w:t>1.</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rFonts w:eastAsia="Calibri"/>
                <w:szCs w:val="24"/>
              </w:rPr>
              <w:t xml:space="preserve">Prasta gyvenamųjų rajonų aplinkos kokybė </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5</w:t>
            </w:r>
          </w:p>
        </w:tc>
        <w:tc>
          <w:tcPr>
            <w:tcW w:w="6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 xml:space="preserve">Socialinių, kultūrinių, rekreacinių objektų tinklas mieste gana tankus, tačiau esami objektai prastos būklės. </w:t>
            </w:r>
            <w:r>
              <w:rPr>
                <w:rFonts w:eastAsia="Calibri"/>
                <w:szCs w:val="24"/>
              </w:rPr>
              <w:t xml:space="preserve">Didelė dalis miestiečių, siekdami susitvarkyti gyvenamąją aplinką pagal savo poreikius bei gyventi mažiau triukšmingoje ir užterštoje aplinkoje, tačiau dažnai neįvertinę miesto infrastruktūros stokos </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center"/>
              <w:rPr>
                <w:color w:val="000000"/>
                <w:sz w:val="22"/>
                <w:szCs w:val="22"/>
                <w:lang w:eastAsia="lt-LT"/>
              </w:rPr>
            </w:pPr>
            <w:r>
              <w:rPr>
                <w:color w:val="000000"/>
                <w:sz w:val="22"/>
                <w:szCs w:val="22"/>
                <w:lang w:eastAsia="lt-LT"/>
              </w:rPr>
              <w:t>2.</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Kauno mieste pasireiškia neigiamos demografinės tendencijos, susijusios su natūralia gyventojų kaita ir didele miesto gyventojų migracija</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5</w:t>
            </w:r>
          </w:p>
        </w:tc>
        <w:tc>
          <w:tcPr>
            <w:tcW w:w="6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Kauno mieste pastebimos neigiamos demografinės tendencijos, kurios pasireiškia ir tikslinėse teritorijose. 2001–2014 m. Kauno mieste gyventojų skaičius sumažėjo penktadaliu (20,6 proc.). Gyventojų skaičiaus mažėjimas sukelia kompleksines problemas aplinkosauginiu aspektu (didėja atstumai tarp gyvenamųjų ir darbo vietų, judėjimas tampa mažiau racionalus), socialiniu ir demografiniu aspektu (didėja skirtingų amžiaus ir socialiniu grupių segregacija teritoriniu principu – formuojasi prestižiniai rajonai ir socialiniai „getai“ tuštėjančiose miestų dalyse)</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center"/>
              <w:rPr>
                <w:color w:val="000000"/>
                <w:sz w:val="22"/>
                <w:szCs w:val="22"/>
                <w:lang w:eastAsia="lt-LT"/>
              </w:rPr>
            </w:pPr>
            <w:r>
              <w:rPr>
                <w:color w:val="000000"/>
                <w:sz w:val="22"/>
                <w:szCs w:val="22"/>
                <w:lang w:eastAsia="lt-LT"/>
              </w:rPr>
              <w:t>3.</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Tiesioginės užsienio ir materialinės investicijos, tenkančios vienam gyventojui, Kauno mieste ženkliai nusileidžia Vilniaus ir Klaipėdos miestams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5</w:t>
            </w:r>
          </w:p>
        </w:tc>
        <w:tc>
          <w:tcPr>
            <w:tcW w:w="6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Vilniaus ir Klaipėdos miestų savivaldybių TUI vienam gyventojui 2014 m. siekė atitinkamai – 16 313 Eur ir 4 452 Eur, Kauno miesto savivaldybėje – 3 574 Eur; pagal materialinių investicijų tenkančių vienam gyventojui apimtį Kauno miesto savivaldybė (kartu su Panevėžio ir Šiaulių miestų savivaldybėmis) priklausė savivaldybių grupei, kuriose materialinės investicijos, tenkančios vienam gyventojui (2014 m. – 1850 Eur) buvo mažesnės už šalies vidurkį (2014 m. – 1908 Eur). Vilniaus ir Klaipėdos miestų savivaldybėse materialinių investicijų buvo atliekama 75–77 proc. daugiau.</w:t>
            </w:r>
          </w:p>
        </w:tc>
      </w:tr>
      <w:tr w:rsidR="00E33C76" w:rsidTr="003C54F4">
        <w:trPr>
          <w:cantSplit/>
          <w:trHeight w:val="283"/>
        </w:trPr>
        <w:tc>
          <w:tcPr>
            <w:tcW w:w="420" w:type="dxa"/>
            <w:tcBorders>
              <w:top w:val="single" w:sz="4" w:space="0" w:color="auto"/>
              <w:left w:val="nil"/>
              <w:bottom w:val="single" w:sz="4" w:space="0" w:color="auto"/>
            </w:tcBorders>
            <w:shd w:val="clear" w:color="auto" w:fill="auto"/>
            <w:noWrap/>
            <w:vAlign w:val="bottom"/>
            <w:hideMark/>
          </w:tcPr>
          <w:p w:rsidR="00E33C76" w:rsidRDefault="00E33C76" w:rsidP="003C54F4">
            <w:pPr>
              <w:rPr>
                <w:color w:val="000000"/>
                <w:sz w:val="22"/>
                <w:szCs w:val="22"/>
                <w:lang w:eastAsia="lt-LT"/>
              </w:rPr>
            </w:pPr>
          </w:p>
          <w:p w:rsidR="00E33C76" w:rsidRDefault="00E33C76" w:rsidP="003C54F4">
            <w:pPr>
              <w:rPr>
                <w:color w:val="000000"/>
                <w:sz w:val="22"/>
                <w:szCs w:val="22"/>
                <w:lang w:eastAsia="lt-LT"/>
              </w:rPr>
            </w:pPr>
          </w:p>
        </w:tc>
        <w:tc>
          <w:tcPr>
            <w:tcW w:w="5265" w:type="dxa"/>
            <w:tcBorders>
              <w:top w:val="single" w:sz="4" w:space="0" w:color="auto"/>
              <w:bottom w:val="single" w:sz="4" w:space="0" w:color="auto"/>
            </w:tcBorders>
            <w:shd w:val="clear" w:color="auto" w:fill="auto"/>
            <w:noWrap/>
            <w:vAlign w:val="bottom"/>
            <w:hideMark/>
          </w:tcPr>
          <w:p w:rsidR="00E33C76" w:rsidRDefault="00E33C76" w:rsidP="003C54F4">
            <w:pPr>
              <w:rPr>
                <w:color w:val="000000"/>
                <w:szCs w:val="24"/>
                <w:lang w:eastAsia="lt-LT"/>
              </w:rPr>
            </w:pPr>
          </w:p>
        </w:tc>
        <w:tc>
          <w:tcPr>
            <w:tcW w:w="2000" w:type="dxa"/>
            <w:tcBorders>
              <w:top w:val="single" w:sz="4" w:space="0" w:color="auto"/>
              <w:bottom w:val="single" w:sz="4" w:space="0" w:color="auto"/>
            </w:tcBorders>
            <w:shd w:val="clear" w:color="auto" w:fill="auto"/>
            <w:noWrap/>
            <w:vAlign w:val="bottom"/>
            <w:hideMark/>
          </w:tcPr>
          <w:p w:rsidR="00E33C76" w:rsidRDefault="00E33C76" w:rsidP="003C54F4">
            <w:pPr>
              <w:rPr>
                <w:color w:val="000000"/>
                <w:szCs w:val="24"/>
                <w:lang w:eastAsia="lt-LT"/>
              </w:rPr>
            </w:pPr>
          </w:p>
        </w:tc>
        <w:tc>
          <w:tcPr>
            <w:tcW w:w="2400" w:type="dxa"/>
            <w:tcBorders>
              <w:top w:val="single" w:sz="4" w:space="0" w:color="auto"/>
              <w:bottom w:val="single" w:sz="4" w:space="0" w:color="auto"/>
            </w:tcBorders>
            <w:shd w:val="clear" w:color="auto" w:fill="auto"/>
            <w:noWrap/>
            <w:vAlign w:val="bottom"/>
            <w:hideMark/>
          </w:tcPr>
          <w:p w:rsidR="00E33C76" w:rsidRDefault="00E33C76" w:rsidP="003C54F4">
            <w:pPr>
              <w:rPr>
                <w:color w:val="000000"/>
                <w:szCs w:val="24"/>
                <w:lang w:eastAsia="lt-LT"/>
              </w:rPr>
            </w:pPr>
          </w:p>
        </w:tc>
        <w:tc>
          <w:tcPr>
            <w:tcW w:w="3920" w:type="dxa"/>
            <w:tcBorders>
              <w:top w:val="single" w:sz="4" w:space="0" w:color="auto"/>
              <w:bottom w:val="single" w:sz="4" w:space="0" w:color="auto"/>
            </w:tcBorders>
            <w:shd w:val="clear" w:color="auto" w:fill="auto"/>
            <w:noWrap/>
            <w:vAlign w:val="bottom"/>
            <w:hideMark/>
          </w:tcPr>
          <w:p w:rsidR="00E33C76" w:rsidRDefault="00E33C76" w:rsidP="003C54F4">
            <w:pPr>
              <w:rPr>
                <w:color w:val="000000"/>
                <w:szCs w:val="24"/>
                <w:lang w:eastAsia="lt-LT"/>
              </w:rPr>
            </w:pPr>
          </w:p>
        </w:tc>
      </w:tr>
      <w:tr w:rsidR="00E33C76" w:rsidTr="003C54F4">
        <w:trPr>
          <w:cantSplit/>
          <w:trHeight w:val="283"/>
        </w:trPr>
        <w:tc>
          <w:tcPr>
            <w:tcW w:w="5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center"/>
              <w:rPr>
                <w:color w:val="000000"/>
                <w:szCs w:val="24"/>
                <w:lang w:eastAsia="lt-LT"/>
              </w:rPr>
            </w:pPr>
            <w:r>
              <w:rPr>
                <w:color w:val="000000"/>
                <w:szCs w:val="24"/>
                <w:lang w:eastAsia="lt-LT"/>
              </w:rPr>
              <w:t>Galimybės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Aktualumo įvertinimas</w:t>
            </w:r>
          </w:p>
        </w:tc>
        <w:tc>
          <w:tcPr>
            <w:tcW w:w="6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33C76" w:rsidRDefault="00E33C76" w:rsidP="003C54F4">
            <w:pPr>
              <w:jc w:val="center"/>
              <w:rPr>
                <w:color w:val="000000"/>
                <w:szCs w:val="24"/>
                <w:lang w:eastAsia="lt-LT"/>
              </w:rPr>
            </w:pPr>
            <w:r>
              <w:rPr>
                <w:color w:val="000000"/>
                <w:szCs w:val="24"/>
                <w:lang w:eastAsia="lt-LT"/>
              </w:rPr>
              <w:t>Suteiktą informaciją pagrindžianti informacija, prielaidos</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both"/>
              <w:rPr>
                <w:color w:val="000000"/>
                <w:sz w:val="22"/>
                <w:szCs w:val="22"/>
                <w:lang w:eastAsia="lt-LT"/>
              </w:rPr>
            </w:pPr>
            <w:r>
              <w:rPr>
                <w:color w:val="000000"/>
                <w:sz w:val="22"/>
                <w:szCs w:val="22"/>
                <w:lang w:eastAsia="lt-LT"/>
              </w:rPr>
              <w:lastRenderedPageBreak/>
              <w:t>1.</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Verslo steigimą ir veiklą reglamentuojančių teisės aktų supaprastinimas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5</w:t>
            </w:r>
          </w:p>
        </w:tc>
        <w:tc>
          <w:tcPr>
            <w:tcW w:w="6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 xml:space="preserve">Pagal Pasaulio banko vertinimo metodikoje numatytus kriterijus, sąlygos pradėti verslą tarp trijų Baltijos šalių 2013 metais prasčiausiai vertinamos Lietuvoje. Pagal šį kriterijų, Lietuva užėmė tik 107 vietą. 2015 metų vertinimų metu pagal šį rodiklį Lietuva užėmė 11 vietą. Tokį Lietuvos pakilimą lėmė procedūrų vykdymo laiko ir piniginių sąnaudų pokytis, siekiant pradėti verslą. </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both"/>
              <w:rPr>
                <w:color w:val="000000"/>
                <w:sz w:val="22"/>
                <w:szCs w:val="22"/>
                <w:lang w:eastAsia="lt-LT"/>
              </w:rPr>
            </w:pPr>
            <w:r>
              <w:rPr>
                <w:color w:val="000000"/>
                <w:sz w:val="22"/>
                <w:szCs w:val="22"/>
                <w:lang w:eastAsia="lt-LT"/>
              </w:rPr>
              <w:t>2.</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Augantis aukštojo mokslo poreikis ir ilgėjanti vidutinė gyventojų mokymosi trukmė</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5</w:t>
            </w:r>
          </w:p>
        </w:tc>
        <w:tc>
          <w:tcPr>
            <w:tcW w:w="6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 xml:space="preserve">Žinių ir įgūdžių, kurios įgyjamos mokykloje ar universitete, neužtenka visam gyvenimui. Siekiant prisitaikyti prie besikeičiančios aplinkos ir naujų technologijų atsiranda poreikis nuolat gilinti žinias ir tęsti mokslus toliau.  </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both"/>
              <w:rPr>
                <w:color w:val="000000"/>
                <w:sz w:val="22"/>
                <w:szCs w:val="22"/>
                <w:lang w:eastAsia="lt-LT"/>
              </w:rPr>
            </w:pPr>
            <w:r>
              <w:rPr>
                <w:color w:val="000000"/>
                <w:sz w:val="22"/>
                <w:szCs w:val="22"/>
                <w:lang w:eastAsia="lt-LT"/>
              </w:rPr>
              <w:t>3.</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Tarptautinė Lietuvos transporto sistemos reikšmė pasireiškia stabiliu transporto srautų augimu</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3</w:t>
            </w:r>
          </w:p>
        </w:tc>
        <w:tc>
          <w:tcPr>
            <w:tcW w:w="6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Lietuvoje kasmet didėja transporto sektoriaus įtaka ekonomikai, kurios geografinė padėtis ir išvystyta transporto infrastruktūra lemia transporto sektoriaus augimą. </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both"/>
              <w:rPr>
                <w:color w:val="000000"/>
                <w:sz w:val="22"/>
                <w:szCs w:val="22"/>
                <w:lang w:eastAsia="lt-LT"/>
              </w:rPr>
            </w:pPr>
            <w:r>
              <w:rPr>
                <w:color w:val="000000"/>
                <w:sz w:val="22"/>
                <w:szCs w:val="22"/>
                <w:lang w:eastAsia="lt-LT"/>
              </w:rPr>
              <w:t>4.</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Besikeičianti Europos ekonominė situacija, paskatins išvykusių Lietuvos gyventojų grįžimą</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3</w:t>
            </w:r>
          </w:p>
        </w:tc>
        <w:tc>
          <w:tcPr>
            <w:tcW w:w="6320" w:type="dxa"/>
            <w:gridSpan w:val="2"/>
            <w:tcBorders>
              <w:top w:val="single" w:sz="4" w:space="0" w:color="auto"/>
              <w:left w:val="nil"/>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 xml:space="preserve">Europos ekonominio augimo sulėtėjimas, tikėtina, lems emigracijos proceso mažėjimą, o kartu ir išvykusių asmenų grįžimą. </w:t>
            </w:r>
          </w:p>
        </w:tc>
      </w:tr>
      <w:tr w:rsidR="00E33C76" w:rsidTr="003C54F4">
        <w:trPr>
          <w:cantSplit/>
          <w:trHeight w:val="70"/>
        </w:trPr>
        <w:tc>
          <w:tcPr>
            <w:tcW w:w="420" w:type="dxa"/>
            <w:tcBorders>
              <w:top w:val="single" w:sz="4" w:space="0" w:color="auto"/>
              <w:left w:val="nil"/>
              <w:bottom w:val="single" w:sz="4" w:space="0" w:color="auto"/>
            </w:tcBorders>
            <w:shd w:val="clear" w:color="auto" w:fill="auto"/>
            <w:noWrap/>
            <w:vAlign w:val="bottom"/>
            <w:hideMark/>
          </w:tcPr>
          <w:p w:rsidR="00E33C76" w:rsidRDefault="00E33C76" w:rsidP="003C54F4">
            <w:pPr>
              <w:rPr>
                <w:color w:val="000000"/>
                <w:sz w:val="22"/>
                <w:szCs w:val="22"/>
                <w:lang w:eastAsia="lt-LT"/>
              </w:rPr>
            </w:pPr>
          </w:p>
        </w:tc>
        <w:tc>
          <w:tcPr>
            <w:tcW w:w="5265" w:type="dxa"/>
            <w:tcBorders>
              <w:top w:val="single" w:sz="4" w:space="0" w:color="auto"/>
              <w:bottom w:val="single" w:sz="4" w:space="0" w:color="auto"/>
            </w:tcBorders>
            <w:shd w:val="clear" w:color="auto" w:fill="auto"/>
            <w:noWrap/>
            <w:vAlign w:val="bottom"/>
            <w:hideMark/>
          </w:tcPr>
          <w:p w:rsidR="00E33C76" w:rsidRDefault="00E33C76" w:rsidP="003C54F4">
            <w:pPr>
              <w:rPr>
                <w:color w:val="000000"/>
                <w:szCs w:val="24"/>
                <w:lang w:eastAsia="lt-LT"/>
              </w:rPr>
            </w:pPr>
          </w:p>
        </w:tc>
        <w:tc>
          <w:tcPr>
            <w:tcW w:w="2000" w:type="dxa"/>
            <w:tcBorders>
              <w:top w:val="single" w:sz="4" w:space="0" w:color="auto"/>
              <w:bottom w:val="single" w:sz="4" w:space="0" w:color="auto"/>
            </w:tcBorders>
            <w:shd w:val="clear" w:color="auto" w:fill="auto"/>
            <w:noWrap/>
            <w:vAlign w:val="bottom"/>
            <w:hideMark/>
          </w:tcPr>
          <w:p w:rsidR="00E33C76" w:rsidRDefault="00E33C76" w:rsidP="003C54F4">
            <w:pPr>
              <w:rPr>
                <w:color w:val="000000"/>
                <w:szCs w:val="24"/>
                <w:lang w:eastAsia="lt-LT"/>
              </w:rPr>
            </w:pPr>
          </w:p>
        </w:tc>
        <w:tc>
          <w:tcPr>
            <w:tcW w:w="2400" w:type="dxa"/>
            <w:tcBorders>
              <w:top w:val="single" w:sz="4" w:space="0" w:color="auto"/>
              <w:bottom w:val="single" w:sz="4" w:space="0" w:color="auto"/>
            </w:tcBorders>
            <w:shd w:val="clear" w:color="auto" w:fill="auto"/>
            <w:noWrap/>
            <w:vAlign w:val="bottom"/>
            <w:hideMark/>
          </w:tcPr>
          <w:p w:rsidR="00E33C76" w:rsidRDefault="00E33C76" w:rsidP="003C54F4">
            <w:pPr>
              <w:rPr>
                <w:color w:val="000000"/>
                <w:szCs w:val="24"/>
                <w:lang w:eastAsia="lt-LT"/>
              </w:rPr>
            </w:pPr>
          </w:p>
        </w:tc>
        <w:tc>
          <w:tcPr>
            <w:tcW w:w="3920" w:type="dxa"/>
            <w:tcBorders>
              <w:top w:val="single" w:sz="4" w:space="0" w:color="auto"/>
              <w:bottom w:val="single" w:sz="4" w:space="0" w:color="auto"/>
            </w:tcBorders>
            <w:shd w:val="clear" w:color="auto" w:fill="auto"/>
            <w:noWrap/>
            <w:vAlign w:val="bottom"/>
            <w:hideMark/>
          </w:tcPr>
          <w:p w:rsidR="00E33C76" w:rsidRDefault="00E33C76" w:rsidP="003C54F4">
            <w:pPr>
              <w:rPr>
                <w:color w:val="000000"/>
                <w:szCs w:val="24"/>
                <w:lang w:eastAsia="lt-LT"/>
              </w:rPr>
            </w:pPr>
          </w:p>
        </w:tc>
      </w:tr>
      <w:tr w:rsidR="00E33C76" w:rsidTr="003C54F4">
        <w:trPr>
          <w:cantSplit/>
          <w:trHeight w:val="283"/>
        </w:trPr>
        <w:tc>
          <w:tcPr>
            <w:tcW w:w="5685"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center"/>
              <w:rPr>
                <w:color w:val="000000"/>
                <w:szCs w:val="24"/>
                <w:lang w:eastAsia="lt-LT"/>
              </w:rPr>
            </w:pPr>
            <w:r>
              <w:rPr>
                <w:color w:val="000000"/>
                <w:szCs w:val="24"/>
                <w:lang w:eastAsia="lt-LT"/>
              </w:rPr>
              <w:t>Grėsmės</w:t>
            </w:r>
          </w:p>
        </w:tc>
        <w:tc>
          <w:tcPr>
            <w:tcW w:w="2000" w:type="dxa"/>
            <w:tcBorders>
              <w:top w:val="single" w:sz="4" w:space="0" w:color="auto"/>
              <w:left w:val="nil"/>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Aktualumo įvertinimas</w:t>
            </w:r>
          </w:p>
        </w:tc>
        <w:tc>
          <w:tcPr>
            <w:tcW w:w="6320" w:type="dxa"/>
            <w:gridSpan w:val="2"/>
            <w:tcBorders>
              <w:top w:val="single" w:sz="4" w:space="0" w:color="auto"/>
              <w:left w:val="nil"/>
              <w:bottom w:val="single" w:sz="4" w:space="0" w:color="auto"/>
              <w:right w:val="single" w:sz="4" w:space="0" w:color="auto"/>
            </w:tcBorders>
            <w:shd w:val="clear" w:color="auto" w:fill="auto"/>
            <w:noWrap/>
            <w:vAlign w:val="center"/>
            <w:hideMark/>
          </w:tcPr>
          <w:p w:rsidR="00E33C76" w:rsidRDefault="00E33C76" w:rsidP="003C54F4">
            <w:pPr>
              <w:jc w:val="center"/>
              <w:rPr>
                <w:color w:val="000000"/>
                <w:szCs w:val="24"/>
                <w:lang w:eastAsia="lt-LT"/>
              </w:rPr>
            </w:pPr>
            <w:r>
              <w:rPr>
                <w:color w:val="000000"/>
                <w:szCs w:val="24"/>
                <w:lang w:eastAsia="lt-LT"/>
              </w:rPr>
              <w:t>Suteiktą informaciją pagrindžianti informacija, prielaidos</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both"/>
              <w:rPr>
                <w:color w:val="000000"/>
                <w:sz w:val="22"/>
                <w:szCs w:val="22"/>
                <w:lang w:eastAsia="lt-LT"/>
              </w:rPr>
            </w:pPr>
            <w:r>
              <w:rPr>
                <w:color w:val="000000"/>
                <w:sz w:val="22"/>
                <w:szCs w:val="22"/>
                <w:lang w:eastAsia="lt-LT"/>
              </w:rPr>
              <w:t>1.</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Lėtas šalies ekonominis augimas ar galima ekonominė stagnacija</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5</w:t>
            </w:r>
          </w:p>
        </w:tc>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Lietuvos ekonomikos išorės aplinka yra pablogėjusi. Neatslūgstant Rusijos ir Ukrainos konfliktui, vis prasčiau vertinamos Rusijos ir su ja glaudžiais ekonominiais ryšiais susijusių valstybių ūkio raidos perspektyvos. Euro zonos ekonomiką neigiamai veikia Graikijos skolų krizė. </w:t>
            </w:r>
          </w:p>
        </w:tc>
      </w:tr>
      <w:tr w:rsidR="00E33C76" w:rsidTr="003C54F4">
        <w:trPr>
          <w:cantSplit/>
          <w:trHeight w:val="283"/>
        </w:trPr>
        <w:tc>
          <w:tcPr>
            <w:tcW w:w="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33C76" w:rsidRDefault="00E33C76" w:rsidP="003C54F4">
            <w:pPr>
              <w:jc w:val="both"/>
              <w:rPr>
                <w:color w:val="000000"/>
                <w:sz w:val="22"/>
                <w:szCs w:val="22"/>
                <w:lang w:eastAsia="lt-LT"/>
              </w:rPr>
            </w:pPr>
            <w:r>
              <w:rPr>
                <w:color w:val="000000"/>
                <w:sz w:val="22"/>
                <w:szCs w:val="22"/>
                <w:lang w:eastAsia="lt-LT"/>
              </w:rPr>
              <w:t>2.</w:t>
            </w:r>
          </w:p>
        </w:tc>
        <w:tc>
          <w:tcPr>
            <w:tcW w:w="526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both"/>
              <w:rPr>
                <w:color w:val="000000"/>
                <w:szCs w:val="24"/>
                <w:lang w:eastAsia="lt-LT"/>
              </w:rPr>
            </w:pPr>
            <w:r>
              <w:rPr>
                <w:color w:val="000000"/>
                <w:szCs w:val="24"/>
                <w:lang w:eastAsia="lt-LT"/>
              </w:rPr>
              <w:t>Visuomenės senėjimas pasireiškia visose pasaulio šalyse, o labiausiai – besivystančiose valstybėse</w:t>
            </w:r>
          </w:p>
        </w:tc>
        <w:tc>
          <w:tcPr>
            <w:tcW w:w="20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33C76" w:rsidRDefault="00E33C76" w:rsidP="003C54F4">
            <w:pPr>
              <w:jc w:val="center"/>
              <w:rPr>
                <w:color w:val="000000"/>
                <w:szCs w:val="24"/>
                <w:lang w:eastAsia="lt-LT"/>
              </w:rPr>
            </w:pPr>
            <w:r>
              <w:rPr>
                <w:color w:val="000000"/>
                <w:szCs w:val="24"/>
                <w:lang w:eastAsia="lt-LT"/>
              </w:rPr>
              <w:t>4</w:t>
            </w:r>
          </w:p>
        </w:tc>
        <w:tc>
          <w:tcPr>
            <w:tcW w:w="63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3C76" w:rsidRDefault="00E33C76" w:rsidP="003C54F4">
            <w:pPr>
              <w:jc w:val="both"/>
              <w:rPr>
                <w:color w:val="000000"/>
                <w:szCs w:val="24"/>
                <w:lang w:eastAsia="lt-LT"/>
              </w:rPr>
            </w:pPr>
            <w:r>
              <w:rPr>
                <w:color w:val="000000"/>
                <w:szCs w:val="24"/>
                <w:lang w:eastAsia="lt-LT"/>
              </w:rPr>
              <w:t>Senėjimas pasireiškia visose pasaulio šalyse dėl ilgėjančios gyvenimo trukmės ir mažėjančio gimstamumo, o pastaruoju metu visuomenės senėjimas ryškiausiai pasireiškia besivystančiose valstybėse, nes gimstamumas sparčiai mažėti ėmė vėliau nei išsivysčiusiose šalyse. Ši tendencija gali neigiamai veikti atvykstančių į Kauno miestą studijuoti asmenų skaičių.</w:t>
            </w:r>
          </w:p>
        </w:tc>
      </w:tr>
    </w:tbl>
    <w:p w:rsidR="00E33C76" w:rsidRDefault="00E33C76" w:rsidP="00E33C76">
      <w:pPr>
        <w:spacing w:line="276" w:lineRule="auto"/>
        <w:jc w:val="center"/>
        <w:rPr>
          <w:rFonts w:eastAsia="Calibri"/>
          <w:szCs w:val="22"/>
        </w:rPr>
      </w:pPr>
      <w:r>
        <w:rPr>
          <w:rFonts w:eastAsia="Calibri"/>
          <w:szCs w:val="22"/>
        </w:rPr>
        <w:t>_____________________</w:t>
      </w:r>
    </w:p>
    <w:p w:rsidR="00E33C76" w:rsidRDefault="00E33C76" w:rsidP="00E33C76">
      <w:pPr>
        <w:spacing w:line="276" w:lineRule="auto"/>
        <w:jc w:val="center"/>
        <w:rPr>
          <w:rFonts w:eastAsia="Calibri"/>
          <w:szCs w:val="22"/>
        </w:rPr>
      </w:pPr>
    </w:p>
    <w:p w:rsidR="00E33C76" w:rsidRDefault="00E33C76" w:rsidP="00E33C76"/>
    <w:p w:rsidR="00E33C76" w:rsidRDefault="00E33C76" w:rsidP="00E33C76"/>
    <w:p w:rsidR="00E33C76" w:rsidRPr="00E33C76" w:rsidRDefault="00E33C76" w:rsidP="00E33C76">
      <w:pPr>
        <w:jc w:val="center"/>
        <w:rPr>
          <w:b/>
          <w:bCs/>
        </w:rPr>
      </w:pPr>
      <w:r w:rsidRPr="00E33C76">
        <w:rPr>
          <w:b/>
          <w:bCs/>
        </w:rPr>
        <w:t>KAUNO MIESTO INTEGRUOTOS TERITORIJŲ VYSTYMO PROGRAMOS ĮGYVENDINIMO TERITORIJOS VYSTYMO TIKSLAI, UŽDAVINIAI IR PRIEMONĖS</w:t>
      </w:r>
    </w:p>
    <w:p w:rsidR="00E33C76" w:rsidRPr="00E33C76" w:rsidRDefault="00E33C76" w:rsidP="00E33C76"/>
    <w:tbl>
      <w:tblPr>
        <w:tblW w:w="5000" w:type="pct"/>
        <w:tblCellMar>
          <w:left w:w="115" w:type="dxa"/>
          <w:right w:w="115" w:type="dxa"/>
        </w:tblCellMar>
        <w:tblLook w:val="04A0" w:firstRow="1" w:lastRow="0" w:firstColumn="1" w:lastColumn="0" w:noHBand="0" w:noVBand="1"/>
      </w:tblPr>
      <w:tblGrid>
        <w:gridCol w:w="12682"/>
        <w:gridCol w:w="1551"/>
      </w:tblGrid>
      <w:tr w:rsidR="00E33C76" w:rsidRPr="00E33C76" w:rsidTr="003C54F4">
        <w:trPr>
          <w:trHeight w:val="240"/>
        </w:trPr>
        <w:tc>
          <w:tcPr>
            <w:tcW w:w="4455" w:type="pct"/>
            <w:tcBorders>
              <w:top w:val="nil"/>
              <w:left w:val="nil"/>
              <w:bottom w:val="nil"/>
              <w:right w:val="nil"/>
            </w:tcBorders>
            <w:shd w:val="clear" w:color="auto" w:fill="auto"/>
            <w:vAlign w:val="center"/>
          </w:tcPr>
          <w:p w:rsidR="00E33C76" w:rsidRPr="00E33C76" w:rsidRDefault="00E33C76" w:rsidP="004E4EDF">
            <w:pPr>
              <w:rPr>
                <w:b/>
                <w:bCs/>
                <w:u w:val="single"/>
              </w:rPr>
            </w:pPr>
            <w:r w:rsidRPr="00E33C76">
              <w:rPr>
                <w:b/>
                <w:bCs/>
                <w:u w:val="single"/>
              </w:rPr>
              <w:t>1. Tikslas: Sumažinti neigiamas demografines tendencijas Kauno miesto tikslinėse teritorijose, gerinant gyvenamąją aplinką</w:t>
            </w:r>
          </w:p>
        </w:tc>
        <w:tc>
          <w:tcPr>
            <w:tcW w:w="545" w:type="pct"/>
            <w:tcBorders>
              <w:top w:val="nil"/>
              <w:left w:val="nil"/>
              <w:bottom w:val="nil"/>
              <w:right w:val="nil"/>
            </w:tcBorders>
            <w:shd w:val="clear" w:color="auto" w:fill="auto"/>
            <w:vAlign w:val="center"/>
          </w:tcPr>
          <w:p w:rsidR="00E33C76" w:rsidRPr="00E33C76" w:rsidRDefault="00E33C76" w:rsidP="004E4EDF"/>
        </w:tc>
      </w:tr>
    </w:tbl>
    <w:p w:rsidR="00E33C76" w:rsidRDefault="00E33C76" w:rsidP="004E4EDF">
      <w:pPr>
        <w:pStyle w:val="Sraopastraipa"/>
        <w:numPr>
          <w:ilvl w:val="1"/>
          <w:numId w:val="1"/>
        </w:numPr>
        <w:rPr>
          <w:b/>
          <w:bCs/>
          <w:u w:val="single"/>
        </w:rPr>
      </w:pPr>
      <w:r w:rsidRPr="00E33C76">
        <w:rPr>
          <w:b/>
          <w:bCs/>
          <w:u w:val="single"/>
        </w:rPr>
        <w:t>Uždavinys: Sudaryti sąlygas naujų darbo vietų kūrimui, kuriant naujus ir stiprinant esamus traukos centrus tikslinėse teritorijose</w:t>
      </w:r>
    </w:p>
    <w:p w:rsidR="004E4EDF" w:rsidRDefault="004E4EDF" w:rsidP="004E4EDF">
      <w:pPr>
        <w:pStyle w:val="Sraopastraipa"/>
        <w:ind w:left="420"/>
        <w:rPr>
          <w:b/>
          <w:bCs/>
          <w:u w:val="single"/>
        </w:rPr>
      </w:pPr>
      <w:r>
        <w:rPr>
          <w:b/>
          <w:bCs/>
          <w:u w:val="single"/>
        </w:rPr>
        <w:t>Uždavinio priemonės:</w:t>
      </w:r>
    </w:p>
    <w:p w:rsidR="004E4EDF" w:rsidRPr="004E4EDF" w:rsidRDefault="004E4EDF" w:rsidP="004E4EDF">
      <w:pPr>
        <w:pStyle w:val="Sraopastraipa"/>
        <w:ind w:left="420"/>
        <w:rPr>
          <w:bCs/>
        </w:rPr>
      </w:pPr>
      <w:r w:rsidRPr="004E4EDF">
        <w:rPr>
          <w:bCs/>
        </w:rPr>
        <w:t>1.1.1.(v) Viešųjų materialinių ir (ar) nematerialinių investicijų (ES, valstybės, savivaldybių biudžetų ir kitų viešųjų lėšų) lėšomis numatomos įgyvendinti priemonės (kurios programos veiksmų plane bus detalizuotos iki veiksmų):</w:t>
      </w:r>
    </w:p>
    <w:p w:rsidR="004E4EDF" w:rsidRPr="004E4EDF" w:rsidRDefault="004E4EDF" w:rsidP="004E4EDF">
      <w:pPr>
        <w:pStyle w:val="Sraopastraipa"/>
        <w:ind w:left="420"/>
        <w:rPr>
          <w:bCs/>
        </w:rPr>
      </w:pPr>
      <w:r w:rsidRPr="004E4EDF">
        <w:rPr>
          <w:bCs/>
        </w:rPr>
        <w:t xml:space="preserve">1.1.1.1. Buvusios Aviacijos gamyklos teritorijos konversija </w:t>
      </w:r>
    </w:p>
    <w:p w:rsidR="004E4EDF" w:rsidRPr="004E4EDF" w:rsidRDefault="004E4EDF" w:rsidP="004E4EDF">
      <w:pPr>
        <w:pStyle w:val="Sraopastraipa"/>
        <w:ind w:left="420"/>
        <w:rPr>
          <w:bCs/>
        </w:rPr>
      </w:pPr>
      <w:r w:rsidRPr="004E4EDF">
        <w:rPr>
          <w:bCs/>
        </w:rPr>
        <w:t xml:space="preserve">1.1.1.2. Teritorijos, apribotos Nemuno upės kairiojo kranto ir H. ir O. Minkovskių g., kompleksinis vystymas </w:t>
      </w:r>
    </w:p>
    <w:p w:rsidR="004E4EDF" w:rsidRPr="004E4EDF" w:rsidRDefault="004E4EDF" w:rsidP="004E4EDF">
      <w:pPr>
        <w:pStyle w:val="Sraopastraipa"/>
        <w:ind w:left="420"/>
        <w:rPr>
          <w:bCs/>
        </w:rPr>
      </w:pPr>
      <w:r w:rsidRPr="004E4EDF">
        <w:rPr>
          <w:bCs/>
        </w:rPr>
        <w:t xml:space="preserve">1.1.1.3. Kauno sporto halės išvystymas į daugiafunkcį centrą visuomenės poreikiams </w:t>
      </w:r>
    </w:p>
    <w:p w:rsidR="004E4EDF" w:rsidRPr="004E4EDF" w:rsidRDefault="004E4EDF" w:rsidP="004E4EDF">
      <w:pPr>
        <w:pStyle w:val="Sraopastraipa"/>
        <w:ind w:left="420"/>
        <w:rPr>
          <w:bCs/>
        </w:rPr>
      </w:pPr>
      <w:r w:rsidRPr="004E4EDF">
        <w:rPr>
          <w:bCs/>
        </w:rPr>
        <w:t>1.1.1.4. Nemuno salos išvystymas į multifunkcinį sveikatinimo ir kultūros kompleksą pritaikant jį visuomenės poreikiams</w:t>
      </w:r>
    </w:p>
    <w:p w:rsidR="004E4EDF" w:rsidRPr="004E4EDF" w:rsidRDefault="004E4EDF" w:rsidP="004E4EDF">
      <w:pPr>
        <w:pStyle w:val="Sraopastraipa"/>
        <w:ind w:left="420"/>
        <w:rPr>
          <w:bCs/>
        </w:rPr>
      </w:pPr>
      <w:r w:rsidRPr="004E4EDF">
        <w:rPr>
          <w:bCs/>
        </w:rPr>
        <w:t xml:space="preserve">1.1.1.5. Marvelės upės slėnio sutvarkymas, panaudojant teritorijos gamtinio karkaso ypatumus, siekiant netradicinių erdvių pritaikymo kultūros ir kitoms reikmėms </w:t>
      </w:r>
    </w:p>
    <w:p w:rsidR="004E4EDF" w:rsidRPr="004E4EDF" w:rsidRDefault="004E4EDF" w:rsidP="004E4EDF">
      <w:pPr>
        <w:pStyle w:val="Sraopastraipa"/>
        <w:ind w:left="420"/>
        <w:rPr>
          <w:bCs/>
        </w:rPr>
      </w:pPr>
      <w:r w:rsidRPr="004E4EDF">
        <w:rPr>
          <w:bCs/>
        </w:rPr>
        <w:t>1.1.1.6. Apžvalgos aikštelės Aleksote rekonstravimas</w:t>
      </w:r>
    </w:p>
    <w:p w:rsidR="004E4EDF" w:rsidRPr="004E4EDF" w:rsidRDefault="004E4EDF" w:rsidP="004E4EDF">
      <w:pPr>
        <w:pStyle w:val="Sraopastraipa"/>
        <w:ind w:left="420"/>
        <w:rPr>
          <w:bCs/>
        </w:rPr>
      </w:pPr>
      <w:r w:rsidRPr="004E4EDF">
        <w:rPr>
          <w:bCs/>
        </w:rPr>
        <w:t>1.1.1.7. Šv. Arkangelo Mykolo (Soboro) bažnyčios pritaikymas kultūrinei, turistinei ir socialinei edukacinei veiklai</w:t>
      </w:r>
    </w:p>
    <w:p w:rsidR="004E4EDF" w:rsidRPr="004E4EDF" w:rsidRDefault="004E4EDF" w:rsidP="004E4EDF">
      <w:pPr>
        <w:pStyle w:val="Sraopastraipa"/>
        <w:ind w:left="420"/>
        <w:rPr>
          <w:bCs/>
        </w:rPr>
      </w:pPr>
      <w:r w:rsidRPr="004E4EDF">
        <w:rPr>
          <w:bCs/>
        </w:rPr>
        <w:t>1.1.1.8. Teritorijos prie daugiafunkcio S. Dariaus ir S. Girėno sveikatinimo, kultūros ir užimtumo centro, Lietuvos Sporto Universiteto ir Sporto halės sutvarkymas</w:t>
      </w:r>
    </w:p>
    <w:p w:rsidR="004E4EDF" w:rsidRPr="004E4EDF" w:rsidRDefault="004E4EDF" w:rsidP="004E4EDF">
      <w:pPr>
        <w:pStyle w:val="Sraopastraipa"/>
        <w:ind w:left="420"/>
        <w:rPr>
          <w:bCs/>
        </w:rPr>
      </w:pPr>
      <w:r w:rsidRPr="004E4EDF">
        <w:rPr>
          <w:bCs/>
        </w:rPr>
        <w:t>1.1.1.9. Daugiafunkcio S. Dariaus ir S. Girėno sveikatinimo, kultūros ir užimtumo centro įkūrimas panaudojant ir pritaikant S. Dariaus ir S. Girėno stadiono infrastruktūrą</w:t>
      </w:r>
    </w:p>
    <w:p w:rsidR="004E4EDF" w:rsidRPr="004E4EDF" w:rsidRDefault="004E4EDF" w:rsidP="004E4EDF">
      <w:pPr>
        <w:pStyle w:val="Sraopastraipa"/>
        <w:ind w:left="420"/>
        <w:rPr>
          <w:bCs/>
        </w:rPr>
      </w:pPr>
      <w:r w:rsidRPr="004E4EDF">
        <w:rPr>
          <w:bCs/>
        </w:rPr>
        <w:t>1.1.1.10. Kompleksiškas Kauko laiptų prie Aukštaičių gatvės zonos sutvarkymas</w:t>
      </w:r>
    </w:p>
    <w:p w:rsidR="004E4EDF" w:rsidRPr="004E4EDF" w:rsidRDefault="004E4EDF" w:rsidP="004E4EDF">
      <w:pPr>
        <w:pStyle w:val="Sraopastraipa"/>
        <w:ind w:left="420"/>
        <w:rPr>
          <w:bCs/>
        </w:rPr>
      </w:pPr>
      <w:r w:rsidRPr="004E4EDF">
        <w:rPr>
          <w:bCs/>
        </w:rPr>
        <w:t>1.1.1.11. Kompleksiškas Ąžuolyno parke esančios infrastuktūros sutvarkymas, pritaikant ją visuomenės poreikiams</w:t>
      </w:r>
    </w:p>
    <w:p w:rsidR="004E4EDF" w:rsidRPr="004E4EDF" w:rsidRDefault="004E4EDF" w:rsidP="004E4EDF">
      <w:pPr>
        <w:pStyle w:val="Sraopastraipa"/>
        <w:ind w:left="420"/>
        <w:rPr>
          <w:bCs/>
        </w:rPr>
      </w:pPr>
      <w:r w:rsidRPr="004E4EDF">
        <w:rPr>
          <w:bCs/>
        </w:rPr>
        <w:t>1.1.1.12. Pastato esančio Aleksote, Sodininkų g. 2, konversija į daugiafunkcinį centrą</w:t>
      </w:r>
    </w:p>
    <w:p w:rsidR="004E4EDF" w:rsidRPr="004E4EDF" w:rsidRDefault="004E4EDF" w:rsidP="004E4EDF">
      <w:pPr>
        <w:pStyle w:val="Sraopastraipa"/>
        <w:ind w:left="420"/>
        <w:rPr>
          <w:bCs/>
        </w:rPr>
      </w:pPr>
      <w:r w:rsidRPr="004E4EDF">
        <w:rPr>
          <w:bCs/>
        </w:rPr>
        <w:t>1.1.1.13. Visuomenės aplinkosauginį švietimą skatinančios infrastruktūros atnaujinimas Lietuvos zoologijos sode</w:t>
      </w:r>
    </w:p>
    <w:p w:rsidR="004E4EDF" w:rsidRPr="004E4EDF" w:rsidRDefault="004E4EDF" w:rsidP="004E4EDF">
      <w:pPr>
        <w:pStyle w:val="Sraopastraipa"/>
        <w:ind w:left="420"/>
        <w:rPr>
          <w:bCs/>
        </w:rPr>
      </w:pPr>
      <w:r w:rsidRPr="004E4EDF">
        <w:rPr>
          <w:bCs/>
        </w:rPr>
        <w:t>1.1.1.14. Kauno kino centro „Romuva“ kultūros paveldo aktualizavimas, jį įveiklinant, optimizuojant ir keliant paslaugų kokybę</w:t>
      </w:r>
    </w:p>
    <w:p w:rsidR="004E4EDF" w:rsidRPr="004E4EDF" w:rsidRDefault="004E4EDF" w:rsidP="004E4EDF">
      <w:pPr>
        <w:pStyle w:val="Sraopastraipa"/>
        <w:ind w:left="420"/>
        <w:rPr>
          <w:bCs/>
        </w:rPr>
      </w:pPr>
      <w:r w:rsidRPr="004E4EDF">
        <w:rPr>
          <w:bCs/>
        </w:rPr>
        <w:t>1.1.1.15. VšĮ „Girstučio“ kultūros ir sporto centro (Kovo 11-osios g. 26 Kaune) kultūrinei veiklai naudojamos dalies rekonstravimas</w:t>
      </w:r>
    </w:p>
    <w:p w:rsidR="004E4EDF" w:rsidRPr="004E4EDF" w:rsidRDefault="004E4EDF" w:rsidP="004E4EDF">
      <w:pPr>
        <w:pStyle w:val="Sraopastraipa"/>
        <w:ind w:left="420"/>
        <w:rPr>
          <w:bCs/>
        </w:rPr>
      </w:pPr>
      <w:r w:rsidRPr="004E4EDF">
        <w:rPr>
          <w:bCs/>
        </w:rPr>
        <w:t>1.1.1.16. Nacionalinio M. K Čiurlionio dailės muziejaus padalinio M. Žilinsko dailės galerijos modernizavimas</w:t>
      </w:r>
    </w:p>
    <w:p w:rsidR="004E4EDF" w:rsidRPr="004E4EDF" w:rsidRDefault="004E4EDF" w:rsidP="004E4EDF">
      <w:pPr>
        <w:pStyle w:val="Sraopastraipa"/>
        <w:ind w:left="420"/>
        <w:rPr>
          <w:bCs/>
        </w:rPr>
      </w:pPr>
      <w:r w:rsidRPr="004E4EDF">
        <w:rPr>
          <w:bCs/>
        </w:rPr>
        <w:t>1.1.1.17. Kauno apskrities viešosios bibliotekos modernizavimas</w:t>
      </w:r>
    </w:p>
    <w:p w:rsidR="004E4EDF" w:rsidRPr="004E4EDF" w:rsidRDefault="004E4EDF" w:rsidP="004E4EDF">
      <w:pPr>
        <w:pStyle w:val="Sraopastraipa"/>
        <w:ind w:left="420"/>
        <w:rPr>
          <w:bCs/>
        </w:rPr>
      </w:pPr>
      <w:r w:rsidRPr="004E4EDF">
        <w:rPr>
          <w:bCs/>
        </w:rPr>
        <w:t>1.1.1.18. Kauno valstybinio lėlių teatro pastato atnaujinimas</w:t>
      </w:r>
    </w:p>
    <w:p w:rsidR="004E4EDF" w:rsidRPr="004E4EDF" w:rsidRDefault="004E4EDF" w:rsidP="004E4EDF">
      <w:pPr>
        <w:pStyle w:val="Sraopastraipa"/>
        <w:ind w:left="420"/>
        <w:rPr>
          <w:bCs/>
        </w:rPr>
      </w:pPr>
      <w:r w:rsidRPr="004E4EDF">
        <w:rPr>
          <w:bCs/>
        </w:rPr>
        <w:t>1.1.1.19. Kauno valstybinio muzikinio teatro modernizavimas</w:t>
      </w:r>
    </w:p>
    <w:p w:rsidR="004E4EDF" w:rsidRPr="004E4EDF" w:rsidRDefault="004E4EDF" w:rsidP="004E4EDF">
      <w:pPr>
        <w:pStyle w:val="Sraopastraipa"/>
        <w:ind w:left="420"/>
        <w:rPr>
          <w:bCs/>
        </w:rPr>
      </w:pPr>
      <w:r w:rsidRPr="004E4EDF">
        <w:rPr>
          <w:bCs/>
        </w:rPr>
        <w:t xml:space="preserve">1.1.2. Priemonės, kurių įgyvendinimui numatomos naudoti finansinės priemonės: </w:t>
      </w:r>
    </w:p>
    <w:p w:rsidR="004E4EDF" w:rsidRPr="004E4EDF" w:rsidRDefault="004E4EDF" w:rsidP="004E4EDF">
      <w:pPr>
        <w:pStyle w:val="Sraopastraipa"/>
        <w:ind w:left="420"/>
        <w:rPr>
          <w:bCs/>
        </w:rPr>
      </w:pPr>
      <w:r w:rsidRPr="004E4EDF">
        <w:rPr>
          <w:bCs/>
        </w:rPr>
        <w:t>1.1.2.1 Kauno sporto halės pastato energetinio efektyvumo didinimas</w:t>
      </w:r>
    </w:p>
    <w:p w:rsidR="00E33C76" w:rsidRDefault="00E33C76" w:rsidP="004E4EDF"/>
    <w:p w:rsidR="00E33C76" w:rsidRDefault="00E33C76" w:rsidP="004E4EDF"/>
    <w:p w:rsidR="00425351" w:rsidRDefault="00E33C76" w:rsidP="004E4EDF">
      <w:pPr>
        <w:pStyle w:val="Sraopastraipa"/>
        <w:numPr>
          <w:ilvl w:val="1"/>
          <w:numId w:val="1"/>
        </w:numPr>
        <w:rPr>
          <w:b/>
          <w:bCs/>
          <w:u w:val="single"/>
        </w:rPr>
      </w:pPr>
      <w:r w:rsidRPr="00E33C76">
        <w:rPr>
          <w:b/>
          <w:bCs/>
          <w:u w:val="single"/>
        </w:rPr>
        <w:t>Uždavinys: Didinti tikslinių teritorijų patrauklumą gyventojams, kompleksiškai gerinant ir plėtojant viešąją infrastruktūrą</w:t>
      </w:r>
    </w:p>
    <w:p w:rsidR="00E33C76" w:rsidRPr="00E33C76" w:rsidRDefault="00E33C76" w:rsidP="004E4EDF">
      <w:pPr>
        <w:rPr>
          <w:b/>
          <w:bCs/>
          <w:u w:val="single"/>
        </w:rPr>
      </w:pPr>
      <w:r w:rsidRPr="00E33C76">
        <w:rPr>
          <w:b/>
          <w:bCs/>
        </w:rPr>
        <w:t xml:space="preserve">       </w:t>
      </w:r>
      <w:r w:rsidRPr="00E33C76">
        <w:rPr>
          <w:b/>
          <w:bCs/>
          <w:u w:val="single"/>
        </w:rPr>
        <w:t>Uždavinio priemonės:</w:t>
      </w:r>
    </w:p>
    <w:p w:rsidR="004E4EDF" w:rsidRPr="004E4EDF" w:rsidRDefault="004E4EDF" w:rsidP="004E4EDF">
      <w:pPr>
        <w:rPr>
          <w:bCs/>
        </w:rPr>
      </w:pPr>
      <w:r>
        <w:rPr>
          <w:bCs/>
        </w:rPr>
        <w:t xml:space="preserve">      </w:t>
      </w:r>
      <w:r w:rsidRPr="004E4EDF">
        <w:rPr>
          <w:bCs/>
        </w:rPr>
        <w:t>1.2.1.(v) Viešųjų materialinių ir (ar) nematerialinių investicijų (ES, valstybės, savivaldybių biudžetų ir kitų viešųjų lėšų) lėšomis numatomos įgyvendinti priemonės (kurios programos veiksmų plane bus detalizuotos iki veiksmų):</w:t>
      </w:r>
    </w:p>
    <w:p w:rsidR="004E4EDF" w:rsidRPr="004E4EDF" w:rsidRDefault="004E4EDF" w:rsidP="004E4EDF">
      <w:pPr>
        <w:rPr>
          <w:bCs/>
        </w:rPr>
      </w:pPr>
      <w:r>
        <w:rPr>
          <w:bCs/>
        </w:rPr>
        <w:t xml:space="preserve">      </w:t>
      </w:r>
      <w:r w:rsidRPr="004E4EDF">
        <w:rPr>
          <w:bCs/>
        </w:rPr>
        <w:t xml:space="preserve">1.2.1.1. Kauno lopšelio-darželio „Svirnelis“, Kauno mokyklos-darželio „Rūtelė“, Kauno Žaliakalnio lopšelio- darželio modernizavimas didinant paslaugų prieinamumą </w:t>
      </w:r>
    </w:p>
    <w:p w:rsidR="004E4EDF" w:rsidRPr="004E4EDF" w:rsidRDefault="004E4EDF" w:rsidP="004E4EDF">
      <w:pPr>
        <w:rPr>
          <w:bCs/>
        </w:rPr>
      </w:pPr>
      <w:r>
        <w:rPr>
          <w:bCs/>
        </w:rPr>
        <w:t xml:space="preserve">      </w:t>
      </w:r>
      <w:r w:rsidRPr="004E4EDF">
        <w:rPr>
          <w:bCs/>
        </w:rPr>
        <w:t>1.2.1.2. Žaliakalnio bendrojo ugdymo įstaigų modernizavimas didinant paslaugų efektyvumą (Jono Jablonskio gimnazija, KTU licėjus)</w:t>
      </w:r>
    </w:p>
    <w:p w:rsidR="004E4EDF" w:rsidRPr="004E4EDF" w:rsidRDefault="004E4EDF" w:rsidP="004E4EDF">
      <w:pPr>
        <w:rPr>
          <w:bCs/>
        </w:rPr>
      </w:pPr>
      <w:r>
        <w:rPr>
          <w:bCs/>
        </w:rPr>
        <w:t xml:space="preserve">      </w:t>
      </w:r>
      <w:r w:rsidRPr="004E4EDF">
        <w:rPr>
          <w:bCs/>
        </w:rPr>
        <w:t>1.2.1.3. Žaliakalnio švietimo įstaigų modernizavimas plėtojant vaikų ir jaunimo neformalaus ugdymo galimybes (A. Kačanausko vaikų muzikos mokykla)</w:t>
      </w:r>
    </w:p>
    <w:p w:rsidR="004E4EDF" w:rsidRPr="004E4EDF" w:rsidRDefault="004E4EDF" w:rsidP="004E4EDF">
      <w:pPr>
        <w:rPr>
          <w:bCs/>
        </w:rPr>
      </w:pPr>
      <w:r>
        <w:rPr>
          <w:bCs/>
        </w:rPr>
        <w:t xml:space="preserve">      </w:t>
      </w:r>
      <w:r w:rsidRPr="004E4EDF">
        <w:rPr>
          <w:bCs/>
        </w:rPr>
        <w:t>1.2.1.4. Pastato Aleksote Kumpio g. 1 modernizavimas didinant ikimokyklinio ugdymo  paslaugų prieinamumą</w:t>
      </w:r>
    </w:p>
    <w:p w:rsidR="004E4EDF" w:rsidRPr="004E4EDF" w:rsidRDefault="004E4EDF" w:rsidP="004E4EDF">
      <w:pPr>
        <w:rPr>
          <w:bCs/>
        </w:rPr>
      </w:pPr>
      <w:r>
        <w:rPr>
          <w:bCs/>
        </w:rPr>
        <w:t xml:space="preserve">      </w:t>
      </w:r>
      <w:r w:rsidRPr="004E4EDF">
        <w:rPr>
          <w:bCs/>
        </w:rPr>
        <w:t>1.2.1.5. Aleksoto bendrojo ugdymo įstaigos modernizavimas didinant paslaugų efektyvumą (Prezidento Valdo Adamkaus gimnazija)</w:t>
      </w:r>
    </w:p>
    <w:p w:rsidR="004E4EDF" w:rsidRPr="004E4EDF" w:rsidRDefault="004E4EDF" w:rsidP="004E4EDF">
      <w:pPr>
        <w:rPr>
          <w:bCs/>
        </w:rPr>
      </w:pPr>
      <w:r>
        <w:rPr>
          <w:bCs/>
        </w:rPr>
        <w:t xml:space="preserve">      </w:t>
      </w:r>
      <w:r w:rsidRPr="004E4EDF">
        <w:rPr>
          <w:bCs/>
        </w:rPr>
        <w:t>1.2.1.6. Susietos teritorijos (centro) įstaigų modernizavimas plėtojant vaikų ir jaunimo neformalaus ugdymo galimybes (Kauno moksleivių techninės kūrybos centro ir jo bazės modernizavimas)</w:t>
      </w:r>
    </w:p>
    <w:p w:rsidR="004E4EDF" w:rsidRPr="004E4EDF" w:rsidRDefault="004E4EDF" w:rsidP="004E4EDF">
      <w:pPr>
        <w:rPr>
          <w:bCs/>
        </w:rPr>
      </w:pPr>
      <w:r>
        <w:rPr>
          <w:bCs/>
        </w:rPr>
        <w:t xml:space="preserve">      </w:t>
      </w:r>
      <w:r w:rsidRPr="004E4EDF">
        <w:rPr>
          <w:bCs/>
        </w:rPr>
        <w:t xml:space="preserve">1.2.1.7. Kauno žiemos sporto mokyklos „Baltų Ainiai“ pritaikymas bendruomenės ir miesto gyventojų aktyviam laisvalaikio užimtumui </w:t>
      </w:r>
    </w:p>
    <w:p w:rsidR="004E4EDF" w:rsidRPr="004E4EDF" w:rsidRDefault="004E4EDF" w:rsidP="004E4EDF">
      <w:pPr>
        <w:rPr>
          <w:bCs/>
        </w:rPr>
      </w:pPr>
      <w:r>
        <w:rPr>
          <w:bCs/>
        </w:rPr>
        <w:t xml:space="preserve">      </w:t>
      </w:r>
      <w:r w:rsidRPr="004E4EDF">
        <w:rPr>
          <w:bCs/>
        </w:rPr>
        <w:t>1.2.1.8.  Geriamojo vandens tiekimo, nuotekų tvarkymo infrastruktūros plėtra ir rekonstrukcija Kaune</w:t>
      </w:r>
    </w:p>
    <w:p w:rsidR="004E4EDF" w:rsidRPr="004E4EDF" w:rsidRDefault="004E4EDF" w:rsidP="004E4EDF">
      <w:pPr>
        <w:rPr>
          <w:bCs/>
        </w:rPr>
      </w:pPr>
      <w:r>
        <w:rPr>
          <w:bCs/>
        </w:rPr>
        <w:t xml:space="preserve">      </w:t>
      </w:r>
      <w:r w:rsidRPr="004E4EDF">
        <w:rPr>
          <w:bCs/>
        </w:rPr>
        <w:t>1.2.1.9 Paviršinių nuotekų tinklų rekonstrukcija ir plėtra Kaune</w:t>
      </w:r>
    </w:p>
    <w:p w:rsidR="004E4EDF" w:rsidRPr="004E4EDF" w:rsidRDefault="004E4EDF" w:rsidP="004E4EDF">
      <w:pPr>
        <w:rPr>
          <w:bCs/>
        </w:rPr>
      </w:pPr>
      <w:r>
        <w:rPr>
          <w:bCs/>
        </w:rPr>
        <w:t xml:space="preserve">      </w:t>
      </w:r>
      <w:r w:rsidRPr="004E4EDF">
        <w:rPr>
          <w:bCs/>
        </w:rPr>
        <w:t>1.2.1.10. Komunalinių atliekų konteinerių aikštelių įrengimas Kauno mieste</w:t>
      </w:r>
    </w:p>
    <w:p w:rsidR="004E4EDF" w:rsidRPr="004E4EDF" w:rsidRDefault="004E4EDF" w:rsidP="004E4EDF">
      <w:pPr>
        <w:rPr>
          <w:bCs/>
        </w:rPr>
      </w:pPr>
      <w:r>
        <w:rPr>
          <w:bCs/>
        </w:rPr>
        <w:t xml:space="preserve">      </w:t>
      </w:r>
      <w:r w:rsidRPr="004E4EDF">
        <w:rPr>
          <w:bCs/>
        </w:rPr>
        <w:t>1.2.2. Priemonės numatytos įgyvendinti per konkurso būdu atrenkamus veiksmus:</w:t>
      </w:r>
    </w:p>
    <w:p w:rsidR="00E33C76" w:rsidRPr="004E4EDF" w:rsidRDefault="004E4EDF" w:rsidP="004E4EDF">
      <w:pPr>
        <w:rPr>
          <w:bCs/>
        </w:rPr>
      </w:pPr>
      <w:r>
        <w:rPr>
          <w:bCs/>
        </w:rPr>
        <w:t xml:space="preserve">      </w:t>
      </w:r>
      <w:r w:rsidRPr="004E4EDF">
        <w:rPr>
          <w:bCs/>
        </w:rPr>
        <w:t>1.2.2.1. Centralizuoto šilumos tiekimo tinklų modernizavimas, didinant jų efektyvumą</w:t>
      </w:r>
    </w:p>
    <w:p w:rsidR="00E33C76" w:rsidRPr="00E33C76" w:rsidRDefault="00E33C76" w:rsidP="004E4EDF">
      <w:pPr>
        <w:rPr>
          <w:b/>
          <w:bCs/>
          <w:u w:val="single"/>
        </w:rPr>
      </w:pPr>
    </w:p>
    <w:p w:rsidR="00E33C76" w:rsidRPr="00E33C76" w:rsidRDefault="00E33C76" w:rsidP="004E4EDF">
      <w:pPr>
        <w:pStyle w:val="Sraopastraipa"/>
        <w:numPr>
          <w:ilvl w:val="1"/>
          <w:numId w:val="1"/>
        </w:numPr>
        <w:rPr>
          <w:b/>
          <w:bCs/>
          <w:u w:val="single"/>
        </w:rPr>
      </w:pPr>
      <w:r w:rsidRPr="00E33C76">
        <w:rPr>
          <w:b/>
          <w:bCs/>
          <w:u w:val="single"/>
        </w:rPr>
        <w:t>Uždavinys: Mažinti socialinę atskirtį, skatinant socialiai pažeidžiamų grupių integraciją ir sveiką gyvenimo būdą</w:t>
      </w:r>
    </w:p>
    <w:p w:rsidR="00E33C76" w:rsidRDefault="00E33C76" w:rsidP="004E4EDF">
      <w:pPr>
        <w:pStyle w:val="Sraopastraipa"/>
        <w:ind w:left="420"/>
        <w:rPr>
          <w:b/>
          <w:bCs/>
          <w:u w:val="single"/>
        </w:rPr>
      </w:pPr>
      <w:r>
        <w:rPr>
          <w:b/>
          <w:bCs/>
          <w:u w:val="single"/>
        </w:rPr>
        <w:t>Uždavinio priemonės:</w:t>
      </w:r>
    </w:p>
    <w:p w:rsidR="004E4EDF" w:rsidRPr="004E4EDF" w:rsidRDefault="004E4EDF" w:rsidP="004E4EDF">
      <w:pPr>
        <w:pStyle w:val="Sraopastraipa"/>
        <w:ind w:left="420"/>
        <w:rPr>
          <w:bCs/>
        </w:rPr>
      </w:pPr>
      <w:r w:rsidRPr="004E4EDF">
        <w:rPr>
          <w:bCs/>
        </w:rPr>
        <w:t>1.3.1.(v) Viešųjų materialinių ir (ar) nematerialinių investicijų (ES, valstybės, savivaldybių biudžetų ir kitų viešųjų lėšų) lėšomis numatomos įgyvendinti priemonės (kurios programos veiksmų plane bus detalizuotos iki veiksmų):</w:t>
      </w:r>
    </w:p>
    <w:p w:rsidR="004E4EDF" w:rsidRPr="004E4EDF" w:rsidRDefault="004E4EDF" w:rsidP="004E4EDF">
      <w:pPr>
        <w:pStyle w:val="Sraopastraipa"/>
        <w:ind w:left="420"/>
        <w:rPr>
          <w:bCs/>
        </w:rPr>
      </w:pPr>
      <w:r w:rsidRPr="004E4EDF">
        <w:rPr>
          <w:bCs/>
        </w:rPr>
        <w:t>1.3.1.1. Kauno kartų namų (Sąjungos a. 13A) infrastruktūros modernizavimas ir pritaikymas senyvo amžiaus asmenims</w:t>
      </w:r>
    </w:p>
    <w:p w:rsidR="004E4EDF" w:rsidRPr="004E4EDF" w:rsidRDefault="004E4EDF" w:rsidP="004E4EDF">
      <w:pPr>
        <w:pStyle w:val="Sraopastraipa"/>
        <w:ind w:left="420"/>
        <w:rPr>
          <w:bCs/>
        </w:rPr>
      </w:pPr>
      <w:r w:rsidRPr="004E4EDF">
        <w:rPr>
          <w:bCs/>
        </w:rPr>
        <w:t>1.3.1.2. Energetiškai efektyvių būstų įrengimas ar įsigijimas pagal socialinio būsto fondo plėtros programą</w:t>
      </w:r>
    </w:p>
    <w:p w:rsidR="004E4EDF" w:rsidRPr="004E4EDF" w:rsidRDefault="004E4EDF" w:rsidP="004E4EDF">
      <w:pPr>
        <w:pStyle w:val="Sraopastraipa"/>
        <w:ind w:left="420"/>
        <w:rPr>
          <w:bCs/>
        </w:rPr>
      </w:pPr>
      <w:r w:rsidRPr="004E4EDF">
        <w:rPr>
          <w:bCs/>
        </w:rPr>
        <w:t>1.3.1.3. Kauno kultūros centro „Tautos namai“ infrastruktūros pritaikymas vietos bendruomenės reikmėms</w:t>
      </w:r>
    </w:p>
    <w:p w:rsidR="004E4EDF" w:rsidRPr="004E4EDF" w:rsidRDefault="004E4EDF" w:rsidP="004E4EDF">
      <w:pPr>
        <w:pStyle w:val="Sraopastraipa"/>
        <w:ind w:left="420"/>
        <w:rPr>
          <w:bCs/>
        </w:rPr>
      </w:pPr>
      <w:r w:rsidRPr="004E4EDF">
        <w:rPr>
          <w:bCs/>
        </w:rPr>
        <w:t>1.3.1.4. Kauno miesto gyventojų sveikatos gerinimas ir sveikatos netolygumų mažinimas</w:t>
      </w:r>
    </w:p>
    <w:p w:rsidR="004E4EDF" w:rsidRPr="004E4EDF" w:rsidRDefault="004E4EDF" w:rsidP="004E4EDF">
      <w:pPr>
        <w:pStyle w:val="Sraopastraipa"/>
        <w:ind w:left="420"/>
        <w:rPr>
          <w:bCs/>
        </w:rPr>
      </w:pPr>
      <w:r w:rsidRPr="004E4EDF">
        <w:rPr>
          <w:bCs/>
        </w:rPr>
        <w:t>1.3.1.5. Pirminės sveikatos priežiūros paslaugų neįgaliesiems ir vyresnio amžiaus asmenims kokybės ir prieinamumo gerinimas VšĮ Kauno Centro poliklinikoje</w:t>
      </w:r>
    </w:p>
    <w:p w:rsidR="004E4EDF" w:rsidRPr="004E4EDF" w:rsidRDefault="004E4EDF" w:rsidP="004E4EDF">
      <w:pPr>
        <w:pStyle w:val="Sraopastraipa"/>
        <w:ind w:left="420"/>
        <w:rPr>
          <w:bCs/>
        </w:rPr>
      </w:pPr>
      <w:r w:rsidRPr="004E4EDF">
        <w:rPr>
          <w:bCs/>
        </w:rPr>
        <w:t>1.3.1.6. Viešosios įstaigos Kauno Kalniečių poliklinikos efektyvios ir kokybiškos sveikatos priežiūros prieinamumo gerinimas neįgaliesiems ir vyresnio amžiaus žmonėms</w:t>
      </w:r>
    </w:p>
    <w:p w:rsidR="004E4EDF" w:rsidRPr="004E4EDF" w:rsidRDefault="004E4EDF" w:rsidP="004E4EDF">
      <w:pPr>
        <w:pStyle w:val="Sraopastraipa"/>
        <w:ind w:left="420"/>
        <w:rPr>
          <w:bCs/>
        </w:rPr>
      </w:pPr>
      <w:r w:rsidRPr="004E4EDF">
        <w:rPr>
          <w:bCs/>
        </w:rPr>
        <w:lastRenderedPageBreak/>
        <w:t>1.3.2. Priemonės, siūlomos įgyvendinti per bendruomenės inicijuotos vietos plėtros iniciatyvą:</w:t>
      </w:r>
    </w:p>
    <w:p w:rsidR="00E33C76" w:rsidRDefault="004E4EDF" w:rsidP="004E4EDF">
      <w:pPr>
        <w:pStyle w:val="Sraopastraipa"/>
        <w:ind w:left="420"/>
        <w:rPr>
          <w:b/>
          <w:bCs/>
          <w:u w:val="single"/>
        </w:rPr>
      </w:pPr>
      <w:r w:rsidRPr="004E4EDF">
        <w:rPr>
          <w:bCs/>
        </w:rPr>
        <w:t>1.3.2.1. Pagal Aleksoto ir Žaliakalnio teritorijose veikiančių VVG parengtas vietos plėtros strategijas (bendradarbiaujant savivaldybei, įmonėms ir verslo asociacijoms, bendruomenėms ir kitoms NVO įgyvendinti vietos bendruomenių socialines ir kultūrines iniciatyvas socialinei integracijai didinti; jaunimo bei socialinio verslumo iniciatyvas; veiklas skatinančias jaunimo užimtumą, įdarbinimą ir verslumą</w:t>
      </w:r>
    </w:p>
    <w:p w:rsidR="004E4EDF" w:rsidRDefault="004E4EDF" w:rsidP="004E4EDF">
      <w:pPr>
        <w:pStyle w:val="Sraopastraipa"/>
        <w:ind w:left="420"/>
        <w:rPr>
          <w:b/>
          <w:bCs/>
          <w:u w:val="single"/>
        </w:rPr>
      </w:pPr>
    </w:p>
    <w:p w:rsidR="004E4EDF" w:rsidRPr="00E33C76" w:rsidRDefault="004E4EDF" w:rsidP="004E4EDF">
      <w:pPr>
        <w:pStyle w:val="Sraopastraipa"/>
        <w:ind w:left="420"/>
        <w:rPr>
          <w:b/>
          <w:bCs/>
          <w:u w:val="single"/>
        </w:rPr>
      </w:pPr>
    </w:p>
    <w:p w:rsidR="00E33C76" w:rsidRPr="004E4EDF" w:rsidRDefault="00E33C76" w:rsidP="004E4EDF">
      <w:pPr>
        <w:pStyle w:val="Sraopastraipa"/>
        <w:numPr>
          <w:ilvl w:val="1"/>
          <w:numId w:val="1"/>
        </w:numPr>
        <w:rPr>
          <w:b/>
          <w:bCs/>
          <w:u w:val="single"/>
        </w:rPr>
      </w:pPr>
      <w:r w:rsidRPr="004E4EDF">
        <w:rPr>
          <w:b/>
          <w:bCs/>
          <w:u w:val="single"/>
        </w:rPr>
        <w:t>Uždavinys: Mažinti oro užterštumą, kuriant saugią ir darnią susisiekimo sistemą</w:t>
      </w:r>
    </w:p>
    <w:p w:rsidR="004E4EDF" w:rsidRPr="004E4EDF" w:rsidRDefault="004E4EDF" w:rsidP="004E4EDF">
      <w:pPr>
        <w:pStyle w:val="Sraopastraipa"/>
        <w:ind w:left="420"/>
        <w:rPr>
          <w:b/>
          <w:bCs/>
          <w:u w:val="single"/>
        </w:rPr>
      </w:pPr>
      <w:r>
        <w:rPr>
          <w:b/>
          <w:bCs/>
          <w:u w:val="single"/>
        </w:rPr>
        <w:t>Uždavinio priemonės:</w:t>
      </w:r>
    </w:p>
    <w:p w:rsidR="004E4EDF" w:rsidRDefault="00F87B63" w:rsidP="004E4EDF">
      <w:r>
        <w:t xml:space="preserve">      </w:t>
      </w:r>
      <w:r w:rsidR="004E4EDF">
        <w:t>1.4.1.(v) Viešųjų materialinių ir (ar) nematerialinių investicijų (ES, valstybės, savivaldybių biudžetų ir kitų viešųjų lėšų) lėšomis numatomos įgyvendinti priemonės (kurios programos veiksmų plane bus detalizuotos iki veiksmų):</w:t>
      </w:r>
    </w:p>
    <w:p w:rsidR="004E4EDF" w:rsidRDefault="00F87B63" w:rsidP="004E4EDF">
      <w:r>
        <w:t xml:space="preserve">     </w:t>
      </w:r>
      <w:r w:rsidR="004E4EDF">
        <w:t>1.4.1.1. Radvilėnų plento (nuo A. Baranausko g. iki Zoologijos sodo pabaigos)  rekonstravimas</w:t>
      </w:r>
    </w:p>
    <w:p w:rsidR="004E4EDF" w:rsidRDefault="00F87B63" w:rsidP="004E4EDF">
      <w:r>
        <w:t xml:space="preserve">     </w:t>
      </w:r>
      <w:r w:rsidR="004E4EDF">
        <w:t xml:space="preserve">1.4.1.2. Pėsčiųjų ir dviračių takas Veiverių g. nuo Vytauto Didžiojo tilto iki Kauno miesto ribos </w:t>
      </w:r>
    </w:p>
    <w:p w:rsidR="004E4EDF" w:rsidRDefault="00F87B63" w:rsidP="004E4EDF">
      <w:r>
        <w:t xml:space="preserve">     </w:t>
      </w:r>
      <w:r w:rsidR="004E4EDF">
        <w:t>1.4.1.3. Dviračių ir pėsčiųjų tako Savanorių pr. įrengimas (tako ilgis 6 km).</w:t>
      </w:r>
    </w:p>
    <w:p w:rsidR="004E4EDF" w:rsidRDefault="00F87B63" w:rsidP="004E4EDF">
      <w:r>
        <w:t xml:space="preserve">     </w:t>
      </w:r>
      <w:r w:rsidR="004E4EDF">
        <w:t xml:space="preserve">1.4.1.4. Aleksoto gatvių  rekonstravimas (Kalvarijos g., Vyčio Kryžiaus g., K. Sprangausko g., J. Petruičio g., J. Čapliko g., Pabrėžos g. , Vilties g.)  </w:t>
      </w:r>
    </w:p>
    <w:p w:rsidR="004E4EDF" w:rsidRDefault="00F87B63" w:rsidP="004E4EDF">
      <w:r>
        <w:t xml:space="preserve">    </w:t>
      </w:r>
      <w:r w:rsidR="004E4EDF">
        <w:t>1.4.1.5. Šviesoforinės įrangos J. Lukšos-Daumanto g. ir Sukilėlių pr. sankryžoje įrengimas</w:t>
      </w:r>
    </w:p>
    <w:p w:rsidR="004E4EDF" w:rsidRDefault="00F87B63" w:rsidP="004E4EDF">
      <w:r>
        <w:t xml:space="preserve">    </w:t>
      </w:r>
      <w:r w:rsidR="004E4EDF">
        <w:t xml:space="preserve">1.4.1.6.  Šeštokų 1-osios g.  ir Alyvų 1-osios g. Kaune statyba </w:t>
      </w:r>
    </w:p>
    <w:p w:rsidR="004E4EDF" w:rsidRDefault="00F87B63" w:rsidP="004E4EDF">
      <w:r>
        <w:t xml:space="preserve">    </w:t>
      </w:r>
      <w:r w:rsidR="004E4EDF">
        <w:t xml:space="preserve">1.4.1.7. Šviesoforinės įrangos įrengimas Eivenių g. ir Sukilėlių pr. sankryžoje </w:t>
      </w:r>
    </w:p>
    <w:p w:rsidR="004E4EDF" w:rsidRDefault="00F87B63" w:rsidP="004E4EDF">
      <w:r>
        <w:t xml:space="preserve">    </w:t>
      </w:r>
      <w:r w:rsidR="004E4EDF">
        <w:t xml:space="preserve">1.4.1.8. Eismo saugos įrenginių rekonstrukcija Savanorių prospekte </w:t>
      </w:r>
    </w:p>
    <w:p w:rsidR="004E4EDF" w:rsidRDefault="00F87B63" w:rsidP="004E4EDF">
      <w:r>
        <w:t xml:space="preserve">    </w:t>
      </w:r>
      <w:r w:rsidR="004E4EDF">
        <w:t>1.4.1.9. Aplinkos oro kokybės gerinimas Kauno mieste</w:t>
      </w:r>
    </w:p>
    <w:p w:rsidR="004E4EDF" w:rsidRDefault="00F87B63" w:rsidP="004E4EDF">
      <w:r>
        <w:t xml:space="preserve">    </w:t>
      </w:r>
      <w:r w:rsidR="004E4EDF">
        <w:t>1.4.1.10. Darnaus judumo Kauno mieste plano parengimas</w:t>
      </w:r>
    </w:p>
    <w:p w:rsidR="004E4EDF" w:rsidRDefault="00F87B63" w:rsidP="004E4EDF">
      <w:r>
        <w:t xml:space="preserve">   </w:t>
      </w:r>
      <w:bookmarkStart w:id="0" w:name="_GoBack"/>
      <w:bookmarkEnd w:id="0"/>
      <w:r>
        <w:t xml:space="preserve"> </w:t>
      </w:r>
      <w:r w:rsidR="004E4EDF">
        <w:t>1.4.1.11. Naujų ekologiškų Kauno miesto viešojo transporto priemonių įsigijimas</w:t>
      </w:r>
    </w:p>
    <w:sectPr w:rsidR="004E4EDF" w:rsidSect="00E33C76">
      <w:pgSz w:w="16838" w:h="11906" w:orient="landscape"/>
      <w:pgMar w:top="1701" w:right="1701" w:bottom="567" w:left="1134"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034851"/>
    <w:multiLevelType w:val="multilevel"/>
    <w:tmpl w:val="4A980AD6"/>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76"/>
    <w:rsid w:val="00425351"/>
    <w:rsid w:val="004E4EDF"/>
    <w:rsid w:val="00E33C76"/>
    <w:rsid w:val="00F87B6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3C7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33C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E33C76"/>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E33C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6</Pages>
  <Words>8784</Words>
  <Characters>5007</Characters>
  <Application>Microsoft Office Word</Application>
  <DocSecurity>0</DocSecurity>
  <Lines>41</Lines>
  <Paragraphs>27</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13764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Sonata Senkienė</dc:creator>
  <cp:lastModifiedBy>Sonata Senkienė</cp:lastModifiedBy>
  <cp:revision>1</cp:revision>
  <dcterms:created xsi:type="dcterms:W3CDTF">2018-03-29T07:24:00Z</dcterms:created>
  <dcterms:modified xsi:type="dcterms:W3CDTF">2018-03-29T07:47:00Z</dcterms:modified>
</cp:coreProperties>
</file>