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F" w:rsidRDefault="00AE0E1A" w:rsidP="004838AA">
      <w:pPr>
        <w:spacing w:line="312" w:lineRule="auto"/>
        <w:ind w:left="5670"/>
      </w:pPr>
      <w:bookmarkStart w:id="0" w:name="_GoBack"/>
      <w:bookmarkEnd w:id="0"/>
      <w:r>
        <w:t>Kauno miesto savivaldybės tarybos</w:t>
      </w:r>
    </w:p>
    <w:p w:rsidR="00AE0E1A" w:rsidRDefault="00066DB9" w:rsidP="004838AA">
      <w:pPr>
        <w:spacing w:line="312" w:lineRule="auto"/>
        <w:ind w:left="5670"/>
      </w:pPr>
      <w:r>
        <w:t>201</w:t>
      </w:r>
      <w:r w:rsidR="008E3FD4">
        <w:t>7</w:t>
      </w:r>
      <w:r>
        <w:t xml:space="preserve"> m.</w:t>
      </w:r>
      <w:r w:rsidR="00624680">
        <w:t xml:space="preserve"> </w:t>
      </w:r>
      <w:r w:rsidR="00EF1F43">
        <w:t xml:space="preserve">spalio 17 d. </w:t>
      </w:r>
    </w:p>
    <w:p w:rsidR="00AE0E1A" w:rsidRDefault="00AE0E1A" w:rsidP="003E342E">
      <w:pPr>
        <w:spacing w:line="312" w:lineRule="auto"/>
        <w:ind w:left="5670"/>
      </w:pPr>
      <w:r>
        <w:t xml:space="preserve">sprendimo </w:t>
      </w:r>
      <w:r w:rsidR="006527D0">
        <w:t>Nr.</w:t>
      </w:r>
      <w:r w:rsidR="00624680">
        <w:t xml:space="preserve"> </w:t>
      </w:r>
      <w:hyperlink r:id="rId8" w:history="1">
        <w:r w:rsidR="00EF1F43" w:rsidRPr="001135A9">
          <w:rPr>
            <w:rStyle w:val="Hipersaitas"/>
          </w:rPr>
          <w:t>T-</w:t>
        </w:r>
        <w:r w:rsidR="00EA656D" w:rsidRPr="001135A9">
          <w:rPr>
            <w:rStyle w:val="Hipersaitas"/>
          </w:rPr>
          <w:t>683</w:t>
        </w:r>
      </w:hyperlink>
    </w:p>
    <w:p w:rsidR="00AE0E1A" w:rsidRDefault="00AE0E1A" w:rsidP="004838AA">
      <w:pPr>
        <w:spacing w:line="312" w:lineRule="auto"/>
        <w:ind w:left="5670"/>
      </w:pPr>
      <w:r>
        <w:t xml:space="preserve">2 priedas </w:t>
      </w:r>
    </w:p>
    <w:p w:rsidR="004838AA" w:rsidRDefault="004838AA" w:rsidP="003666DA">
      <w:pPr>
        <w:ind w:left="5670"/>
      </w:pPr>
    </w:p>
    <w:p w:rsidR="0067398B" w:rsidRDefault="0067398B"/>
    <w:p w:rsidR="007D7E62" w:rsidRPr="00C810EF" w:rsidRDefault="00AE0E1A" w:rsidP="004838AA">
      <w:pPr>
        <w:spacing w:line="360" w:lineRule="auto"/>
        <w:jc w:val="center"/>
        <w:rPr>
          <w:b/>
        </w:rPr>
      </w:pPr>
      <w:r w:rsidRPr="00C810EF">
        <w:rPr>
          <w:b/>
        </w:rPr>
        <w:t>LENGVATŲ, TAIKOMŲ GYVENTOJAMS, ĮSIGYJANTIEMS V</w:t>
      </w:r>
      <w:r w:rsidR="00D45DD9" w:rsidRPr="00C810EF">
        <w:rPr>
          <w:b/>
        </w:rPr>
        <w:t>ERSLO LIUDIJIMUS 2</w:t>
      </w:r>
      <w:r w:rsidR="00661A37">
        <w:rPr>
          <w:b/>
        </w:rPr>
        <w:t>01</w:t>
      </w:r>
      <w:r w:rsidR="008E3FD4">
        <w:rPr>
          <w:b/>
        </w:rPr>
        <w:t>8</w:t>
      </w:r>
      <w:r w:rsidR="00661A37">
        <w:rPr>
          <w:b/>
        </w:rPr>
        <w:t> </w:t>
      </w:r>
      <w:r w:rsidRPr="00C810EF">
        <w:rPr>
          <w:b/>
        </w:rPr>
        <w:t>METAIS VYKDOMAI VEIKLAI, DYDŽIAI</w:t>
      </w:r>
    </w:p>
    <w:p w:rsidR="00360223" w:rsidRPr="00C810EF" w:rsidRDefault="00360223" w:rsidP="00AE0E1A">
      <w:pPr>
        <w:jc w:val="center"/>
      </w:pPr>
    </w:p>
    <w:p w:rsidR="00AE0E1A" w:rsidRPr="00C810EF" w:rsidRDefault="007D7E62" w:rsidP="001D25CB">
      <w:pPr>
        <w:ind w:firstLine="567"/>
        <w:jc w:val="both"/>
      </w:pPr>
      <w:r w:rsidRPr="00C810EF">
        <w:t>1. </w:t>
      </w:r>
      <w:r w:rsidR="00873F5E" w:rsidRPr="00C810EF">
        <w:t>Lengvatų, kurios gali būti taikomos verslo liudijimus įsigyjantiems asmenims, rūšys ir jų dydžiai:</w:t>
      </w:r>
    </w:p>
    <w:p w:rsidR="00873F5E" w:rsidRPr="00C810EF" w:rsidRDefault="00873F5E" w:rsidP="00AE0E1A">
      <w:pPr>
        <w:jc w:val="both"/>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415E00" w:rsidRDefault="00415E00" w:rsidP="003E342E">
            <w:pPr>
              <w:ind w:left="360"/>
              <w:jc w:val="center"/>
            </w:pPr>
          </w:p>
          <w:p w:rsidR="00415E00" w:rsidRDefault="00415E00" w:rsidP="00221BF1">
            <w:pPr>
              <w:jc w:val="center"/>
            </w:pPr>
          </w:p>
          <w:p w:rsidR="00873F5E" w:rsidRPr="00C810EF" w:rsidRDefault="00873F5E" w:rsidP="00221BF1">
            <w:pPr>
              <w:jc w:val="center"/>
            </w:pPr>
            <w:r w:rsidRPr="00C810EF">
              <w:t>Kodas</w:t>
            </w:r>
          </w:p>
        </w:tc>
        <w:tc>
          <w:tcPr>
            <w:tcW w:w="6311" w:type="dxa"/>
            <w:shd w:val="clear" w:color="auto" w:fill="auto"/>
          </w:tcPr>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Verslo liudijimus įsigyjantys asmenys, kuriems taikomos lengvatos</w:t>
            </w:r>
          </w:p>
        </w:tc>
        <w:tc>
          <w:tcPr>
            <w:tcW w:w="1440" w:type="dxa"/>
            <w:shd w:val="clear" w:color="auto" w:fill="auto"/>
          </w:tcPr>
          <w:p w:rsidR="00873F5E" w:rsidRPr="00C810EF" w:rsidRDefault="00873F5E" w:rsidP="00E81FDE">
            <w:pPr>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E81FDE">
            <w:pPr>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C810EF">
            <w:pPr>
              <w:jc w:val="center"/>
            </w:pPr>
            <w:r w:rsidRPr="00C810EF">
              <w:t>101</w:t>
            </w:r>
          </w:p>
        </w:tc>
        <w:tc>
          <w:tcPr>
            <w:tcW w:w="6311" w:type="dxa"/>
            <w:shd w:val="clear" w:color="auto" w:fill="auto"/>
          </w:tcPr>
          <w:p w:rsidR="00873F5E" w:rsidRPr="00C810EF" w:rsidRDefault="00E9692B" w:rsidP="00347D1F">
            <w:r w:rsidRPr="00C810EF">
              <w:t>G</w:t>
            </w:r>
            <w:r w:rsidR="00347D1F" w:rsidRPr="00C810EF">
              <w:t>yventojai, sulaukę senatvės pensijos amžiaus</w:t>
            </w:r>
          </w:p>
        </w:tc>
        <w:tc>
          <w:tcPr>
            <w:tcW w:w="1440" w:type="dxa"/>
            <w:shd w:val="clear" w:color="auto" w:fill="auto"/>
          </w:tcPr>
          <w:p w:rsidR="00873F5E" w:rsidRPr="00C810EF" w:rsidRDefault="00BE6A68" w:rsidP="00B52BE7">
            <w:pPr>
              <w:jc w:val="center"/>
            </w:pPr>
            <w:r w:rsidRPr="00C810EF">
              <w:t>6</w:t>
            </w:r>
            <w:r w:rsidR="006C0CA3" w:rsidRPr="00C810EF">
              <w:t>0</w:t>
            </w:r>
          </w:p>
        </w:tc>
        <w:tc>
          <w:tcPr>
            <w:tcW w:w="1440" w:type="dxa"/>
            <w:shd w:val="clear" w:color="auto" w:fill="auto"/>
          </w:tcPr>
          <w:p w:rsidR="00873F5E" w:rsidRPr="00C810EF" w:rsidRDefault="006C0CA3" w:rsidP="00B52BE7">
            <w:pPr>
              <w:jc w:val="center"/>
            </w:pPr>
            <w:r w:rsidRPr="00C810EF">
              <w:t>0</w:t>
            </w:r>
          </w:p>
        </w:tc>
      </w:tr>
      <w:tr w:rsidR="00646E1C" w:rsidRPr="00C810EF" w:rsidTr="001D25CB">
        <w:tc>
          <w:tcPr>
            <w:tcW w:w="851" w:type="dxa"/>
            <w:shd w:val="clear" w:color="auto" w:fill="auto"/>
          </w:tcPr>
          <w:p w:rsidR="00873F5E" w:rsidRPr="00C810EF" w:rsidRDefault="00347D1F" w:rsidP="00C810EF">
            <w:pPr>
              <w:jc w:val="center"/>
            </w:pPr>
            <w:r w:rsidRPr="00C810EF">
              <w:t>102</w:t>
            </w:r>
          </w:p>
        </w:tc>
        <w:tc>
          <w:tcPr>
            <w:tcW w:w="6311" w:type="dxa"/>
            <w:shd w:val="clear" w:color="auto" w:fill="auto"/>
          </w:tcPr>
          <w:p w:rsidR="00873F5E" w:rsidRPr="00C810EF" w:rsidRDefault="00E9692B" w:rsidP="00B52BE7">
            <w:pPr>
              <w:jc w:val="both"/>
            </w:pPr>
            <w:r w:rsidRPr="00C810EF">
              <w:t>B</w:t>
            </w:r>
            <w:r w:rsidR="00347D1F" w:rsidRPr="00C810EF">
              <w:t>edarbiai, registruoti darbo biržoje</w:t>
            </w:r>
          </w:p>
        </w:tc>
        <w:tc>
          <w:tcPr>
            <w:tcW w:w="1440" w:type="dxa"/>
            <w:shd w:val="clear" w:color="auto" w:fill="auto"/>
          </w:tcPr>
          <w:p w:rsidR="00873F5E" w:rsidRPr="00C810EF" w:rsidRDefault="00BE6A68" w:rsidP="00B52BE7">
            <w:pPr>
              <w:jc w:val="center"/>
            </w:pPr>
            <w:r w:rsidRPr="00C810EF">
              <w:t>5</w:t>
            </w:r>
            <w:r w:rsidR="006C0CA3" w:rsidRPr="00C810EF">
              <w:t>0</w:t>
            </w:r>
          </w:p>
        </w:tc>
        <w:tc>
          <w:tcPr>
            <w:tcW w:w="1440" w:type="dxa"/>
            <w:shd w:val="clear" w:color="auto" w:fill="auto"/>
          </w:tcPr>
          <w:p w:rsidR="00873F5E"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103</w:t>
            </w:r>
          </w:p>
        </w:tc>
        <w:tc>
          <w:tcPr>
            <w:tcW w:w="6311" w:type="dxa"/>
            <w:shd w:val="clear" w:color="auto" w:fill="auto"/>
          </w:tcPr>
          <w:p w:rsidR="00320693" w:rsidRPr="00306A29" w:rsidRDefault="00320693" w:rsidP="00320693">
            <w:pPr>
              <w:jc w:val="both"/>
            </w:pPr>
            <w:r w:rsidRPr="00306A29">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104</w:t>
            </w:r>
          </w:p>
        </w:tc>
        <w:tc>
          <w:tcPr>
            <w:tcW w:w="6311" w:type="dxa"/>
            <w:shd w:val="clear" w:color="auto" w:fill="auto"/>
          </w:tcPr>
          <w:p w:rsidR="00A4299D" w:rsidRPr="00C810EF" w:rsidRDefault="00E9692B" w:rsidP="00271760">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105</w:t>
            </w:r>
          </w:p>
        </w:tc>
        <w:tc>
          <w:tcPr>
            <w:tcW w:w="6311"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B52BE7">
            <w:pPr>
              <w:jc w:val="center"/>
            </w:pPr>
            <w:r w:rsidRPr="00C810EF">
              <w:t>6</w:t>
            </w:r>
            <w:r w:rsidR="006C0CA3" w:rsidRPr="00C810EF">
              <w:t>0</w:t>
            </w:r>
          </w:p>
        </w:tc>
        <w:tc>
          <w:tcPr>
            <w:tcW w:w="1440" w:type="dxa"/>
            <w:shd w:val="clear" w:color="auto" w:fill="auto"/>
          </w:tcPr>
          <w:p w:rsidR="002109D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106</w:t>
            </w:r>
          </w:p>
        </w:tc>
        <w:tc>
          <w:tcPr>
            <w:tcW w:w="6311" w:type="dxa"/>
            <w:shd w:val="clear" w:color="auto" w:fill="auto"/>
          </w:tcPr>
          <w:p w:rsidR="00306A29" w:rsidRPr="00C810EF" w:rsidRDefault="00E9692B" w:rsidP="00271760">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B52BE7">
            <w:pPr>
              <w:jc w:val="center"/>
            </w:pPr>
            <w:r w:rsidRPr="00C810EF">
              <w:t>4</w:t>
            </w:r>
            <w:r w:rsidR="006C0CA3" w:rsidRPr="00C810EF">
              <w:t>0</w:t>
            </w:r>
          </w:p>
        </w:tc>
        <w:tc>
          <w:tcPr>
            <w:tcW w:w="1440" w:type="dxa"/>
            <w:shd w:val="clear" w:color="auto" w:fill="auto"/>
          </w:tcPr>
          <w:p w:rsidR="002109D5"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107</w:t>
            </w:r>
          </w:p>
        </w:tc>
        <w:tc>
          <w:tcPr>
            <w:tcW w:w="6311"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B52BE7">
            <w:pPr>
              <w:jc w:val="center"/>
            </w:pPr>
            <w:r w:rsidRPr="00C810EF">
              <w:t>4</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4838AA">
        <w:trPr>
          <w:trHeight w:val="1174"/>
        </w:trPr>
        <w:tc>
          <w:tcPr>
            <w:tcW w:w="851" w:type="dxa"/>
            <w:shd w:val="clear" w:color="auto" w:fill="auto"/>
          </w:tcPr>
          <w:p w:rsidR="00C16E43" w:rsidRPr="00C810EF" w:rsidRDefault="00C16E43" w:rsidP="00C810EF">
            <w:pPr>
              <w:jc w:val="center"/>
            </w:pPr>
            <w:r w:rsidRPr="00C810EF">
              <w:t>108</w:t>
            </w:r>
          </w:p>
        </w:tc>
        <w:tc>
          <w:tcPr>
            <w:tcW w:w="6311" w:type="dxa"/>
            <w:shd w:val="clear" w:color="auto" w:fill="auto"/>
          </w:tcPr>
          <w:p w:rsidR="00C16E43" w:rsidRPr="00C810EF" w:rsidRDefault="00E9692B" w:rsidP="00B52BE7">
            <w:pPr>
              <w:jc w:val="both"/>
            </w:pPr>
            <w:r w:rsidRPr="00C810EF">
              <w:t>D</w:t>
            </w:r>
            <w:r w:rsidR="00C860BC" w:rsidRPr="00C810EF">
              <w:t>irbantys (tarnaujantys) asmenys</w:t>
            </w:r>
            <w:r w:rsidR="00C16E43" w:rsidRPr="00C810EF">
              <w:t xml:space="preserve"> </w:t>
            </w:r>
            <w:r w:rsidR="00C860BC" w:rsidRPr="00C810EF">
              <w:t>(įskaitant individualių įmonių savininkus</w:t>
            </w:r>
            <w:r w:rsidR="00C16E43" w:rsidRPr="00C810EF">
              <w:t>, ūkinių bendrij</w:t>
            </w:r>
            <w:r w:rsidR="00C860BC" w:rsidRPr="00C810EF">
              <w:t>ų tikruosius narius</w:t>
            </w:r>
            <w:r w:rsidR="00C16E43" w:rsidRPr="00C810EF">
              <w:t xml:space="preserve">, </w:t>
            </w:r>
            <w:r w:rsidR="00C860BC" w:rsidRPr="00C810EF">
              <w:t xml:space="preserve">mažųjų bendrijų narius, </w:t>
            </w:r>
            <w:r w:rsidR="00C16E43" w:rsidRPr="00C810EF">
              <w:t>gaunan</w:t>
            </w:r>
            <w:r w:rsidR="00C860BC" w:rsidRPr="00C810EF">
              <w:t>čius</w:t>
            </w:r>
            <w:r w:rsidR="00C16E43" w:rsidRPr="00C810EF">
              <w:t xml:space="preserve"> su darbo santykiais ar jų esmę atitinkančiais santykiais susijusių pajamų</w:t>
            </w:r>
            <w:r w:rsidR="00C860BC" w:rsidRPr="00C810EF">
              <w:t>)</w:t>
            </w:r>
          </w:p>
        </w:tc>
        <w:tc>
          <w:tcPr>
            <w:tcW w:w="1440" w:type="dxa"/>
            <w:shd w:val="clear" w:color="auto" w:fill="auto"/>
          </w:tcPr>
          <w:p w:rsidR="00C16E43" w:rsidRPr="00C810EF" w:rsidRDefault="002C6549" w:rsidP="00B52BE7">
            <w:pPr>
              <w:jc w:val="center"/>
            </w:pPr>
            <w:r w:rsidRPr="00C810EF">
              <w:t>2</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lastRenderedPageBreak/>
              <w:t>109</w:t>
            </w:r>
          </w:p>
        </w:tc>
        <w:tc>
          <w:tcPr>
            <w:tcW w:w="6311" w:type="dxa"/>
            <w:shd w:val="clear" w:color="auto" w:fill="auto"/>
          </w:tcPr>
          <w:p w:rsidR="00C16E43" w:rsidRPr="00C810EF" w:rsidRDefault="00E9692B" w:rsidP="00B52BE7">
            <w:pPr>
              <w:jc w:val="both"/>
            </w:pPr>
            <w:r w:rsidRPr="00C810EF">
              <w:t>N</w:t>
            </w:r>
            <w:r w:rsidR="00C16E43" w:rsidRPr="00C810EF">
              <w:t>eįgalūs asmenys, kuriems nustatytas:</w:t>
            </w:r>
          </w:p>
          <w:p w:rsidR="00C16E43" w:rsidRPr="00C810EF" w:rsidRDefault="007C4360" w:rsidP="00B52BE7">
            <w:pPr>
              <w:jc w:val="both"/>
            </w:pPr>
            <w:r w:rsidRPr="00C810EF">
              <w:t>0–</w:t>
            </w:r>
            <w:r w:rsidR="00C16E43" w:rsidRPr="00C810EF">
              <w:t>25 procentų darbingumo lygis (nedarbingas asmuo);</w:t>
            </w:r>
          </w:p>
          <w:p w:rsidR="00C16E43" w:rsidRPr="00C810EF" w:rsidRDefault="00C16E43" w:rsidP="00B52BE7">
            <w:pPr>
              <w:jc w:val="both"/>
            </w:pPr>
            <w:r w:rsidRPr="00C810EF">
              <w:t xml:space="preserve">sunkus </w:t>
            </w:r>
            <w:proofErr w:type="spellStart"/>
            <w:r w:rsidRPr="00C810EF">
              <w:t>neįgalumo</w:t>
            </w:r>
            <w:proofErr w:type="spellEnd"/>
            <w:r w:rsidRPr="00C810EF">
              <w:t xml:space="preserve"> lygis;</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B52BE7">
            <w:pPr>
              <w:jc w:val="center"/>
            </w:pPr>
            <w:r w:rsidRPr="00C810EF">
              <w:t>8</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5298D" w:rsidRPr="00C810EF" w:rsidTr="001D25CB">
        <w:trPr>
          <w:cantSplit/>
        </w:trPr>
        <w:tc>
          <w:tcPr>
            <w:tcW w:w="851" w:type="dxa"/>
            <w:shd w:val="clear" w:color="auto" w:fill="auto"/>
          </w:tcPr>
          <w:p w:rsidR="00C5298D" w:rsidRPr="00C810EF" w:rsidRDefault="00C5298D" w:rsidP="00C810EF">
            <w:pPr>
              <w:jc w:val="center"/>
            </w:pPr>
            <w:r w:rsidRPr="00C810EF">
              <w:t>110</w:t>
            </w:r>
          </w:p>
        </w:tc>
        <w:tc>
          <w:tcPr>
            <w:tcW w:w="6311" w:type="dxa"/>
            <w:shd w:val="clear" w:color="auto" w:fill="auto"/>
          </w:tcPr>
          <w:p w:rsidR="00C5298D" w:rsidRPr="00C810EF" w:rsidRDefault="00C5298D" w:rsidP="00B52BE7">
            <w:pPr>
              <w:jc w:val="both"/>
            </w:pPr>
            <w:r w:rsidRPr="00C810EF">
              <w:t>Neįgalūs asmenys, kuriems nustatytas:</w:t>
            </w:r>
          </w:p>
          <w:p w:rsidR="00C5298D" w:rsidRPr="00C810EF" w:rsidRDefault="00C5298D" w:rsidP="00B52BE7">
            <w:pPr>
              <w:jc w:val="both"/>
            </w:pPr>
            <w:r w:rsidRPr="00C810EF">
              <w:t>30–40 procentų darbingumo lygis (iš dalies darbingas asmuo);</w:t>
            </w:r>
          </w:p>
          <w:p w:rsidR="00C5298D" w:rsidRPr="00C810EF" w:rsidRDefault="00C5298D" w:rsidP="00B52BE7">
            <w:pPr>
              <w:jc w:val="both"/>
            </w:pPr>
            <w:r w:rsidRPr="00C810EF">
              <w:t xml:space="preserve">vidutinis </w:t>
            </w:r>
            <w:proofErr w:type="spellStart"/>
            <w:r w:rsidRPr="00C810EF">
              <w:t>neįgalumo</w:t>
            </w:r>
            <w:proofErr w:type="spellEnd"/>
            <w:r w:rsidRPr="00C810EF">
              <w:t xml:space="preserve"> lygis;</w:t>
            </w:r>
          </w:p>
          <w:p w:rsidR="00C5298D" w:rsidRPr="00C810EF" w:rsidRDefault="00C5298D" w:rsidP="00B52BE7">
            <w:pPr>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B52BE7">
            <w:pPr>
              <w:jc w:val="center"/>
            </w:pPr>
            <w:r w:rsidRPr="00C810EF">
              <w:t>60</w:t>
            </w:r>
          </w:p>
        </w:tc>
        <w:tc>
          <w:tcPr>
            <w:tcW w:w="1440" w:type="dxa"/>
            <w:shd w:val="clear" w:color="auto" w:fill="auto"/>
          </w:tcPr>
          <w:p w:rsidR="00C5298D" w:rsidRPr="00C810EF" w:rsidRDefault="00856C79" w:rsidP="00B52BE7">
            <w:pPr>
              <w:jc w:val="center"/>
            </w:pPr>
            <w:r w:rsidRPr="00C810EF">
              <w:t>0</w:t>
            </w:r>
          </w:p>
        </w:tc>
      </w:tr>
      <w:tr w:rsidR="00C16E43" w:rsidRPr="00C810EF" w:rsidTr="001D25CB">
        <w:tc>
          <w:tcPr>
            <w:tcW w:w="851" w:type="dxa"/>
            <w:shd w:val="clear" w:color="auto" w:fill="auto"/>
          </w:tcPr>
          <w:p w:rsidR="00C16E43" w:rsidRPr="00C810EF" w:rsidRDefault="00C5298D" w:rsidP="00C810EF">
            <w:pPr>
              <w:jc w:val="center"/>
            </w:pPr>
            <w:r w:rsidRPr="00C810EF">
              <w:t>111</w:t>
            </w:r>
          </w:p>
        </w:tc>
        <w:tc>
          <w:tcPr>
            <w:tcW w:w="6311" w:type="dxa"/>
            <w:shd w:val="clear" w:color="auto" w:fill="auto"/>
          </w:tcPr>
          <w:p w:rsidR="00C16E43" w:rsidRPr="00C810EF" w:rsidRDefault="00E9692B" w:rsidP="00B52BE7">
            <w:pPr>
              <w:jc w:val="both"/>
            </w:pPr>
            <w:r w:rsidRPr="00C810EF">
              <w:t>N</w:t>
            </w:r>
            <w:r w:rsidR="007D7E62" w:rsidRPr="00C810EF">
              <w:t>eįgalūs asmenys, kuriems nustatytas:</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 xml:space="preserve">lengvas </w:t>
            </w:r>
            <w:proofErr w:type="spellStart"/>
            <w:r w:rsidRPr="00C810EF">
              <w:t>neįgalumo</w:t>
            </w:r>
            <w:proofErr w:type="spellEnd"/>
            <w:r w:rsidRPr="00C810EF">
              <w:t xml:space="preserve"> lygis;</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B52BE7">
            <w:pPr>
              <w:jc w:val="center"/>
            </w:pPr>
            <w:r w:rsidRPr="00C810EF">
              <w:t>6</w:t>
            </w:r>
            <w:r w:rsidR="006C0CA3" w:rsidRPr="00C810EF">
              <w:t>0</w:t>
            </w:r>
          </w:p>
        </w:tc>
        <w:tc>
          <w:tcPr>
            <w:tcW w:w="1440" w:type="dxa"/>
            <w:shd w:val="clear" w:color="auto" w:fill="auto"/>
          </w:tcPr>
          <w:p w:rsidR="00C16E43" w:rsidRPr="00C810EF" w:rsidRDefault="006C0CA3" w:rsidP="00B52BE7">
            <w:pPr>
              <w:jc w:val="center"/>
            </w:pPr>
            <w:r w:rsidRPr="00C810EF">
              <w:t>0</w:t>
            </w:r>
          </w:p>
        </w:tc>
      </w:tr>
    </w:tbl>
    <w:p w:rsidR="00661A37" w:rsidRDefault="00661A37" w:rsidP="000E2881">
      <w:pPr>
        <w:ind w:left="-900" w:hanging="180"/>
        <w:jc w:val="both"/>
      </w:pPr>
    </w:p>
    <w:p w:rsidR="000E2881" w:rsidRPr="00C810EF" w:rsidRDefault="000E2881" w:rsidP="001D25CB">
      <w:pPr>
        <w:ind w:firstLine="567"/>
        <w:jc w:val="both"/>
      </w:pPr>
      <w:r w:rsidRPr="00C810EF">
        <w:t>2. </w:t>
      </w:r>
      <w:r w:rsidR="007D7E62" w:rsidRPr="00C810EF">
        <w:t>Gyventojui, patenkančiam į kelias šiame sąraše nurodytų asmenų grupes, taikoma viena jo pasirinkta lengvata</w:t>
      </w:r>
      <w:r w:rsidRPr="00C810EF">
        <w:t>.</w:t>
      </w:r>
    </w:p>
    <w:p w:rsidR="00BE7205" w:rsidRDefault="00BE7205" w:rsidP="000E2881">
      <w:pPr>
        <w:ind w:left="-900" w:hanging="180"/>
        <w:jc w:val="center"/>
      </w:pPr>
    </w:p>
    <w:p w:rsidR="000E2881" w:rsidRDefault="000E2881" w:rsidP="000E2881">
      <w:pPr>
        <w:ind w:left="-900" w:hanging="180"/>
        <w:jc w:val="center"/>
      </w:pPr>
      <w:r>
        <w:t>___________________________</w:t>
      </w:r>
    </w:p>
    <w:sectPr w:rsidR="000E2881" w:rsidSect="004838AA">
      <w:headerReference w:type="default" r:id="rId9"/>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AD" w:rsidRDefault="00490FAD" w:rsidP="00EA7825">
      <w:r>
        <w:separator/>
      </w:r>
    </w:p>
  </w:endnote>
  <w:endnote w:type="continuationSeparator" w:id="0">
    <w:p w:rsidR="00490FAD" w:rsidRDefault="00490FAD"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AD" w:rsidRDefault="00490FAD" w:rsidP="00EA7825">
      <w:r>
        <w:separator/>
      </w:r>
    </w:p>
  </w:footnote>
  <w:footnote w:type="continuationSeparator" w:id="0">
    <w:p w:rsidR="00490FAD" w:rsidRDefault="00490FAD" w:rsidP="00EA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25" w:rsidRDefault="00EA7825">
    <w:pPr>
      <w:pStyle w:val="Antrats"/>
      <w:jc w:val="center"/>
    </w:pPr>
    <w:r>
      <w:fldChar w:fldCharType="begin"/>
    </w:r>
    <w:r>
      <w:instrText>PAGE   \* MERGEFORMAT</w:instrText>
    </w:r>
    <w:r>
      <w:fldChar w:fldCharType="separate"/>
    </w:r>
    <w:r w:rsidR="00D33860">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6F"/>
    <w:rsid w:val="00015628"/>
    <w:rsid w:val="00026C1D"/>
    <w:rsid w:val="00066DB9"/>
    <w:rsid w:val="0009034B"/>
    <w:rsid w:val="000B68B9"/>
    <w:rsid w:val="000E2881"/>
    <w:rsid w:val="000E6F1A"/>
    <w:rsid w:val="001135A9"/>
    <w:rsid w:val="001526F0"/>
    <w:rsid w:val="0016414B"/>
    <w:rsid w:val="00191795"/>
    <w:rsid w:val="001D25CB"/>
    <w:rsid w:val="002109D5"/>
    <w:rsid w:val="00221BF1"/>
    <w:rsid w:val="00271760"/>
    <w:rsid w:val="002A6D48"/>
    <w:rsid w:val="002C489C"/>
    <w:rsid w:val="002C6549"/>
    <w:rsid w:val="00306A29"/>
    <w:rsid w:val="0032036E"/>
    <w:rsid w:val="00320693"/>
    <w:rsid w:val="00347D1F"/>
    <w:rsid w:val="00355544"/>
    <w:rsid w:val="00360223"/>
    <w:rsid w:val="003666DA"/>
    <w:rsid w:val="003C56DE"/>
    <w:rsid w:val="003D57BD"/>
    <w:rsid w:val="003E342E"/>
    <w:rsid w:val="00415E00"/>
    <w:rsid w:val="004838AA"/>
    <w:rsid w:val="004865F7"/>
    <w:rsid w:val="00490FAD"/>
    <w:rsid w:val="004C24A5"/>
    <w:rsid w:val="005968CB"/>
    <w:rsid w:val="00624680"/>
    <w:rsid w:val="006313E6"/>
    <w:rsid w:val="0064618E"/>
    <w:rsid w:val="00646E1C"/>
    <w:rsid w:val="006527D0"/>
    <w:rsid w:val="00661A37"/>
    <w:rsid w:val="0067398B"/>
    <w:rsid w:val="006C0CA3"/>
    <w:rsid w:val="00751596"/>
    <w:rsid w:val="007C4360"/>
    <w:rsid w:val="007D7E62"/>
    <w:rsid w:val="00817D07"/>
    <w:rsid w:val="00822A22"/>
    <w:rsid w:val="00853B4C"/>
    <w:rsid w:val="00856C79"/>
    <w:rsid w:val="00873F5E"/>
    <w:rsid w:val="008E3FD4"/>
    <w:rsid w:val="00914873"/>
    <w:rsid w:val="00A4299D"/>
    <w:rsid w:val="00AA1E0F"/>
    <w:rsid w:val="00AE0E1A"/>
    <w:rsid w:val="00AE5F01"/>
    <w:rsid w:val="00B278E9"/>
    <w:rsid w:val="00B52BE7"/>
    <w:rsid w:val="00B63246"/>
    <w:rsid w:val="00BA7509"/>
    <w:rsid w:val="00BE6A68"/>
    <w:rsid w:val="00BE7205"/>
    <w:rsid w:val="00C16E43"/>
    <w:rsid w:val="00C5298D"/>
    <w:rsid w:val="00C810EF"/>
    <w:rsid w:val="00C860BC"/>
    <w:rsid w:val="00CE166F"/>
    <w:rsid w:val="00CE1C91"/>
    <w:rsid w:val="00CE227F"/>
    <w:rsid w:val="00CF53EA"/>
    <w:rsid w:val="00D33860"/>
    <w:rsid w:val="00D40313"/>
    <w:rsid w:val="00D45DD9"/>
    <w:rsid w:val="00DD71B6"/>
    <w:rsid w:val="00E81FDE"/>
    <w:rsid w:val="00E9692B"/>
    <w:rsid w:val="00EA656D"/>
    <w:rsid w:val="00EA7825"/>
    <w:rsid w:val="00EB06E0"/>
    <w:rsid w:val="00EB3A5E"/>
    <w:rsid w:val="00EF1F43"/>
    <w:rsid w:val="00F243F5"/>
    <w:rsid w:val="00FD4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character" w:styleId="Hipersaitas">
    <w:name w:val="Hyperlink"/>
    <w:basedOn w:val="Numatytasispastraiposriftas"/>
    <w:rsid w:val="001135A9"/>
    <w:rPr>
      <w:color w:val="0000FF" w:themeColor="hyperlink"/>
      <w:u w:val="single"/>
    </w:rPr>
  </w:style>
  <w:style w:type="character" w:styleId="Perirtashipersaitas">
    <w:name w:val="FollowedHyperlink"/>
    <w:basedOn w:val="Numatytasispastraiposriftas"/>
    <w:rsid w:val="00113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character" w:styleId="Hipersaitas">
    <w:name w:val="Hyperlink"/>
    <w:basedOn w:val="Numatytasispastraiposriftas"/>
    <w:rsid w:val="001135A9"/>
    <w:rPr>
      <w:color w:val="0000FF" w:themeColor="hyperlink"/>
      <w:u w:val="single"/>
    </w:rPr>
  </w:style>
  <w:style w:type="character" w:styleId="Perirtashipersaitas">
    <w:name w:val="FollowedHyperlink"/>
    <w:basedOn w:val="Numatytasispastraiposriftas"/>
    <w:rsid w:val="00113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kumentai.kaunas.lt/dokumentai/taryba/sprendimai/2017/t178683.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2766</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Kauno miesto savivaldybės tarybos</vt:lpstr>
    </vt:vector>
  </TitlesOfParts>
  <Company>Kauno m. sav.</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LENGVATŲ, TAIKOMŲ GYVENTOJAMS, ĮSIGYJANTIEMS VERSLO LIUDIJIMUS 2018 METAIS VYKDOMAI VEIKLAI, DYDŽIAI</dc:subject>
  <dc:creator>Finansų sk.</dc:creator>
  <cp:lastModifiedBy>Brigita Metelionienė</cp:lastModifiedBy>
  <cp:revision>2</cp:revision>
  <cp:lastPrinted>2015-10-27T09:01:00Z</cp:lastPrinted>
  <dcterms:created xsi:type="dcterms:W3CDTF">2017-11-27T11:33:00Z</dcterms:created>
  <dcterms:modified xsi:type="dcterms:W3CDTF">2017-11-27T11:33:00Z</dcterms:modified>
</cp:coreProperties>
</file>