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39" w:rsidRDefault="0005385F">
      <w:pPr>
        <w:spacing w:line="312" w:lineRule="auto"/>
        <w:ind w:left="5670"/>
        <w:rPr>
          <w:szCs w:val="24"/>
          <w:lang w:eastAsia="lt-LT"/>
        </w:rPr>
      </w:pPr>
      <w:r>
        <w:rPr>
          <w:szCs w:val="24"/>
          <w:lang w:eastAsia="lt-LT"/>
        </w:rPr>
        <w:t xml:space="preserve">Kauno miesto savivaldybės tarybos </w:t>
      </w:r>
    </w:p>
    <w:p w:rsidR="00B67C39" w:rsidRDefault="0005385F">
      <w:pPr>
        <w:spacing w:line="312" w:lineRule="auto"/>
        <w:ind w:left="5670"/>
        <w:rPr>
          <w:szCs w:val="24"/>
          <w:lang w:eastAsia="lt-LT"/>
        </w:rPr>
      </w:pPr>
      <w:r>
        <w:rPr>
          <w:szCs w:val="24"/>
          <w:lang w:eastAsia="lt-LT"/>
        </w:rPr>
        <w:t>2025 m. lapkričio 11 d.</w:t>
      </w:r>
    </w:p>
    <w:p w:rsidR="00B67C39" w:rsidRDefault="0005385F">
      <w:pPr>
        <w:spacing w:line="312" w:lineRule="auto"/>
        <w:ind w:left="5670"/>
        <w:rPr>
          <w:szCs w:val="24"/>
          <w:lang w:eastAsia="lt-LT"/>
        </w:rPr>
      </w:pPr>
      <w:r>
        <w:rPr>
          <w:szCs w:val="24"/>
          <w:lang w:eastAsia="lt-LT"/>
        </w:rPr>
        <w:t>sprendimo Nr. T-867</w:t>
      </w:r>
    </w:p>
    <w:p w:rsidR="00B67C39" w:rsidRDefault="0005385F">
      <w:pPr>
        <w:spacing w:line="312" w:lineRule="auto"/>
        <w:ind w:left="5670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priedas </w:t>
      </w:r>
    </w:p>
    <w:p w:rsidR="00B67C39" w:rsidRDefault="00B67C39">
      <w:pPr>
        <w:spacing w:line="312" w:lineRule="auto"/>
        <w:ind w:left="5670"/>
        <w:rPr>
          <w:szCs w:val="24"/>
          <w:lang w:eastAsia="lt-LT"/>
        </w:rPr>
      </w:pPr>
    </w:p>
    <w:p w:rsidR="00B67C39" w:rsidRDefault="00B67C39">
      <w:pPr>
        <w:rPr>
          <w:szCs w:val="24"/>
          <w:lang w:eastAsia="lt-LT"/>
        </w:rPr>
      </w:pPr>
    </w:p>
    <w:p w:rsidR="00B67C39" w:rsidRDefault="0005385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LENGVATŲ, TAIKOMŲ GYVENTOJAMS, ĮSIGYJANTIEMS VERSLO LIUDIJIMUS 2026 IR VĖLESNIAIS METAIS VYKDOMAI VEIKLAI, DYDŽIAI </w:t>
      </w:r>
    </w:p>
    <w:p w:rsidR="00B67C39" w:rsidRDefault="00B67C39">
      <w:pPr>
        <w:jc w:val="center"/>
        <w:rPr>
          <w:szCs w:val="24"/>
          <w:lang w:eastAsia="lt-LT"/>
        </w:rPr>
      </w:pPr>
    </w:p>
    <w:p w:rsidR="00B67C39" w:rsidRDefault="0005385F">
      <w:pPr>
        <w:spacing w:line="288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 Lengvatų, kurios gali būti taikomos verslo liudijimus įsigyjantiems asmenims, rūšys ir jų dydžiai: 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11"/>
        <w:gridCol w:w="1440"/>
        <w:gridCol w:w="1440"/>
      </w:tblGrid>
      <w:tr w:rsidR="00B67C39">
        <w:trPr>
          <w:tblHeader/>
        </w:trPr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Kodas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Verslo liudijimus įsigyjantys asmenys, kuriems taikomos lengvatos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Lengvatos dydis (proc.), kai verslo liudijime nėra įrašytų kitų asmenų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Lengvatos d</w:t>
            </w:r>
            <w:r>
              <w:rPr>
                <w:szCs w:val="24"/>
                <w:lang w:eastAsia="lt-LT"/>
              </w:rPr>
              <w:t>ydis (proc.), kai verslo liudijime yra įrašytų kitų asmenų</w:t>
            </w:r>
          </w:p>
        </w:tc>
      </w:tr>
      <w:tr w:rsidR="00B67C39">
        <w:trPr>
          <w:trHeight w:val="321"/>
        </w:trPr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101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88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Gyventojai, sulaukę senatvės pensijos amžiaus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103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Tėvai (įtėviai), auginantys tris ir daugiau vaikų (įvaikių) iki 18 metų, taip pat vyresnius, jeigu jie mokosi mokyklose pagal bendrojo </w:t>
            </w:r>
            <w:r>
              <w:rPr>
                <w:color w:val="000000"/>
                <w:szCs w:val="24"/>
                <w:lang w:eastAsia="lt-LT"/>
              </w:rPr>
              <w:t>ugdymo, profesinio mokymo programas grupinio mokymosi forma kasdieniu, nuotoliniu mokymo proceso organizavimo būdais, pavienio mokymosi forma savarankišku, nuotoliniu mokymo proceso organizavimo būdais, pagal studijų programas nuolatine (dienine) studijų f</w:t>
            </w:r>
            <w:r>
              <w:rPr>
                <w:color w:val="000000"/>
                <w:szCs w:val="24"/>
                <w:lang w:eastAsia="lt-LT"/>
              </w:rPr>
              <w:t>orma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104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Tėvai (motinos, įtėviai, įmotės), vieni auginantys vaiką (įvaikį) iki 18 metų arba vyresnį, jeigu jis mokosi mokykloje pagal bendrojo ugdymo, profesinio mokymo programas grupinio mokymosi forma kasdieniu, nuotoliniu mokymo proceso </w:t>
            </w:r>
            <w:r>
              <w:rPr>
                <w:szCs w:val="24"/>
                <w:lang w:eastAsia="lt-LT"/>
              </w:rPr>
              <w:t>organizavimo būdais, pavienio mokymosi forma savarankišku, nuotoliniu mokymo proceso organizavimo būdais, pagal studijų programas nuolatine (dienine) studijų forma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Tėvas (motina, įtėvis, įmotė), auginantis vaiką (įvaikį) su negalia iki 18 metų ar</w:t>
            </w:r>
            <w:r>
              <w:rPr>
                <w:szCs w:val="24"/>
                <w:lang w:eastAsia="lt-LT"/>
              </w:rPr>
              <w:t>ba vyresnį vaiką (įvaikį) su negalia, kuriam nustatytas specialusis nuolatinės slaugos poreikis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106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Mokiniai (studentai), jeigu jie mokosi mokyklose pagal bendrojo ugdymo, profesinio mokymo programas grupinio mokymosi forma kasdieniu, nuotoliniu moky</w:t>
            </w:r>
            <w:r>
              <w:rPr>
                <w:szCs w:val="24"/>
                <w:lang w:eastAsia="lt-LT"/>
              </w:rPr>
              <w:t>mo proceso organizavimo būdais, pavienio mokymosi forma savarankišku, nuotoliniu mokymo proceso organizavimo būdais, pagal studijų programas nuolatine (dienine) studijų forma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107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Asmenys, turintys tradicinio amatininko statusą, kai įsigyja verslo </w:t>
            </w:r>
            <w:r>
              <w:rPr>
                <w:szCs w:val="24"/>
                <w:lang w:eastAsia="lt-LT"/>
              </w:rPr>
              <w:t>liudijimą savo tradiciniam amatui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109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Asmenys su negalia, kuriems nustatytas 0–25 procentų </w:t>
            </w:r>
            <w:proofErr w:type="spellStart"/>
            <w:r>
              <w:rPr>
                <w:szCs w:val="24"/>
                <w:lang w:eastAsia="lt-LT"/>
              </w:rPr>
              <w:t>dalyvumo</w:t>
            </w:r>
            <w:proofErr w:type="spellEnd"/>
            <w:r>
              <w:rPr>
                <w:szCs w:val="24"/>
                <w:lang w:eastAsia="lt-LT"/>
              </w:rPr>
              <w:t xml:space="preserve"> lygis ir (arba) sunkaus neįgalumo lygis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rPr>
          <w:cantSplit/>
        </w:trPr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110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Asmenys su negalia, kuriems nustatytas 30–40 procentų </w:t>
            </w:r>
            <w:proofErr w:type="spellStart"/>
            <w:r>
              <w:rPr>
                <w:szCs w:val="24"/>
                <w:lang w:eastAsia="lt-LT"/>
              </w:rPr>
              <w:t>dalyvumo</w:t>
            </w:r>
            <w:proofErr w:type="spellEnd"/>
            <w:r>
              <w:rPr>
                <w:szCs w:val="24"/>
                <w:lang w:eastAsia="lt-LT"/>
              </w:rPr>
              <w:t xml:space="preserve"> lygis ir (arba) vidutinio neįgalumo </w:t>
            </w:r>
            <w:r>
              <w:rPr>
                <w:szCs w:val="24"/>
                <w:lang w:eastAsia="lt-LT"/>
              </w:rPr>
              <w:t>lygis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111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Asmenys su negalia, kuriems nustatytas 45–55 procentų </w:t>
            </w:r>
            <w:proofErr w:type="spellStart"/>
            <w:r>
              <w:rPr>
                <w:szCs w:val="24"/>
                <w:lang w:eastAsia="lt-LT"/>
              </w:rPr>
              <w:t>dalyvumo</w:t>
            </w:r>
            <w:proofErr w:type="spellEnd"/>
            <w:r>
              <w:rPr>
                <w:szCs w:val="24"/>
                <w:lang w:eastAsia="lt-LT"/>
              </w:rPr>
              <w:t xml:space="preserve"> lygis ir (arba) lengvo neįgalumo lygis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112</w:t>
            </w: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Bedarbiai, kuriems suteiktas ilgalaikių bedarbių statusas Užimtumo tarnyboje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B67C39">
        <w:tc>
          <w:tcPr>
            <w:tcW w:w="851" w:type="dxa"/>
            <w:shd w:val="clear" w:color="auto" w:fill="auto"/>
          </w:tcPr>
          <w:p w:rsidR="00B67C39" w:rsidRDefault="00B67C39">
            <w:pPr>
              <w:spacing w:line="288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311" w:type="dxa"/>
            <w:shd w:val="clear" w:color="auto" w:fill="auto"/>
          </w:tcPr>
          <w:p w:rsidR="00B67C39" w:rsidRDefault="0005385F">
            <w:pPr>
              <w:spacing w:line="264" w:lineRule="auto"/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Užsieniečiai, kuriems pagal Lietuvos </w:t>
            </w:r>
            <w:r>
              <w:rPr>
                <w:color w:val="000000"/>
                <w:szCs w:val="24"/>
                <w:lang w:eastAsia="lt-LT"/>
              </w:rPr>
              <w:t>Respublikos Vyriausybės 2022 m. kovo 16 d. nutarimą Nr. 224 „Dėl laikinosios apsaugos Lietuvos Respublikoje suteikimo“ suteikiama laikinoji apsauga Lietuvos Respublikoje</w:t>
            </w:r>
            <w:r>
              <w:rPr>
                <w:szCs w:val="24"/>
                <w:lang w:eastAsia="lt-LT"/>
              </w:rPr>
              <w:t xml:space="preserve">, Ukrainos piliečiai, jų šeimos nariai ir asmenys be pilietybės, gyvenantys Ukrainoje, </w:t>
            </w:r>
            <w:r>
              <w:rPr>
                <w:szCs w:val="24"/>
                <w:lang w:eastAsia="lt-LT"/>
              </w:rPr>
              <w:t>kurie negali grįžti į Ukrainą dėl Rusijos Federacijos karinių veiksmų Ukrainoje,  besinaudojantys beviziu režimu arba turintys galiojančią Šengeno vizą, turintys nacionalinę vizą arba leidimą gyventi Lietuvoje, užsieniečiai, kurie pateikė prašymą išduoti a</w:t>
            </w:r>
            <w:r>
              <w:rPr>
                <w:szCs w:val="24"/>
                <w:lang w:eastAsia="lt-LT"/>
              </w:rPr>
              <w:t xml:space="preserve">rba pakeisti leidimą laikinai gyventi Lietuvos Respublikoje, kurie pateikė prašymą suteikti prieglobstį arba turintys interesų </w:t>
            </w:r>
            <w:r>
              <w:rPr>
                <w:color w:val="000000"/>
                <w:szCs w:val="24"/>
                <w:lang w:eastAsia="lt-LT"/>
              </w:rPr>
              <w:t xml:space="preserve">Lietuvoje turinčio užsieniečio kodą (ILTU)  (laikoma </w:t>
            </w:r>
            <w:r>
              <w:rPr>
                <w:i/>
                <w:color w:val="000000"/>
                <w:szCs w:val="24"/>
                <w:lang w:eastAsia="lt-LT"/>
              </w:rPr>
              <w:t>d</w:t>
            </w:r>
            <w:r>
              <w:rPr>
                <w:i/>
                <w:iCs/>
                <w:color w:val="000000"/>
                <w:szCs w:val="24"/>
                <w:lang w:eastAsia="lt-LT"/>
              </w:rPr>
              <w:t xml:space="preserve">e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minimis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pagalba pagal 2013 m. gruodžio 18 d. Komisijos reglamentą  dėl Su</w:t>
            </w:r>
            <w:r>
              <w:rPr>
                <w:color w:val="000000"/>
                <w:szCs w:val="24"/>
                <w:lang w:eastAsia="lt-LT"/>
              </w:rPr>
              <w:t xml:space="preserve">tarties dėl Europos Sąjungos veikimo 107 ir 108 straipsnių taikymo </w:t>
            </w:r>
            <w:r>
              <w:rPr>
                <w:i/>
                <w:iCs/>
                <w:color w:val="000000"/>
                <w:szCs w:val="24"/>
                <w:lang w:eastAsia="lt-LT"/>
              </w:rPr>
              <w:t xml:space="preserve">de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minimis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pagalbai su visais pakeitimais)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99</w:t>
            </w:r>
          </w:p>
        </w:tc>
        <w:tc>
          <w:tcPr>
            <w:tcW w:w="1440" w:type="dxa"/>
            <w:shd w:val="clear" w:color="auto" w:fill="auto"/>
          </w:tcPr>
          <w:p w:rsidR="00B67C39" w:rsidRDefault="0005385F">
            <w:pPr>
              <w:spacing w:line="288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:rsidR="00B67C39" w:rsidRDefault="0005385F"/>
    <w:p w:rsidR="00B67C39" w:rsidRDefault="0005385F">
      <w:pPr>
        <w:spacing w:line="288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 Gyventojui, patenkančiam į kelias šiame sąraše nurodytų asmenų grupes, taikoma viena jo pasirinkta lengvata. </w:t>
      </w:r>
    </w:p>
    <w:p w:rsidR="00B67C39" w:rsidRDefault="0005385F">
      <w:pPr>
        <w:spacing w:line="288" w:lineRule="auto"/>
        <w:ind w:left="-284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</w:t>
      </w:r>
    </w:p>
    <w:sectPr w:rsidR="00B67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851" w:left="144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C39" w:rsidRDefault="0005385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B67C39" w:rsidRDefault="0005385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C39" w:rsidRDefault="0005385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B67C39" w:rsidRDefault="0005385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05385F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39" w:rsidRDefault="00B67C39">
    <w:pPr>
      <w:tabs>
        <w:tab w:val="center" w:pos="4819"/>
        <w:tab w:val="right" w:pos="9638"/>
      </w:tabs>
      <w:rPr>
        <w:szCs w:val="24"/>
        <w:lang w:eastAsia="lt-LT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6F"/>
    <w:rsid w:val="0005385F"/>
    <w:rsid w:val="00B67C39"/>
    <w:rsid w:val="00C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94F1E7-B1C3-44FF-A19F-89F92B8A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538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glossaryDocument" Target="glossary/document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C53D5B-0A85-4135-9EE4-94D7457D3831}"/>
      </w:docPartPr>
      <w:docPartBody>
        <w:p w:rsidR="00000000" w:rsidRDefault="001C5A94">
          <w:r w:rsidRPr="005C25E2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94"/>
    <w:rsid w:val="001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C5A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Kauno miesto savivaldybės tarybos</vt:lpstr>
    </vt:vector>
  </TitlesOfParts>
  <Company>Kauno m. sav.</Company>
  <LinksUpToDate>false</LinksUpToDate>
  <CharactersWithSpaces>3525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2025-11-12T07:06:00Z</dcterms:created>
  <dc:creator>Lina Rutavičienė</dc:creator>
  <lastModifiedBy>DINDIENĖ Laura</lastModifiedBy>
  <lastPrinted>2023-10-03T05:09:00Z</lastPrinted>
  <dcterms:modified xsi:type="dcterms:W3CDTF">2025-11-12T08:11:00Z</dcterms:modified>
  <revision>3</revision>
</coreProperties>
</file>