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bookmarkEnd w:id="1"/>
            <w:r w:rsidR="006731BD">
              <w:rPr>
                <w:b/>
              </w:rPr>
              <w:t> </w:t>
            </w:r>
            <w:r w:rsidR="006731BD">
              <w:rPr>
                <w:b/>
              </w:rPr>
              <w:t> </w:t>
            </w:r>
            <w:r w:rsidR="006731BD">
              <w:rPr>
                <w:b/>
              </w:rPr>
              <w:t> </w:t>
            </w:r>
            <w:r w:rsidR="006731BD">
              <w:rPr>
                <w:b/>
              </w:rPr>
              <w:t> </w:t>
            </w:r>
            <w:r w:rsidR="006731BD">
              <w:rPr>
                <w:b/>
              </w:rPr>
              <w:t> </w:t>
            </w:r>
            <w:r>
              <w:rPr>
                <w:b/>
              </w:rPr>
              <w:fldChar w:fldCharType="end"/>
            </w:r>
            <w:bookmarkEnd w:id="0"/>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6731BD" w:rsidRDefault="007A318E" w:rsidP="00D13647">
            <w:pPr>
              <w:pStyle w:val="Antrats"/>
              <w:tabs>
                <w:tab w:val="left" w:pos="5244"/>
              </w:tabs>
              <w:jc w:val="center"/>
            </w:pPr>
            <w:bookmarkStart w:id="2" w:name="r04" w:colFirst="3" w:colLast="3"/>
            <w:bookmarkStart w:id="3" w:name="r01" w:colFirst="0" w:colLast="0"/>
            <w:r w:rsidRPr="006731BD">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4" w:name="r06"/>
            <w:r>
              <w:rPr>
                <w:b/>
                <w:caps/>
              </w:rPr>
              <w:instrText xml:space="preserve"> FORMTEXT </w:instrText>
            </w:r>
            <w:r>
              <w:rPr>
                <w:b/>
                <w:caps/>
              </w:rPr>
            </w:r>
            <w:r>
              <w:rPr>
                <w:b/>
                <w:caps/>
              </w:rPr>
              <w:fldChar w:fldCharType="separate"/>
            </w:r>
            <w:r w:rsidR="00A37219">
              <w:rPr>
                <w:b/>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Pr>
                <w:b/>
                <w:caps/>
              </w:rPr>
              <w:instrText xml:space="preserve"> FORMTEXT </w:instrText>
            </w:r>
            <w:r>
              <w:rPr>
                <w:b/>
                <w:caps/>
              </w:rPr>
            </w:r>
            <w:r>
              <w:rPr>
                <w:b/>
                <w:caps/>
              </w:rPr>
              <w:fldChar w:fldCharType="separate"/>
            </w:r>
            <w:r w:rsidR="00A37219">
              <w:rPr>
                <w:b/>
                <w:noProof/>
              </w:rPr>
              <w:t>SPRENDIMAS</w:t>
            </w:r>
            <w:r>
              <w:rPr>
                <w:b/>
                <w:caps/>
              </w:rPr>
              <w:fldChar w:fldCharType="end"/>
            </w:r>
            <w:bookmarkEnd w:id="6"/>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7A318E">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7A318E" w:rsidRPr="007A318E">
              <w:rPr>
                <w:b/>
                <w:noProof/>
              </w:rPr>
              <w:t>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w:t>
            </w:r>
            <w:r>
              <w:rPr>
                <w:b/>
              </w:rPr>
              <w:fldChar w:fldCharType="end"/>
            </w:r>
            <w:bookmarkEnd w:id="7"/>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6731BD">
              <w:t xml:space="preserve">2023 m. vasario 7 d.    </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6731BD">
              <w:rPr>
                <w:noProof/>
              </w:rPr>
              <w:t>T-</w:t>
            </w:r>
            <w:r w:rsidR="00360448">
              <w:rPr>
                <w:noProof/>
              </w:rPr>
              <w:t>33</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7A318E" w:rsidRDefault="007A318E" w:rsidP="007A318E">
      <w:pPr>
        <w:pStyle w:val="Pagrindinistekstas"/>
        <w:ind w:firstLine="1276"/>
        <w:jc w:val="both"/>
      </w:pPr>
      <w:r>
        <w:t xml:space="preserve">Kauno miesto savivaldybės taryba  n u s p r e n d ž i a: </w:t>
      </w:r>
    </w:p>
    <w:p w:rsidR="007A318E" w:rsidRDefault="007A318E" w:rsidP="007A318E">
      <w:pPr>
        <w:pStyle w:val="Pagrindinistekstas"/>
        <w:numPr>
          <w:ilvl w:val="0"/>
          <w:numId w:val="1"/>
        </w:numPr>
        <w:tabs>
          <w:tab w:val="left" w:pos="1560"/>
        </w:tabs>
        <w:ind w:left="0" w:firstLine="1276"/>
        <w:jc w:val="both"/>
      </w:pPr>
      <w:r w:rsidRPr="003F3763">
        <w:t xml:space="preserve">Pakeisti Kauno miesto savivaldybės tarybos 2022 m. </w:t>
      </w:r>
      <w:r>
        <w:t xml:space="preserve">spalio 18 d. sprendimą              </w:t>
      </w:r>
      <w:r w:rsidRPr="003F3763">
        <w:t>Nr. T-</w:t>
      </w:r>
      <w:r>
        <w:t>476</w:t>
      </w:r>
      <w:r w:rsidRPr="003F3763">
        <w:t xml:space="preserve">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w:t>
      </w:r>
      <w:r>
        <w:t>:</w:t>
      </w:r>
    </w:p>
    <w:p w:rsidR="007A318E" w:rsidRDefault="00742F72" w:rsidP="007A318E">
      <w:pPr>
        <w:pStyle w:val="Pagrindinistekstas"/>
        <w:numPr>
          <w:ilvl w:val="1"/>
          <w:numId w:val="1"/>
        </w:numPr>
        <w:tabs>
          <w:tab w:val="left" w:pos="1701"/>
        </w:tabs>
        <w:jc w:val="both"/>
      </w:pPr>
      <w:r>
        <w:t xml:space="preserve"> P</w:t>
      </w:r>
      <w:r w:rsidR="007A318E">
        <w:t xml:space="preserve">akeisti 1 punktą ir jį išdėstyti taip: </w:t>
      </w:r>
    </w:p>
    <w:p w:rsidR="007A318E" w:rsidRPr="00680A1D" w:rsidRDefault="007A318E" w:rsidP="007A318E">
      <w:pPr>
        <w:pStyle w:val="Pagrindinistekstas"/>
        <w:ind w:firstLine="1276"/>
        <w:jc w:val="both"/>
      </w:pPr>
      <w:r>
        <w:t>„</w:t>
      </w:r>
      <w:r w:rsidRPr="00680A1D">
        <w:t xml:space="preserve">1. Nustatyti didžiausią leistiną pareigybių (etatų) skaičių Kauno miesto savivaldybės biudžetinėse bendrojo ugdymo mokyklose:  </w:t>
      </w:r>
    </w:p>
    <w:p w:rsidR="007A318E" w:rsidRPr="0096197F" w:rsidRDefault="007A318E" w:rsidP="007A318E">
      <w:pPr>
        <w:pStyle w:val="Pagrindinistekstas"/>
        <w:numPr>
          <w:ilvl w:val="1"/>
          <w:numId w:val="2"/>
        </w:numPr>
        <w:tabs>
          <w:tab w:val="left" w:pos="1843"/>
        </w:tabs>
        <w:ind w:left="0" w:firstLine="1269"/>
        <w:jc w:val="both"/>
      </w:pPr>
      <w:r w:rsidRPr="0096197F">
        <w:t xml:space="preserve">Kauno mokykla-darželis „Rūtelė“ – 49,74 pareigybių (etatų), iš jų 30,99 pedagoginių ir 18,75 nepedagoginių pareigybių; </w:t>
      </w:r>
    </w:p>
    <w:p w:rsidR="007A318E" w:rsidRPr="0096197F" w:rsidRDefault="007A318E" w:rsidP="007A318E">
      <w:pPr>
        <w:pStyle w:val="Pagrindinistekstas"/>
        <w:numPr>
          <w:ilvl w:val="1"/>
          <w:numId w:val="2"/>
        </w:numPr>
        <w:tabs>
          <w:tab w:val="left" w:pos="1843"/>
        </w:tabs>
        <w:ind w:left="0" w:firstLine="1269"/>
        <w:jc w:val="both"/>
      </w:pPr>
      <w:r w:rsidRPr="0096197F">
        <w:t>Kauno mokykla-darželis „Šviesa“ – 50,10 pareigybių (etatų), iš jų 29,10 pedagoginių pareigybių ir 21 nepedagoginė pareigybė;</w:t>
      </w:r>
    </w:p>
    <w:p w:rsidR="007A318E" w:rsidRPr="0096197F" w:rsidRDefault="007A318E" w:rsidP="007A318E">
      <w:pPr>
        <w:pStyle w:val="Pagrindinistekstas"/>
        <w:numPr>
          <w:ilvl w:val="1"/>
          <w:numId w:val="2"/>
        </w:numPr>
        <w:tabs>
          <w:tab w:val="left" w:pos="1843"/>
        </w:tabs>
        <w:ind w:left="0" w:firstLine="1269"/>
        <w:jc w:val="both"/>
      </w:pPr>
      <w:r w:rsidRPr="0096197F">
        <w:t>Kauno Montesori mokykla-darželis „Žiburėlis“ – 54,23 pareigybių (etatų), iš jų 29,73 pedagoginių ir 24,50 nepedagoginių pareigybių;</w:t>
      </w:r>
    </w:p>
    <w:p w:rsidR="007A318E" w:rsidRPr="0096197F" w:rsidRDefault="007A318E" w:rsidP="007A318E">
      <w:pPr>
        <w:pStyle w:val="Pagrindinistekstas"/>
        <w:numPr>
          <w:ilvl w:val="1"/>
          <w:numId w:val="2"/>
        </w:numPr>
        <w:tabs>
          <w:tab w:val="left" w:pos="1843"/>
        </w:tabs>
        <w:ind w:left="0" w:firstLine="1269"/>
        <w:jc w:val="both"/>
      </w:pPr>
      <w:r w:rsidRPr="0096197F">
        <w:t>Kauno Motiejaus Valančiaus mokykla-darželis – 30,24 pareigybių (etatų), iš jų 14,99 pedagoginių ir 15,25 nepedagoginių pareigybių;</w:t>
      </w:r>
    </w:p>
    <w:p w:rsidR="007A318E" w:rsidRPr="0096197F" w:rsidRDefault="007A318E" w:rsidP="007A318E">
      <w:pPr>
        <w:pStyle w:val="Pagrindinistekstas"/>
        <w:numPr>
          <w:ilvl w:val="1"/>
          <w:numId w:val="2"/>
        </w:numPr>
        <w:tabs>
          <w:tab w:val="left" w:pos="1843"/>
        </w:tabs>
        <w:ind w:left="0" w:firstLine="1269"/>
        <w:jc w:val="both"/>
      </w:pPr>
      <w:r w:rsidRPr="0096197F">
        <w:t>Kauno Tirkiliškių mokykla-darželis – 32,22 pareigybių (etatų), iš jų 17,22 pedagoginių ir 15 nepedagoginių pareigybių;</w:t>
      </w:r>
    </w:p>
    <w:p w:rsidR="007A318E" w:rsidRPr="0096197F" w:rsidRDefault="007A318E" w:rsidP="007A318E">
      <w:pPr>
        <w:pStyle w:val="Pagrindinistekstas"/>
        <w:numPr>
          <w:ilvl w:val="1"/>
          <w:numId w:val="2"/>
        </w:numPr>
        <w:tabs>
          <w:tab w:val="left" w:pos="1843"/>
        </w:tabs>
        <w:ind w:left="0" w:firstLine="1269"/>
        <w:jc w:val="both"/>
      </w:pPr>
      <w:r w:rsidRPr="0096197F">
        <w:t xml:space="preserve">Kauno Prano Mašioto pradinė mokykla – 40,91 </w:t>
      </w:r>
      <w:r w:rsidR="00742F72" w:rsidRPr="0096197F">
        <w:t>pareigybių (etatų), iš jų 26,91 </w:t>
      </w:r>
      <w:r w:rsidRPr="0096197F">
        <w:t xml:space="preserve">pedagoginių ir 14 nepedagoginių pareigybių; </w:t>
      </w:r>
    </w:p>
    <w:p w:rsidR="007A318E" w:rsidRPr="0096197F" w:rsidRDefault="007A318E" w:rsidP="007A318E">
      <w:pPr>
        <w:pStyle w:val="Pagrindinistekstas"/>
        <w:numPr>
          <w:ilvl w:val="1"/>
          <w:numId w:val="2"/>
        </w:numPr>
        <w:tabs>
          <w:tab w:val="left" w:pos="1843"/>
        </w:tabs>
        <w:ind w:left="0" w:firstLine="1269"/>
        <w:jc w:val="both"/>
      </w:pPr>
      <w:r w:rsidRPr="0096197F">
        <w:lastRenderedPageBreak/>
        <w:t xml:space="preserve">Kauno Panemunės pradinė mokykla – 50,41 pareigybių (etatų), iš jų 32,91 pedagoginių ir 17,50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„Paparčio“ pradinė mokykla – 36,87 pareigybių (etatų), iš jų 23,37 pedagoginių ir 13,50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„Ryto“ pradinė mokykla – 38,37 pareigybių (etatų), iš jų 24,37 pedagoginių ir 14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„Šilo“ pradinė mokykla – 36,12 pareigybių (etatų), iš jų 22,87 pedagoginių ir 13,25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„Varpelio“ pradinė mokykla – 47,05 pareigybių (etatų), iš jų 31,30 pedagoginių ir 15,75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 xml:space="preserve">Vytauto Didžiojo universiteto „Atžalyno“ progimnazija – 83,21 pareigybių (etatų), iš jų 57,21 pedagoginių pareigybių ir 26 nepedagoginės pareigybės;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Simono Daukanto progimnazija – 102,97 pareigybių (etatų), iš jų 78,22 pedagoginių ir 24,75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Jurgio Dobkevičiaus progimnazija – 98,07 pareigybių (etatų), iš jų 71,07 pedagoginių pareigybių ir 27 nepedagoginės pareigybės; </w:t>
      </w:r>
    </w:p>
    <w:p w:rsidR="007A318E" w:rsidRPr="0096197F" w:rsidRDefault="007A318E" w:rsidP="007A318E">
      <w:pPr>
        <w:pStyle w:val="Pagrindinistekstas"/>
        <w:numPr>
          <w:ilvl w:val="1"/>
          <w:numId w:val="2"/>
        </w:numPr>
        <w:tabs>
          <w:tab w:val="left" w:pos="1843"/>
        </w:tabs>
        <w:ind w:left="0" w:firstLine="1276"/>
        <w:jc w:val="both"/>
      </w:pPr>
      <w:r w:rsidRPr="0096197F">
        <w:t>Kauno Kazio Griniaus progimnazija – 110,66 pareigybių (etatų), iš jų 81,66 pedagoginių pareigybių ir 29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Tado Ivanausko progimnazija – 116,07 pareigybių (etatų), iš jų 85,82 pedagoginių ir 30,25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Kauno šv. Kazimiero progimnazija – 74,67 pareigybių (etatų), iš jų 49,67 pedagoginių pareigybių ir 25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Vinco Kudirkos progimnazija – 76,50 pareigybių (etatų), iš jų 57,25 pedagoginių ir 19,25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Viktoro Kuprevičiaus progimnazija – 66,73 pareigybių (etatų), iš jų 42,23 pedagoginių ir 24,50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Martyno Mažvydo progimnazija – 65,66 pareigybių (etatų), iš jų 44,16 pedagoginių ir 21,50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Milikonių progimnazija – 119,02 pareigybių (etatų), iš jų 85,77 pedagoginių ir 33,25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Petrašiūnų progimnazija – 59,49 pareigybių (etatų), iš jų 36,69 pedagoginių ir 22,50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Kauno Pilėnų progimnazija – 71,65 pareigybių (etatų), iš jų 45,40 pedagoginių ir 26,25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lastRenderedPageBreak/>
        <w:t>Kauno Senamiesčio progimnazija – 70,86 pareigybių (etatų), iš jų 54,36 pedagoginių ir 16,50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Suzuki progimnazija – 72,40 pareigybių (etatų), iš jų 45,50 pedagoginių pareigybių ir 27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technologijos universiteto Vaižganto progimnazija – 74,28 pareigybių (etatų), iš jų 51,03 pedagoginių ir 23,25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Kauno Žaliakalnio progimnazija – 78,00 pareigybių (etatų), iš jų 57,00 pedagoginių pareigybių ir 21 nepedagoginė pareigybė;</w:t>
      </w:r>
    </w:p>
    <w:p w:rsidR="007A318E" w:rsidRPr="0096197F" w:rsidRDefault="007A318E" w:rsidP="007A318E">
      <w:pPr>
        <w:pStyle w:val="Pagrindinistekstas"/>
        <w:numPr>
          <w:ilvl w:val="1"/>
          <w:numId w:val="2"/>
        </w:numPr>
        <w:tabs>
          <w:tab w:val="left" w:pos="1843"/>
        </w:tabs>
        <w:ind w:left="0" w:firstLine="1276"/>
        <w:jc w:val="both"/>
      </w:pPr>
      <w:r w:rsidRPr="0096197F">
        <w:t>Kauno Bernardo Brazdžionio mokykla – 112,36 pareigybių (etatų), iš jų 70,11 pedagoginių ir 42,25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„Nemuno“ mokykla – 86,90 pareigybių (etatų), iš jų 46,15 pedagoginių ir 40,75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Aleksandro Stulginskio mokykla – 96,93 pareigybių (etatų), iš jų 57,68 pedagoginių ir 39,25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Vaišvydavos mokykla – 49,77 pareigybių (etatų), iš jų 28,52 pedagoginių ir 21,25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Jono ir Petro Vileišių mokykla – 123,28 pareigybių (etatų), iš jų 80,19 pedagoginių ir 43,09 nepedagoginių pareigybių; </w:t>
      </w:r>
    </w:p>
    <w:p w:rsidR="007A318E" w:rsidRPr="0096197F" w:rsidRDefault="007A318E" w:rsidP="007A318E">
      <w:pPr>
        <w:pStyle w:val="Pagrindinistekstas"/>
        <w:numPr>
          <w:ilvl w:val="1"/>
          <w:numId w:val="2"/>
        </w:numPr>
        <w:tabs>
          <w:tab w:val="left" w:pos="1843"/>
        </w:tabs>
        <w:ind w:left="0" w:firstLine="1276"/>
        <w:jc w:val="both"/>
      </w:pPr>
      <w:r w:rsidRPr="0096197F">
        <w:t>Vytauto Didžiojo universiteto klasikinio ugdymo mokykla – 141,55 pareigybių (etatų), iš jų 93,55 pedagoginių pareigybių ir 48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„Aušros“ gimnazija – 73,31 pareigybių (etatų), iš jų 55,31 pedagoginių ir 18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Jono Basanavičiaus gimnazija – 79,24 pareigybių (etatų), iš jų 55,99 pedagoginių ir 23,25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Stepono Dariaus ir Stasio Girėno gimnazija – 96,13 pareigybių (etatų), iš jų 74,13 pedagoginių pareigybių ir 22 nepedagoginės pareigybės; </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Gedimino sporto ir sveikatinimo gimnazija – 69,14 pareigybių (etatų), iš jų 46,14 pedagoginių pareigybių ir 23 nepedagoginės pareigybės; </w:t>
      </w:r>
    </w:p>
    <w:p w:rsidR="007A318E" w:rsidRPr="0096197F" w:rsidRDefault="007A318E" w:rsidP="007A318E">
      <w:pPr>
        <w:pStyle w:val="Pagrindinistekstas"/>
        <w:numPr>
          <w:ilvl w:val="1"/>
          <w:numId w:val="2"/>
        </w:numPr>
        <w:tabs>
          <w:tab w:val="left" w:pos="1843"/>
        </w:tabs>
        <w:ind w:left="0" w:firstLine="1276"/>
        <w:jc w:val="both"/>
      </w:pPr>
      <w:r w:rsidRPr="0096197F">
        <w:t>Kauno Juozo Grušo meno gimnazija – 153,42 pareigybių (etatų), iš jų 121,42 pedagoginių pareigybių ir 32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Jono Jablonskio gimnazija – 112,26 pareigybių (etatų), iš jų 90,26 pedagoginių pareigybių ir 22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technologijos universiteto inžinerijos licėjus – 228,75 pareigybių (etatų), iš jų 169,25 pedagoginių ir 59,50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lastRenderedPageBreak/>
        <w:t>Kauno Kovo 11-osios gimnazija – 115,82 pareigybių (etatų), iš jų 76,32  pedagoginių ir 39,50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Maironio universitetinė gimnazija – 71,76 pareigybių (etatų), iš jų 61,76 pedagoginių ir 16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Palemono gimnazija – 70,45 pareigybių (etatų), iš jų 45,45 pedagoginių pareigybių ir 25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tarptautinė gimnazija – 237,45 pareigybių (etatų), iš jų 171,70 pedagoginių ir 65,75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Prezidento Antano Smetonos gimnazija – 82,26 pareigybių (etatų), iš jų 58,51 pedagoginių ir 23,75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„Santaros“ gimnazija – 71,06 pareigybių (etatų), iš jų 46,06 pedagoginių pareigybių ir 25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„Saulės“ gimnazija – 117,32 pareigybių (etatų), iš jų 95,57 pedagoginių ir 21,75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„Varpo“ gimnazija – 74,73 pareigybių (etatų), iš jų 53,23 pedagoginių ir 21,50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Veršvų gimnazija – 136,50 pareigybių (etatų), iš jų 94,75 pedagoginių ir 41,75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suaugusiųjų ir jaunimo mokymo centras – 75,03 pareigybių (etatų), iš jų 52,03 pedagoginių pareigybių ir 23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 xml:space="preserve">Kauno „Aitvaro“ mokykla – 26,50 pareigybių (etatų), iš jų 23,50 pedagoginių pareigybių ir 3 nepedagoginės pareigybės; </w:t>
      </w:r>
    </w:p>
    <w:p w:rsidR="007A318E" w:rsidRPr="0096197F" w:rsidRDefault="007A318E" w:rsidP="007A318E">
      <w:pPr>
        <w:pStyle w:val="Pagrindinistekstas"/>
        <w:numPr>
          <w:ilvl w:val="1"/>
          <w:numId w:val="2"/>
        </w:numPr>
        <w:tabs>
          <w:tab w:val="left" w:pos="1843"/>
        </w:tabs>
        <w:ind w:left="0" w:firstLine="1276"/>
        <w:jc w:val="both"/>
      </w:pPr>
      <w:r w:rsidRPr="0096197F">
        <w:t>Kauno Prano Daunio ugdymo centras – 150,23 pareigybių (etatų), iš jų 88,23 pedagoginių pareigybių ir 62 nepedagoginės pareigybės;</w:t>
      </w:r>
    </w:p>
    <w:p w:rsidR="007A318E" w:rsidRPr="0096197F" w:rsidRDefault="007A318E" w:rsidP="007A318E">
      <w:pPr>
        <w:pStyle w:val="Pagrindinistekstas"/>
        <w:numPr>
          <w:ilvl w:val="1"/>
          <w:numId w:val="2"/>
        </w:numPr>
        <w:tabs>
          <w:tab w:val="left" w:pos="1843"/>
        </w:tabs>
        <w:ind w:left="0" w:firstLine="1276"/>
        <w:jc w:val="both"/>
      </w:pPr>
      <w:r w:rsidRPr="0096197F">
        <w:t>Kauno kurčiųjų ir neprigirdinčiųjų ugdymo centras – 87,74 pareigybių (etatų), iš jų 49,14 pedagoginių ir 38,60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Jono Laužiko mokykla – 122,57 pareigybių (etatų), iš jų 71,82 pedagoginių ir 50,75 nepedagoginių pareigybių;</w:t>
      </w:r>
    </w:p>
    <w:p w:rsidR="007A318E" w:rsidRPr="0096197F" w:rsidRDefault="007A318E" w:rsidP="007A318E">
      <w:pPr>
        <w:pStyle w:val="Pagrindinistekstas"/>
        <w:numPr>
          <w:ilvl w:val="1"/>
          <w:numId w:val="2"/>
        </w:numPr>
        <w:tabs>
          <w:tab w:val="left" w:pos="1843"/>
        </w:tabs>
        <w:ind w:left="0" w:firstLine="1276"/>
        <w:jc w:val="both"/>
      </w:pPr>
      <w:r w:rsidRPr="0096197F">
        <w:t>Kauno šv. Roko mokykla – 222,22 pareigybių (etatų), iš jų 86,61 pedagoginių ir 135,61 nepedagoginių pareigybių.</w:t>
      </w:r>
      <w:r w:rsidR="00742F72" w:rsidRPr="0096197F">
        <w:t>“</w:t>
      </w:r>
    </w:p>
    <w:p w:rsidR="007A318E" w:rsidRPr="0096197F" w:rsidRDefault="00742F72" w:rsidP="007A318E">
      <w:pPr>
        <w:pStyle w:val="Pagrindinistekstas"/>
        <w:numPr>
          <w:ilvl w:val="1"/>
          <w:numId w:val="1"/>
        </w:numPr>
        <w:tabs>
          <w:tab w:val="left" w:pos="1843"/>
        </w:tabs>
        <w:jc w:val="both"/>
      </w:pPr>
      <w:r w:rsidRPr="0096197F">
        <w:t xml:space="preserve"> Pakeisti 2 punktą ir jį išdėstyti</w:t>
      </w:r>
      <w:r w:rsidR="007A318E" w:rsidRPr="0096197F">
        <w:t xml:space="preserve"> taip: </w:t>
      </w:r>
    </w:p>
    <w:p w:rsidR="007A318E" w:rsidRPr="0096197F" w:rsidRDefault="007A318E" w:rsidP="007A318E">
      <w:pPr>
        <w:pStyle w:val="Pagrindinistekstas"/>
        <w:tabs>
          <w:tab w:val="left" w:pos="1843"/>
        </w:tabs>
        <w:ind w:firstLine="1276"/>
        <w:jc w:val="both"/>
      </w:pPr>
      <w:r w:rsidRPr="0096197F">
        <w:t xml:space="preserve">„2. Pritarti didžiausiam leistinam pareigybių (etatų) skaičiui viešosiose bendrojo ugdymo mokyklose, kurių dalininkė yra Kauno miesto savivaldybė: </w:t>
      </w:r>
    </w:p>
    <w:p w:rsidR="007A318E" w:rsidRPr="0096197F" w:rsidRDefault="007A318E" w:rsidP="007A318E">
      <w:pPr>
        <w:pStyle w:val="Pagrindinistekstas"/>
        <w:numPr>
          <w:ilvl w:val="1"/>
          <w:numId w:val="3"/>
        </w:numPr>
        <w:tabs>
          <w:tab w:val="left" w:pos="1701"/>
        </w:tabs>
        <w:ind w:left="0" w:firstLine="1276"/>
        <w:jc w:val="both"/>
      </w:pPr>
      <w:r w:rsidRPr="0096197F">
        <w:rPr>
          <w:color w:val="000000"/>
        </w:rPr>
        <w:t>Kauno Juozo Urbšio katalikiška pagrindinė mokykla – 76,17 pareigybių (etatų), iš jų 50,42 pedagoginių ir 25,75 nepedagoginių pareigybių</w:t>
      </w:r>
      <w:r w:rsidRPr="0096197F">
        <w:t>;</w:t>
      </w:r>
    </w:p>
    <w:p w:rsidR="007A318E" w:rsidRPr="0096197F" w:rsidRDefault="007A318E" w:rsidP="007A318E">
      <w:pPr>
        <w:pStyle w:val="Pagrindinistekstas"/>
        <w:numPr>
          <w:ilvl w:val="1"/>
          <w:numId w:val="3"/>
        </w:numPr>
        <w:tabs>
          <w:tab w:val="left" w:pos="1276"/>
          <w:tab w:val="left" w:pos="1701"/>
        </w:tabs>
        <w:ind w:left="0" w:firstLine="1276"/>
        <w:jc w:val="both"/>
      </w:pPr>
      <w:r w:rsidRPr="0096197F">
        <w:lastRenderedPageBreak/>
        <w:t xml:space="preserve"> Generolo Povilo Plechavičiaus kadetų licėjus – 70,06 pareigybių (etatų), iš jų 47,31 pedagoginių ir 22,75 nepedagoginių pareigybių;</w:t>
      </w:r>
    </w:p>
    <w:p w:rsidR="007A318E" w:rsidRPr="0096197F" w:rsidRDefault="007A318E" w:rsidP="007A318E">
      <w:pPr>
        <w:pStyle w:val="Pagrindinistekstas"/>
        <w:numPr>
          <w:ilvl w:val="1"/>
          <w:numId w:val="3"/>
        </w:numPr>
        <w:tabs>
          <w:tab w:val="left" w:pos="1560"/>
          <w:tab w:val="left" w:pos="1701"/>
        </w:tabs>
        <w:ind w:left="0" w:firstLine="1276"/>
        <w:jc w:val="both"/>
      </w:pPr>
      <w:r w:rsidRPr="0096197F">
        <w:t>Prezidento Valdo Adamkaus gimnazija – 126,36 pareigybių (etatų), iš jų 93,11 pedagoginių ir 33,25 nepedagoginių pareigybių;</w:t>
      </w:r>
    </w:p>
    <w:p w:rsidR="007A318E" w:rsidRPr="0096197F" w:rsidRDefault="007A318E" w:rsidP="007A318E">
      <w:pPr>
        <w:pStyle w:val="Pagrindinistekstas"/>
        <w:numPr>
          <w:ilvl w:val="1"/>
          <w:numId w:val="3"/>
        </w:numPr>
        <w:tabs>
          <w:tab w:val="left" w:pos="1560"/>
          <w:tab w:val="left" w:pos="1701"/>
        </w:tabs>
        <w:ind w:left="0" w:firstLine="1276"/>
        <w:jc w:val="both"/>
      </w:pPr>
      <w:r w:rsidRPr="0096197F">
        <w:t>Vytauto Didžiojo universiteto „Rasos“ gimnazija – 112,61 pareigybių (etatų), iš jų 86,36 pedagoginių ir 26,25 nepedagoginių pareigybių;</w:t>
      </w:r>
    </w:p>
    <w:p w:rsidR="007A318E" w:rsidRPr="0096197F" w:rsidRDefault="007A318E" w:rsidP="007A318E">
      <w:pPr>
        <w:pStyle w:val="Pagrindinistekstas"/>
        <w:numPr>
          <w:ilvl w:val="1"/>
          <w:numId w:val="3"/>
        </w:numPr>
        <w:tabs>
          <w:tab w:val="left" w:pos="1560"/>
          <w:tab w:val="left" w:pos="1701"/>
        </w:tabs>
        <w:ind w:left="0" w:firstLine="1276"/>
        <w:jc w:val="both"/>
      </w:pPr>
      <w:r w:rsidRPr="0096197F">
        <w:t>Kauno „Vyturio“ gimnazija – 150,16 pareigybių (etatų), iš jų 120,91 pedagoginių ir 29,25 nepedagoginių pareigybių.</w:t>
      </w:r>
      <w:r w:rsidR="00742F72" w:rsidRPr="0096197F">
        <w:t>“</w:t>
      </w:r>
      <w:r w:rsidRPr="0096197F">
        <w:t xml:space="preserve"> </w:t>
      </w:r>
    </w:p>
    <w:p w:rsidR="007A318E" w:rsidRDefault="007A318E" w:rsidP="007A318E">
      <w:pPr>
        <w:pStyle w:val="Pagrindinistekstas"/>
        <w:tabs>
          <w:tab w:val="left" w:pos="1701"/>
        </w:tabs>
        <w:jc w:val="both"/>
      </w:pPr>
      <w:r w:rsidRPr="0096197F">
        <w:t>2. Šis sprendimas per vieną mėnesį nuo informacijos apie jį gavimo dienos gali būti skundžiamas Regionų apygardos administracinio teismo Kauno rūmams  (A. Mickevičiaus g. 8A, Kaunas) Lietuvos Respublikos administracinių bylų teisenos įstatymo nustatyta tvarka.</w:t>
      </w:r>
      <w:r>
        <w:t xml:space="preserve"> </w:t>
      </w:r>
    </w:p>
    <w:p w:rsidR="004805E9" w:rsidRDefault="004805E9">
      <w:pPr>
        <w:ind w:firstLine="1298"/>
        <w:sectPr w:rsidR="004805E9">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rsidTr="00321D8D">
        <w:trPr>
          <w:cantSplit/>
          <w:trHeight w:val="765"/>
        </w:trPr>
        <w:tc>
          <w:tcPr>
            <w:tcW w:w="5384" w:type="dxa"/>
            <w:vAlign w:val="bottom"/>
          </w:tcPr>
          <w:p w:rsidR="00763CA6" w:rsidRDefault="00763CA6" w:rsidP="007A318E">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1" w:name="r20_1_1"/>
            <w:r>
              <w:instrText xml:space="preserve"> FORMTEXT </w:instrText>
            </w:r>
            <w:r>
              <w:fldChar w:fldCharType="separate"/>
            </w:r>
            <w:r w:rsidR="007A318E">
              <w:rPr>
                <w:noProof/>
              </w:rPr>
              <w:t>Savivaldybės meras</w:t>
            </w:r>
            <w:r>
              <w:fldChar w:fldCharType="end"/>
            </w:r>
            <w:bookmarkEnd w:id="11"/>
          </w:p>
        </w:tc>
        <w:tc>
          <w:tcPr>
            <w:tcW w:w="4247" w:type="dxa"/>
            <w:vAlign w:val="bottom"/>
          </w:tcPr>
          <w:p w:rsidR="00763CA6" w:rsidRDefault="00763CA6" w:rsidP="006731BD">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6731BD">
              <w:t>Visvaldas</w:t>
            </w:r>
            <w:r>
              <w:fldChar w:fldCharType="end"/>
            </w:r>
            <w:bookmarkEnd w:id="12"/>
            <w:r>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6731BD">
              <w:t>Matijošaitis</w:t>
            </w:r>
            <w:r>
              <w:fldChar w:fldCharType="end"/>
            </w:r>
            <w:bookmarkEnd w:id="13"/>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9CA" w:rsidRDefault="007129CA">
      <w:r>
        <w:separator/>
      </w:r>
    </w:p>
  </w:endnote>
  <w:endnote w:type="continuationSeparator" w:id="0">
    <w:p w:rsidR="007129CA" w:rsidRDefault="0071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9CA" w:rsidRDefault="007129CA">
      <w:pPr>
        <w:pStyle w:val="Porat"/>
        <w:spacing w:before="240"/>
      </w:pPr>
    </w:p>
  </w:footnote>
  <w:footnote w:type="continuationSeparator" w:id="0">
    <w:p w:rsidR="007129CA" w:rsidRDefault="0071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96197F">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866CA"/>
    <w:multiLevelType w:val="multilevel"/>
    <w:tmpl w:val="18CED93A"/>
    <w:lvl w:ilvl="0">
      <w:start w:val="1"/>
      <w:numFmt w:val="decimal"/>
      <w:lvlText w:val="%1."/>
      <w:lvlJc w:val="left"/>
      <w:pPr>
        <w:ind w:left="1636"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1" w15:restartNumberingAfterBreak="0">
    <w:nsid w:val="3E520A38"/>
    <w:multiLevelType w:val="multilevel"/>
    <w:tmpl w:val="596CEEC0"/>
    <w:lvl w:ilvl="0">
      <w:start w:val="2"/>
      <w:numFmt w:val="decimal"/>
      <w:lvlText w:val="%1."/>
      <w:lvlJc w:val="left"/>
      <w:pPr>
        <w:ind w:left="360" w:hanging="360"/>
      </w:pPr>
      <w:rPr>
        <w:rFonts w:hint="default"/>
        <w:color w:val="000000"/>
      </w:rPr>
    </w:lvl>
    <w:lvl w:ilvl="1">
      <w:start w:val="1"/>
      <w:numFmt w:val="decimal"/>
      <w:lvlText w:val="%1.%2."/>
      <w:lvlJc w:val="left"/>
      <w:pPr>
        <w:ind w:left="1636" w:hanging="360"/>
      </w:pPr>
      <w:rPr>
        <w:rFonts w:hint="default"/>
        <w:color w:val="000000"/>
      </w:rPr>
    </w:lvl>
    <w:lvl w:ilvl="2">
      <w:start w:val="1"/>
      <w:numFmt w:val="decimal"/>
      <w:lvlText w:val="%1.%2.%3."/>
      <w:lvlJc w:val="left"/>
      <w:pPr>
        <w:ind w:left="3272" w:hanging="720"/>
      </w:pPr>
      <w:rPr>
        <w:rFonts w:hint="default"/>
        <w:color w:val="000000"/>
      </w:rPr>
    </w:lvl>
    <w:lvl w:ilvl="3">
      <w:start w:val="1"/>
      <w:numFmt w:val="decimal"/>
      <w:lvlText w:val="%1.%2.%3.%4."/>
      <w:lvlJc w:val="left"/>
      <w:pPr>
        <w:ind w:left="4548" w:hanging="720"/>
      </w:pPr>
      <w:rPr>
        <w:rFonts w:hint="default"/>
        <w:color w:val="000000"/>
      </w:rPr>
    </w:lvl>
    <w:lvl w:ilvl="4">
      <w:start w:val="1"/>
      <w:numFmt w:val="decimal"/>
      <w:lvlText w:val="%1.%2.%3.%4.%5."/>
      <w:lvlJc w:val="left"/>
      <w:pPr>
        <w:ind w:left="6184" w:hanging="1080"/>
      </w:pPr>
      <w:rPr>
        <w:rFonts w:hint="default"/>
        <w:color w:val="000000"/>
      </w:rPr>
    </w:lvl>
    <w:lvl w:ilvl="5">
      <w:start w:val="1"/>
      <w:numFmt w:val="decimal"/>
      <w:lvlText w:val="%1.%2.%3.%4.%5.%6."/>
      <w:lvlJc w:val="left"/>
      <w:pPr>
        <w:ind w:left="7460" w:hanging="1080"/>
      </w:pPr>
      <w:rPr>
        <w:rFonts w:hint="default"/>
        <w:color w:val="000000"/>
      </w:rPr>
    </w:lvl>
    <w:lvl w:ilvl="6">
      <w:start w:val="1"/>
      <w:numFmt w:val="decimal"/>
      <w:lvlText w:val="%1.%2.%3.%4.%5.%6.%7."/>
      <w:lvlJc w:val="left"/>
      <w:pPr>
        <w:ind w:left="9096" w:hanging="1440"/>
      </w:pPr>
      <w:rPr>
        <w:rFonts w:hint="default"/>
        <w:color w:val="000000"/>
      </w:rPr>
    </w:lvl>
    <w:lvl w:ilvl="7">
      <w:start w:val="1"/>
      <w:numFmt w:val="decimal"/>
      <w:lvlText w:val="%1.%2.%3.%4.%5.%6.%7.%8."/>
      <w:lvlJc w:val="left"/>
      <w:pPr>
        <w:ind w:left="10372" w:hanging="1440"/>
      </w:pPr>
      <w:rPr>
        <w:rFonts w:hint="default"/>
        <w:color w:val="000000"/>
      </w:rPr>
    </w:lvl>
    <w:lvl w:ilvl="8">
      <w:start w:val="1"/>
      <w:numFmt w:val="decimal"/>
      <w:lvlText w:val="%1.%2.%3.%4.%5.%6.%7.%8.%9."/>
      <w:lvlJc w:val="left"/>
      <w:pPr>
        <w:ind w:left="12008" w:hanging="1800"/>
      </w:pPr>
      <w:rPr>
        <w:rFonts w:hint="default"/>
        <w:color w:val="000000"/>
      </w:rPr>
    </w:lvl>
  </w:abstractNum>
  <w:abstractNum w:abstractNumId="2" w15:restartNumberingAfterBreak="0">
    <w:nsid w:val="5D490AC9"/>
    <w:multiLevelType w:val="multilevel"/>
    <w:tmpl w:val="0427001F"/>
    <w:lvl w:ilvl="0">
      <w:start w:val="1"/>
      <w:numFmt w:val="decimal"/>
      <w:lvlText w:val="%1."/>
      <w:lvlJc w:val="left"/>
      <w:pPr>
        <w:ind w:left="360" w:hanging="360"/>
      </w:pPr>
    </w:lvl>
    <w:lvl w:ilvl="1">
      <w:start w:val="1"/>
      <w:numFmt w:val="decimal"/>
      <w:lvlText w:val="%1.%2."/>
      <w:lvlJc w:val="left"/>
      <w:pPr>
        <w:ind w:left="667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A318E"/>
    <w:rsid w:val="000046F9"/>
    <w:rsid w:val="000263EC"/>
    <w:rsid w:val="0003046B"/>
    <w:rsid w:val="0004523A"/>
    <w:rsid w:val="00050B61"/>
    <w:rsid w:val="000727A2"/>
    <w:rsid w:val="00086977"/>
    <w:rsid w:val="00266465"/>
    <w:rsid w:val="00321D8D"/>
    <w:rsid w:val="003266FB"/>
    <w:rsid w:val="00360448"/>
    <w:rsid w:val="003637E1"/>
    <w:rsid w:val="004017A4"/>
    <w:rsid w:val="004422A7"/>
    <w:rsid w:val="00472CA8"/>
    <w:rsid w:val="004805E9"/>
    <w:rsid w:val="0054223E"/>
    <w:rsid w:val="00645B20"/>
    <w:rsid w:val="006540A9"/>
    <w:rsid w:val="006731BD"/>
    <w:rsid w:val="006A138F"/>
    <w:rsid w:val="006B1DD0"/>
    <w:rsid w:val="006D7A65"/>
    <w:rsid w:val="007129CA"/>
    <w:rsid w:val="00742F72"/>
    <w:rsid w:val="00756246"/>
    <w:rsid w:val="00763CA6"/>
    <w:rsid w:val="007A318E"/>
    <w:rsid w:val="007D1D62"/>
    <w:rsid w:val="00851D77"/>
    <w:rsid w:val="008649D0"/>
    <w:rsid w:val="0088348E"/>
    <w:rsid w:val="008C7C85"/>
    <w:rsid w:val="008D13CF"/>
    <w:rsid w:val="009344A3"/>
    <w:rsid w:val="00936E82"/>
    <w:rsid w:val="0096197F"/>
    <w:rsid w:val="009F39E5"/>
    <w:rsid w:val="00A37219"/>
    <w:rsid w:val="00A85222"/>
    <w:rsid w:val="00AA6D7E"/>
    <w:rsid w:val="00B06AD8"/>
    <w:rsid w:val="00B462C9"/>
    <w:rsid w:val="00B535F7"/>
    <w:rsid w:val="00BB3F48"/>
    <w:rsid w:val="00BB3F5F"/>
    <w:rsid w:val="00BC54EB"/>
    <w:rsid w:val="00BC7A7E"/>
    <w:rsid w:val="00BD77D0"/>
    <w:rsid w:val="00C06CE3"/>
    <w:rsid w:val="00C10BF5"/>
    <w:rsid w:val="00D13647"/>
    <w:rsid w:val="00D86282"/>
    <w:rsid w:val="00E87B48"/>
    <w:rsid w:val="00ED5AD7"/>
    <w:rsid w:val="00EE42F2"/>
    <w:rsid w:val="00F2223C"/>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0EA17C-FADE-4C81-8E87-330A1303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semiHidden/>
    <w:rsid w:val="007A318E"/>
    <w:rPr>
      <w:sz w:val="24"/>
      <w:lang w:eastAsia="en-US" w:bidi="he-IL"/>
    </w:rPr>
  </w:style>
  <w:style w:type="paragraph" w:styleId="Debesliotekstas">
    <w:name w:val="Balloon Text"/>
    <w:basedOn w:val="prastasis"/>
    <w:link w:val="DebesliotekstasDiagrama"/>
    <w:uiPriority w:val="99"/>
    <w:semiHidden/>
    <w:unhideWhenUsed/>
    <w:rsid w:val="006731B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31BD"/>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t_T_projektas.dot</Template>
  <TotalTime>85</TotalTime>
  <Pages>5</Pages>
  <Words>5872</Words>
  <Characters>3348</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2023-02-7    SPRENDIMAS   Nr. T-33</vt:lpstr>
      <vt:lpstr> </vt:lpstr>
    </vt:vector>
  </TitlesOfParts>
  <Manager>Savivaldybės meras Visvaldas Matijošaitis</Manager>
  <Company>KAUNO MIESTO SAVIVALDYBĖ</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2023-02-7    SPRENDIMAS   Nr. T-33</dc:title>
  <dc:subject>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dc:subject>
  <dc:creator>Žydra Cechanavičienė</dc:creator>
  <cp:keywords/>
  <cp:lastModifiedBy>Edvardas Starkus</cp:lastModifiedBy>
  <cp:revision>8</cp:revision>
  <cp:lastPrinted>2023-02-08T13:16:00Z</cp:lastPrinted>
  <dcterms:created xsi:type="dcterms:W3CDTF">2023-02-08T13:16:00Z</dcterms:created>
  <dcterms:modified xsi:type="dcterms:W3CDTF">2023-07-03T11:47:00Z</dcterms:modified>
</cp:coreProperties>
</file>