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BEC61" w14:textId="2B36D2CB" w:rsidR="00B0301C" w:rsidRDefault="00912D3C" w:rsidP="00B01E7A">
      <w:pPr>
        <w:spacing w:after="0" w:line="360" w:lineRule="auto"/>
        <w:ind w:left="5760" w:firstLine="720"/>
      </w:pPr>
      <w:r w:rsidRPr="00A12819">
        <w:rPr>
          <w:noProof/>
          <w:lang w:eastAsia="lt-LT"/>
        </w:rPr>
        <w:drawing>
          <wp:anchor distT="0" distB="0" distL="114300" distR="114300" simplePos="0" relativeHeight="251658240" behindDoc="1" locked="0" layoutInCell="1" allowOverlap="1" wp14:anchorId="3D2BF09F" wp14:editId="3D2BF0A0">
            <wp:simplePos x="0" y="0"/>
            <wp:positionH relativeFrom="column">
              <wp:posOffset>1427480</wp:posOffset>
            </wp:positionH>
            <wp:positionV relativeFrom="paragraph">
              <wp:posOffset>2540</wp:posOffset>
            </wp:positionV>
            <wp:extent cx="3447415" cy="2397125"/>
            <wp:effectExtent l="0" t="0" r="635" b="3175"/>
            <wp:wrapNone/>
            <wp:docPr id="11" name="Paveikslėlis 10" descr="Logotipas_kauno VSB - Kop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as_kauno VSB - Kopij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7415" cy="2397125"/>
                    </a:xfrm>
                    <a:prstGeom prst="rect">
                      <a:avLst/>
                    </a:prstGeom>
                  </pic:spPr>
                </pic:pic>
              </a:graphicData>
            </a:graphic>
            <wp14:sizeRelH relativeFrom="page">
              <wp14:pctWidth>0</wp14:pctWidth>
            </wp14:sizeRelH>
            <wp14:sizeRelV relativeFrom="page">
              <wp14:pctHeight>0</wp14:pctHeight>
            </wp14:sizeRelV>
          </wp:anchor>
        </w:drawing>
      </w:r>
      <w:r w:rsidR="00B01E7A">
        <w:t>PATVIRTINTA</w:t>
      </w:r>
    </w:p>
    <w:p w14:paraId="71418731" w14:textId="6DEE61E0" w:rsidR="00B01E7A" w:rsidRDefault="00B01E7A" w:rsidP="00B01E7A">
      <w:pPr>
        <w:spacing w:after="0" w:line="360" w:lineRule="auto"/>
        <w:ind w:left="5760" w:firstLine="720"/>
      </w:pPr>
      <w:r>
        <w:t>Kauno miesto savivaldybės tarybos</w:t>
      </w:r>
    </w:p>
    <w:p w14:paraId="6D2DCEBA" w14:textId="091F6FFE" w:rsidR="00B01E7A" w:rsidRDefault="00B01E7A" w:rsidP="00B01E7A">
      <w:pPr>
        <w:spacing w:after="0" w:line="360" w:lineRule="auto"/>
        <w:ind w:left="5760" w:firstLine="720"/>
      </w:pPr>
      <w:r>
        <w:t>2021 m. vasario 2 d. sprendimu</w:t>
      </w:r>
    </w:p>
    <w:p w14:paraId="16181EB2" w14:textId="789CD336" w:rsidR="00B01E7A" w:rsidRDefault="00B01E7A" w:rsidP="00B01E7A">
      <w:pPr>
        <w:spacing w:after="0" w:line="360" w:lineRule="auto"/>
        <w:ind w:left="5760" w:firstLine="720"/>
      </w:pPr>
      <w:r>
        <w:t>Nr. T-</w:t>
      </w:r>
      <w:r w:rsidR="00153850">
        <w:t>22</w:t>
      </w:r>
      <w:bookmarkStart w:id="0" w:name="_GoBack"/>
      <w:bookmarkEnd w:id="0"/>
    </w:p>
    <w:p w14:paraId="3D2BEC62" w14:textId="77777777" w:rsidR="00B0301C" w:rsidRDefault="00B0301C" w:rsidP="00912D3C">
      <w:pPr>
        <w:spacing w:after="0" w:line="360" w:lineRule="auto"/>
        <w:jc w:val="center"/>
      </w:pPr>
    </w:p>
    <w:p w14:paraId="3D2BEC63" w14:textId="77777777" w:rsidR="00B0301C" w:rsidRDefault="00B0301C" w:rsidP="00912D3C">
      <w:pPr>
        <w:spacing w:after="0" w:line="360" w:lineRule="auto"/>
        <w:jc w:val="center"/>
      </w:pPr>
    </w:p>
    <w:p w14:paraId="3D2BEC64" w14:textId="77777777" w:rsidR="00B0301C" w:rsidRDefault="00B0301C" w:rsidP="00912D3C">
      <w:pPr>
        <w:spacing w:after="0" w:line="360" w:lineRule="auto"/>
        <w:jc w:val="center"/>
      </w:pPr>
    </w:p>
    <w:p w14:paraId="3D2BEC65" w14:textId="77777777" w:rsidR="00B0301C" w:rsidRDefault="00B0301C" w:rsidP="00912D3C">
      <w:pPr>
        <w:spacing w:after="0" w:line="360" w:lineRule="auto"/>
        <w:jc w:val="center"/>
      </w:pPr>
    </w:p>
    <w:p w14:paraId="3D2BEC66" w14:textId="77777777" w:rsidR="00B0301C" w:rsidRDefault="00B0301C" w:rsidP="00912D3C">
      <w:pPr>
        <w:spacing w:after="0" w:line="360" w:lineRule="auto"/>
        <w:jc w:val="center"/>
      </w:pPr>
    </w:p>
    <w:p w14:paraId="3D2BEC67" w14:textId="77777777" w:rsidR="00B0301C" w:rsidRDefault="00B0301C" w:rsidP="00912D3C">
      <w:pPr>
        <w:spacing w:after="0" w:line="360" w:lineRule="auto"/>
        <w:jc w:val="center"/>
      </w:pPr>
    </w:p>
    <w:p w14:paraId="3D2BEC68" w14:textId="77777777" w:rsidR="00B0301C" w:rsidRDefault="00B0301C" w:rsidP="00912D3C">
      <w:pPr>
        <w:spacing w:after="0" w:line="360" w:lineRule="auto"/>
        <w:jc w:val="center"/>
      </w:pPr>
    </w:p>
    <w:p w14:paraId="3D2BEC69" w14:textId="34D58114" w:rsidR="00B0301C" w:rsidRDefault="00D461B4" w:rsidP="00B0301C">
      <w:pPr>
        <w:spacing w:after="0" w:line="360" w:lineRule="auto"/>
        <w:jc w:val="center"/>
      </w:pPr>
      <w:r>
        <w:t>Vaidoto g. 115</w:t>
      </w:r>
      <w:r w:rsidR="00912D3C" w:rsidRPr="00A12819">
        <w:t xml:space="preserve">, </w:t>
      </w:r>
      <w:r>
        <w:t>45390</w:t>
      </w:r>
      <w:r w:rsidR="00912D3C" w:rsidRPr="00A12819">
        <w:t xml:space="preserve"> Kaunas, tel. (8 37) 45 47 17,</w:t>
      </w:r>
    </w:p>
    <w:p w14:paraId="3D2BEC6A" w14:textId="77777777" w:rsidR="00912D3C" w:rsidRPr="00A12819" w:rsidRDefault="00912D3C" w:rsidP="00912D3C">
      <w:pPr>
        <w:spacing w:after="0" w:line="360" w:lineRule="auto"/>
        <w:jc w:val="center"/>
      </w:pPr>
      <w:r w:rsidRPr="00A12819">
        <w:t xml:space="preserve">el. p. </w:t>
      </w:r>
      <w:proofErr w:type="spellStart"/>
      <w:r w:rsidR="00D461B4">
        <w:t>administracija</w:t>
      </w:r>
      <w:r w:rsidRPr="00A12819">
        <w:t>@kaunovsb.lt</w:t>
      </w:r>
      <w:proofErr w:type="spellEnd"/>
      <w:r w:rsidRPr="00A12819">
        <w:t xml:space="preserve">, www.kaunovsb.lt </w:t>
      </w:r>
    </w:p>
    <w:p w14:paraId="3D2BEC6B" w14:textId="77777777" w:rsidR="00912D3C" w:rsidRPr="00A12819" w:rsidRDefault="00912D3C" w:rsidP="00912D3C">
      <w:pPr>
        <w:spacing w:after="0" w:line="360" w:lineRule="auto"/>
        <w:jc w:val="center"/>
      </w:pPr>
      <w:r w:rsidRPr="00A12819">
        <w:t xml:space="preserve"> _______________________________________________________________________________</w:t>
      </w:r>
    </w:p>
    <w:p w14:paraId="3D2BEC6C" w14:textId="77777777" w:rsidR="00912D3C" w:rsidRDefault="00912D3C" w:rsidP="00912D3C">
      <w:pPr>
        <w:spacing w:after="0" w:line="360" w:lineRule="auto"/>
        <w:jc w:val="center"/>
      </w:pPr>
    </w:p>
    <w:p w14:paraId="3D2BEC6D" w14:textId="77777777" w:rsidR="00912D3C" w:rsidRDefault="00912D3C" w:rsidP="00912D3C">
      <w:pPr>
        <w:spacing w:after="0" w:line="360" w:lineRule="auto"/>
        <w:jc w:val="center"/>
      </w:pPr>
    </w:p>
    <w:p w14:paraId="3D2BEC6E" w14:textId="77777777" w:rsidR="007614ED" w:rsidRDefault="007614ED" w:rsidP="00912D3C">
      <w:pPr>
        <w:spacing w:after="0" w:line="360" w:lineRule="auto"/>
        <w:jc w:val="center"/>
      </w:pPr>
    </w:p>
    <w:p w14:paraId="3D2BEC6F" w14:textId="77777777" w:rsidR="00B0301C" w:rsidRPr="00A12819" w:rsidRDefault="00B0301C" w:rsidP="00912D3C">
      <w:pPr>
        <w:spacing w:after="0" w:line="360" w:lineRule="auto"/>
        <w:jc w:val="center"/>
      </w:pPr>
    </w:p>
    <w:p w14:paraId="3D2BEC70" w14:textId="77777777" w:rsidR="00912D3C" w:rsidRPr="00A12819" w:rsidRDefault="00912D3C" w:rsidP="00912D3C">
      <w:pPr>
        <w:spacing w:after="0" w:line="360" w:lineRule="auto"/>
        <w:jc w:val="center"/>
      </w:pPr>
    </w:p>
    <w:p w14:paraId="3D2BEC71" w14:textId="77777777" w:rsidR="00912D3C" w:rsidRPr="00472EF2" w:rsidRDefault="00912D3C" w:rsidP="00912D3C">
      <w:pPr>
        <w:spacing w:after="0" w:line="360" w:lineRule="auto"/>
        <w:jc w:val="center"/>
        <w:rPr>
          <w:b/>
        </w:rPr>
      </w:pPr>
      <w:r w:rsidRPr="00472EF2">
        <w:rPr>
          <w:b/>
        </w:rPr>
        <w:t>KAUNO MIESTO SAVIVALDYBĖS VISUOMENĖS SVEIKATOS</w:t>
      </w:r>
    </w:p>
    <w:p w14:paraId="3D2BEC72" w14:textId="331C9DD3" w:rsidR="00912D3C" w:rsidRPr="00472EF2" w:rsidRDefault="00D461B4" w:rsidP="00912D3C">
      <w:pPr>
        <w:spacing w:after="0" w:line="360" w:lineRule="auto"/>
        <w:jc w:val="center"/>
        <w:rPr>
          <w:b/>
        </w:rPr>
      </w:pPr>
      <w:r>
        <w:rPr>
          <w:b/>
        </w:rPr>
        <w:t xml:space="preserve"> STEBĖSENOS 201</w:t>
      </w:r>
      <w:r w:rsidR="00C45693">
        <w:rPr>
          <w:b/>
        </w:rPr>
        <w:t>9</w:t>
      </w:r>
      <w:r w:rsidR="00D545DA">
        <w:rPr>
          <w:b/>
        </w:rPr>
        <w:t xml:space="preserve"> M.</w:t>
      </w:r>
      <w:r w:rsidR="00912D3C" w:rsidRPr="00472EF2">
        <w:rPr>
          <w:b/>
        </w:rPr>
        <w:t xml:space="preserve"> ATASKAITA</w:t>
      </w:r>
    </w:p>
    <w:p w14:paraId="3D2BEC73" w14:textId="77777777" w:rsidR="00912D3C" w:rsidRPr="00A12819" w:rsidRDefault="00912D3C" w:rsidP="00912D3C">
      <w:pPr>
        <w:spacing w:after="0" w:line="360" w:lineRule="auto"/>
        <w:jc w:val="center"/>
      </w:pPr>
    </w:p>
    <w:p w14:paraId="3D2BEC74" w14:textId="77777777" w:rsidR="00912D3C" w:rsidRPr="00A12819" w:rsidRDefault="00912D3C" w:rsidP="00912D3C">
      <w:pPr>
        <w:spacing w:after="0" w:line="360" w:lineRule="auto"/>
      </w:pPr>
    </w:p>
    <w:p w14:paraId="3D2BEC75" w14:textId="77777777" w:rsidR="00912D3C" w:rsidRPr="00A12819" w:rsidRDefault="00912D3C" w:rsidP="00912D3C">
      <w:pPr>
        <w:spacing w:after="0" w:line="360" w:lineRule="auto"/>
      </w:pPr>
    </w:p>
    <w:p w14:paraId="3D2BEC76" w14:textId="77777777" w:rsidR="00912D3C" w:rsidRPr="00A12819" w:rsidRDefault="00912D3C" w:rsidP="00912D3C">
      <w:pPr>
        <w:spacing w:after="0" w:line="360" w:lineRule="auto"/>
        <w:jc w:val="center"/>
      </w:pPr>
    </w:p>
    <w:p w14:paraId="3D2BEC77" w14:textId="77777777" w:rsidR="00912D3C" w:rsidRPr="00A12819" w:rsidRDefault="00912D3C" w:rsidP="00912D3C">
      <w:pPr>
        <w:spacing w:after="0" w:line="360" w:lineRule="auto"/>
        <w:jc w:val="center"/>
      </w:pPr>
    </w:p>
    <w:p w14:paraId="3D2BEC78" w14:textId="616D70D4" w:rsidR="00912D3C" w:rsidRPr="00A12819" w:rsidRDefault="00912D3C" w:rsidP="00912D3C">
      <w:pPr>
        <w:spacing w:after="0" w:line="360" w:lineRule="auto"/>
        <w:jc w:val="center"/>
      </w:pPr>
      <w:r w:rsidRPr="00A12819">
        <w:t>Ataskaitą parengė Kauno miesto savivaldy</w:t>
      </w:r>
      <w:r w:rsidR="00561F58">
        <w:t>bės visuomenės sveikatos biuro v</w:t>
      </w:r>
      <w:r w:rsidRPr="00A12819">
        <w:t xml:space="preserve">isuomenės sveikatos stiprinimo ir stebėsenos skyriaus visuomenės sveikatos </w:t>
      </w:r>
      <w:r w:rsidR="009A6F70">
        <w:t xml:space="preserve">stebėsenos </w:t>
      </w:r>
      <w:r w:rsidRPr="00A12819">
        <w:t xml:space="preserve">specialistė </w:t>
      </w:r>
      <w:r>
        <w:t xml:space="preserve">Edita </w:t>
      </w:r>
      <w:proofErr w:type="spellStart"/>
      <w:r>
        <w:t>Stundytė</w:t>
      </w:r>
      <w:proofErr w:type="spellEnd"/>
    </w:p>
    <w:p w14:paraId="3D2BEC79" w14:textId="77777777" w:rsidR="00912D3C" w:rsidRDefault="00912D3C" w:rsidP="00912D3C">
      <w:pPr>
        <w:spacing w:after="0" w:line="360" w:lineRule="auto"/>
        <w:jc w:val="center"/>
      </w:pPr>
    </w:p>
    <w:p w14:paraId="3D2BEC7A" w14:textId="77777777" w:rsidR="00912D3C" w:rsidRDefault="00912D3C" w:rsidP="00912D3C">
      <w:pPr>
        <w:spacing w:after="0" w:line="360" w:lineRule="auto"/>
        <w:jc w:val="center"/>
      </w:pPr>
    </w:p>
    <w:p w14:paraId="3D2BEC7B" w14:textId="77777777" w:rsidR="00912D3C" w:rsidRDefault="00912D3C" w:rsidP="00912D3C">
      <w:pPr>
        <w:spacing w:after="0" w:line="360" w:lineRule="auto"/>
        <w:jc w:val="center"/>
      </w:pPr>
    </w:p>
    <w:p w14:paraId="3D2BEC7C" w14:textId="77777777" w:rsidR="00912D3C" w:rsidRDefault="00912D3C" w:rsidP="00912D3C">
      <w:pPr>
        <w:spacing w:after="0" w:line="360" w:lineRule="auto"/>
        <w:jc w:val="center"/>
      </w:pPr>
    </w:p>
    <w:p w14:paraId="3D2BEC7D" w14:textId="77777777" w:rsidR="00912D3C" w:rsidRDefault="00912D3C" w:rsidP="00912D3C">
      <w:pPr>
        <w:spacing w:after="0" w:line="360" w:lineRule="auto"/>
        <w:jc w:val="center"/>
      </w:pPr>
    </w:p>
    <w:p w14:paraId="3D2BEC7E" w14:textId="77777777" w:rsidR="00912D3C" w:rsidRDefault="00912D3C" w:rsidP="00912D3C">
      <w:pPr>
        <w:spacing w:after="0" w:line="360" w:lineRule="auto"/>
        <w:jc w:val="center"/>
      </w:pPr>
    </w:p>
    <w:p w14:paraId="3D2BEC7F" w14:textId="77777777" w:rsidR="00912D3C" w:rsidRDefault="00912D3C" w:rsidP="00912D3C">
      <w:pPr>
        <w:spacing w:after="0" w:line="360" w:lineRule="auto"/>
        <w:jc w:val="center"/>
      </w:pPr>
    </w:p>
    <w:p w14:paraId="3D2BEC80" w14:textId="77777777" w:rsidR="00912D3C" w:rsidRDefault="00912D3C" w:rsidP="00912D3C">
      <w:pPr>
        <w:spacing w:after="0" w:line="360" w:lineRule="auto"/>
        <w:jc w:val="center"/>
      </w:pPr>
    </w:p>
    <w:p w14:paraId="3D2BEC81" w14:textId="77777777" w:rsidR="00912D3C" w:rsidRPr="00A12819" w:rsidRDefault="00912D3C" w:rsidP="00912D3C">
      <w:pPr>
        <w:spacing w:after="0" w:line="360" w:lineRule="auto"/>
        <w:jc w:val="center"/>
      </w:pPr>
    </w:p>
    <w:p w14:paraId="3D2BEC82" w14:textId="325D8394" w:rsidR="00C5471C" w:rsidRDefault="00D461B4" w:rsidP="00912D3C">
      <w:pPr>
        <w:spacing w:after="0" w:line="360" w:lineRule="auto"/>
        <w:jc w:val="center"/>
      </w:pPr>
      <w:r>
        <w:t>KAUNAS, 20</w:t>
      </w:r>
      <w:r w:rsidR="00C45693">
        <w:t>20</w:t>
      </w:r>
    </w:p>
    <w:sdt>
      <w:sdtPr>
        <w:rPr>
          <w:rFonts w:ascii="Times New Roman" w:eastAsiaTheme="minorHAnsi" w:hAnsi="Times New Roman" w:cstheme="minorBidi"/>
          <w:b w:val="0"/>
          <w:bCs w:val="0"/>
          <w:color w:val="auto"/>
          <w:sz w:val="24"/>
          <w:szCs w:val="22"/>
          <w:lang w:val="lt-LT"/>
        </w:rPr>
        <w:id w:val="-402293829"/>
        <w:docPartObj>
          <w:docPartGallery w:val="Table of Contents"/>
          <w:docPartUnique/>
        </w:docPartObj>
      </w:sdtPr>
      <w:sdtEndPr/>
      <w:sdtContent>
        <w:p w14:paraId="3D2BEC83" w14:textId="77777777" w:rsidR="00450D0D" w:rsidRDefault="00450D0D" w:rsidP="00E35164">
          <w:pPr>
            <w:pStyle w:val="Turinioantrat"/>
            <w:spacing w:before="0"/>
            <w:jc w:val="center"/>
            <w:rPr>
              <w:rFonts w:ascii="Times New Roman" w:hAnsi="Times New Roman" w:cs="Times New Roman"/>
              <w:color w:val="auto"/>
              <w:sz w:val="24"/>
              <w:lang w:val="lt-LT"/>
            </w:rPr>
          </w:pPr>
          <w:r w:rsidRPr="00450D0D">
            <w:rPr>
              <w:rFonts w:ascii="Times New Roman" w:hAnsi="Times New Roman" w:cs="Times New Roman"/>
              <w:color w:val="auto"/>
              <w:sz w:val="24"/>
              <w:lang w:val="lt-LT"/>
            </w:rPr>
            <w:t>TURINYS</w:t>
          </w:r>
        </w:p>
        <w:p w14:paraId="3D2BEC84" w14:textId="77777777" w:rsidR="00B0301C" w:rsidRPr="00450D0D" w:rsidRDefault="00B0301C" w:rsidP="00E35164">
          <w:pPr>
            <w:spacing w:after="0"/>
          </w:pPr>
        </w:p>
        <w:p w14:paraId="3D2BEC85" w14:textId="5CF12A81" w:rsidR="00B0301C" w:rsidRDefault="00450D0D">
          <w:pPr>
            <w:pStyle w:val="Turinys1"/>
            <w:tabs>
              <w:tab w:val="right" w:leader="dot" w:pos="9912"/>
            </w:tabs>
            <w:rPr>
              <w:rFonts w:asciiTheme="minorHAnsi" w:eastAsiaTheme="minorEastAsia" w:hAnsiTheme="minorHAnsi"/>
              <w:noProof/>
              <w:sz w:val="22"/>
              <w:lang w:eastAsia="lt-LT"/>
            </w:rPr>
          </w:pPr>
          <w:r>
            <w:fldChar w:fldCharType="begin"/>
          </w:r>
          <w:r>
            <w:instrText xml:space="preserve"> TOC \o "1-3" \h \z \u </w:instrText>
          </w:r>
          <w:r>
            <w:fldChar w:fldCharType="separate"/>
          </w:r>
          <w:hyperlink w:anchor="_Toc26535194" w:history="1">
            <w:r w:rsidR="00B0301C" w:rsidRPr="004252B7">
              <w:rPr>
                <w:rStyle w:val="Hipersaitas"/>
                <w:noProof/>
              </w:rPr>
              <w:t>ĮVADAS</w:t>
            </w:r>
            <w:r w:rsidR="00B0301C">
              <w:rPr>
                <w:noProof/>
                <w:webHidden/>
              </w:rPr>
              <w:tab/>
            </w:r>
            <w:r w:rsidR="00B0301C">
              <w:rPr>
                <w:noProof/>
                <w:webHidden/>
              </w:rPr>
              <w:fldChar w:fldCharType="begin"/>
            </w:r>
            <w:r w:rsidR="00B0301C">
              <w:rPr>
                <w:noProof/>
                <w:webHidden/>
              </w:rPr>
              <w:instrText xml:space="preserve"> PAGEREF _Toc26535194 \h </w:instrText>
            </w:r>
            <w:r w:rsidR="00B0301C">
              <w:rPr>
                <w:noProof/>
                <w:webHidden/>
              </w:rPr>
            </w:r>
            <w:r w:rsidR="00B0301C">
              <w:rPr>
                <w:noProof/>
                <w:webHidden/>
              </w:rPr>
              <w:fldChar w:fldCharType="separate"/>
            </w:r>
            <w:r w:rsidR="004423BC">
              <w:rPr>
                <w:noProof/>
                <w:webHidden/>
              </w:rPr>
              <w:t>3</w:t>
            </w:r>
            <w:r w:rsidR="00B0301C">
              <w:rPr>
                <w:noProof/>
                <w:webHidden/>
              </w:rPr>
              <w:fldChar w:fldCharType="end"/>
            </w:r>
          </w:hyperlink>
        </w:p>
        <w:p w14:paraId="3D2BEC86" w14:textId="378EDDDE" w:rsidR="00B0301C" w:rsidRDefault="005D4850">
          <w:pPr>
            <w:pStyle w:val="Turinys2"/>
            <w:rPr>
              <w:rFonts w:asciiTheme="minorHAnsi" w:eastAsiaTheme="minorEastAsia" w:hAnsiTheme="minorHAnsi"/>
              <w:noProof/>
              <w:sz w:val="22"/>
              <w:lang w:eastAsia="lt-LT"/>
            </w:rPr>
          </w:pPr>
          <w:hyperlink w:anchor="_Toc26535195" w:history="1">
            <w:r w:rsidR="00B0301C">
              <w:rPr>
                <w:rStyle w:val="Hipersaitas"/>
                <w:caps/>
                <w:noProof/>
              </w:rPr>
              <w:t>Kauno miesto savivaldybė</w:t>
            </w:r>
            <w:r w:rsidR="00B0301C" w:rsidRPr="004252B7">
              <w:rPr>
                <w:rStyle w:val="Hipersaitas"/>
                <w:caps/>
                <w:noProof/>
              </w:rPr>
              <w:t>s demografinė situacija</w:t>
            </w:r>
            <w:r w:rsidR="00B0301C">
              <w:rPr>
                <w:noProof/>
                <w:webHidden/>
              </w:rPr>
              <w:tab/>
            </w:r>
            <w:r w:rsidR="00B0301C">
              <w:rPr>
                <w:noProof/>
                <w:webHidden/>
              </w:rPr>
              <w:fldChar w:fldCharType="begin"/>
            </w:r>
            <w:r w:rsidR="00B0301C">
              <w:rPr>
                <w:noProof/>
                <w:webHidden/>
              </w:rPr>
              <w:instrText xml:space="preserve"> PAGEREF _Toc26535195 \h </w:instrText>
            </w:r>
            <w:r w:rsidR="00B0301C">
              <w:rPr>
                <w:noProof/>
                <w:webHidden/>
              </w:rPr>
            </w:r>
            <w:r w:rsidR="00B0301C">
              <w:rPr>
                <w:noProof/>
                <w:webHidden/>
              </w:rPr>
              <w:fldChar w:fldCharType="separate"/>
            </w:r>
            <w:r w:rsidR="004423BC">
              <w:rPr>
                <w:noProof/>
                <w:webHidden/>
              </w:rPr>
              <w:t>4</w:t>
            </w:r>
            <w:r w:rsidR="00B0301C">
              <w:rPr>
                <w:noProof/>
                <w:webHidden/>
              </w:rPr>
              <w:fldChar w:fldCharType="end"/>
            </w:r>
          </w:hyperlink>
        </w:p>
        <w:p w14:paraId="3D2BEC87" w14:textId="00C51853" w:rsidR="00B0301C" w:rsidRDefault="005D4850">
          <w:pPr>
            <w:pStyle w:val="Turinys1"/>
            <w:tabs>
              <w:tab w:val="right" w:leader="dot" w:pos="9912"/>
            </w:tabs>
            <w:rPr>
              <w:rFonts w:asciiTheme="minorHAnsi" w:eastAsiaTheme="minorEastAsia" w:hAnsiTheme="minorHAnsi"/>
              <w:noProof/>
              <w:sz w:val="22"/>
              <w:lang w:eastAsia="lt-LT"/>
            </w:rPr>
          </w:pPr>
          <w:hyperlink w:anchor="_Toc26535196" w:history="1">
            <w:r w:rsidR="00B0301C" w:rsidRPr="004252B7">
              <w:rPr>
                <w:rStyle w:val="Hipersaitas"/>
                <w:noProof/>
              </w:rPr>
              <w:t>KAUNO MIESTO SAVIVALDYBĖS SVEIKATOS IR SU SVEIKATA SUSIJUSIŲ RODIKLIŲ PROFILIS</w:t>
            </w:r>
            <w:r w:rsidR="00B0301C">
              <w:rPr>
                <w:noProof/>
                <w:webHidden/>
              </w:rPr>
              <w:tab/>
            </w:r>
            <w:r w:rsidR="00B0301C">
              <w:rPr>
                <w:noProof/>
                <w:webHidden/>
              </w:rPr>
              <w:fldChar w:fldCharType="begin"/>
            </w:r>
            <w:r w:rsidR="00B0301C">
              <w:rPr>
                <w:noProof/>
                <w:webHidden/>
              </w:rPr>
              <w:instrText xml:space="preserve"> PAGEREF _Toc26535196 \h </w:instrText>
            </w:r>
            <w:r w:rsidR="00B0301C">
              <w:rPr>
                <w:noProof/>
                <w:webHidden/>
              </w:rPr>
            </w:r>
            <w:r w:rsidR="00B0301C">
              <w:rPr>
                <w:noProof/>
                <w:webHidden/>
              </w:rPr>
              <w:fldChar w:fldCharType="separate"/>
            </w:r>
            <w:r w:rsidR="004423BC">
              <w:rPr>
                <w:noProof/>
                <w:webHidden/>
              </w:rPr>
              <w:t>7</w:t>
            </w:r>
            <w:r w:rsidR="00B0301C">
              <w:rPr>
                <w:noProof/>
                <w:webHidden/>
              </w:rPr>
              <w:fldChar w:fldCharType="end"/>
            </w:r>
          </w:hyperlink>
        </w:p>
        <w:p w14:paraId="3D2BEC88" w14:textId="44C0D7BA" w:rsidR="00B0301C" w:rsidRDefault="005D4850">
          <w:pPr>
            <w:pStyle w:val="Turinys1"/>
            <w:tabs>
              <w:tab w:val="right" w:leader="dot" w:pos="9912"/>
            </w:tabs>
            <w:rPr>
              <w:rFonts w:asciiTheme="minorHAnsi" w:eastAsiaTheme="minorEastAsia" w:hAnsiTheme="minorHAnsi"/>
              <w:noProof/>
              <w:sz w:val="22"/>
              <w:lang w:eastAsia="lt-LT"/>
            </w:rPr>
          </w:pPr>
          <w:hyperlink w:anchor="_Toc26535197" w:history="1">
            <w:r w:rsidR="00B0301C" w:rsidRPr="004252B7">
              <w:rPr>
                <w:rStyle w:val="Hipersaitas"/>
                <w:noProof/>
              </w:rPr>
              <w:t>KAUNO MIESTO SAVIVALDYBĖS PROFILIS</w:t>
            </w:r>
            <w:r w:rsidR="00B0301C">
              <w:rPr>
                <w:noProof/>
                <w:webHidden/>
              </w:rPr>
              <w:tab/>
            </w:r>
            <w:r w:rsidR="00B0301C">
              <w:rPr>
                <w:noProof/>
                <w:webHidden/>
              </w:rPr>
              <w:fldChar w:fldCharType="begin"/>
            </w:r>
            <w:r w:rsidR="00B0301C">
              <w:rPr>
                <w:noProof/>
                <w:webHidden/>
              </w:rPr>
              <w:instrText xml:space="preserve"> PAGEREF _Toc26535197 \h </w:instrText>
            </w:r>
            <w:r w:rsidR="00B0301C">
              <w:rPr>
                <w:noProof/>
                <w:webHidden/>
              </w:rPr>
            </w:r>
            <w:r w:rsidR="00B0301C">
              <w:rPr>
                <w:noProof/>
                <w:webHidden/>
              </w:rPr>
              <w:fldChar w:fldCharType="separate"/>
            </w:r>
            <w:r w:rsidR="004423BC">
              <w:rPr>
                <w:noProof/>
                <w:webHidden/>
              </w:rPr>
              <w:t>13</w:t>
            </w:r>
            <w:r w:rsidR="00B0301C">
              <w:rPr>
                <w:noProof/>
                <w:webHidden/>
              </w:rPr>
              <w:fldChar w:fldCharType="end"/>
            </w:r>
          </w:hyperlink>
        </w:p>
        <w:p w14:paraId="3D2BEC89" w14:textId="62311597" w:rsidR="00B0301C" w:rsidRDefault="005D4850">
          <w:pPr>
            <w:pStyle w:val="Turinys1"/>
            <w:tabs>
              <w:tab w:val="right" w:leader="dot" w:pos="9912"/>
            </w:tabs>
            <w:rPr>
              <w:rFonts w:asciiTheme="minorHAnsi" w:eastAsiaTheme="minorEastAsia" w:hAnsiTheme="minorHAnsi"/>
              <w:noProof/>
              <w:sz w:val="22"/>
              <w:lang w:eastAsia="lt-LT"/>
            </w:rPr>
          </w:pPr>
          <w:hyperlink w:anchor="_Toc26535198" w:history="1">
            <w:r w:rsidR="00B0301C">
              <w:rPr>
                <w:rStyle w:val="Hipersaitas"/>
                <w:noProof/>
              </w:rPr>
              <w:t>KAUNO MIESTO SAVIVALDYBĖ</w:t>
            </w:r>
            <w:r w:rsidR="00B0301C" w:rsidRPr="004252B7">
              <w:rPr>
                <w:rStyle w:val="Hipersaitas"/>
                <w:noProof/>
              </w:rPr>
              <w:t>S PRIORITETINIŲ PROBLEMŲ ANALIZĖ</w:t>
            </w:r>
            <w:r w:rsidR="00B0301C">
              <w:rPr>
                <w:noProof/>
                <w:webHidden/>
              </w:rPr>
              <w:tab/>
            </w:r>
            <w:r w:rsidR="00B0301C">
              <w:rPr>
                <w:noProof/>
                <w:webHidden/>
              </w:rPr>
              <w:fldChar w:fldCharType="begin"/>
            </w:r>
            <w:r w:rsidR="00B0301C">
              <w:rPr>
                <w:noProof/>
                <w:webHidden/>
              </w:rPr>
              <w:instrText xml:space="preserve"> PAGEREF _Toc26535198 \h </w:instrText>
            </w:r>
            <w:r w:rsidR="00B0301C">
              <w:rPr>
                <w:noProof/>
                <w:webHidden/>
              </w:rPr>
            </w:r>
            <w:r w:rsidR="00B0301C">
              <w:rPr>
                <w:noProof/>
                <w:webHidden/>
              </w:rPr>
              <w:fldChar w:fldCharType="separate"/>
            </w:r>
            <w:r w:rsidR="004423BC">
              <w:rPr>
                <w:noProof/>
                <w:webHidden/>
              </w:rPr>
              <w:t>13</w:t>
            </w:r>
            <w:r w:rsidR="00B0301C">
              <w:rPr>
                <w:noProof/>
                <w:webHidden/>
              </w:rPr>
              <w:fldChar w:fldCharType="end"/>
            </w:r>
          </w:hyperlink>
        </w:p>
        <w:p w14:paraId="3D2BEC8A" w14:textId="60EF5749" w:rsidR="00B0301C" w:rsidRDefault="005D4850">
          <w:pPr>
            <w:pStyle w:val="Turinys1"/>
            <w:tabs>
              <w:tab w:val="right" w:leader="dot" w:pos="9912"/>
            </w:tabs>
            <w:rPr>
              <w:rFonts w:asciiTheme="minorHAnsi" w:eastAsiaTheme="minorEastAsia" w:hAnsiTheme="minorHAnsi"/>
              <w:noProof/>
              <w:sz w:val="22"/>
              <w:lang w:eastAsia="lt-LT"/>
            </w:rPr>
          </w:pPr>
          <w:hyperlink w:anchor="_Toc26535199" w:history="1">
            <w:r w:rsidR="00B0301C" w:rsidRPr="004252B7">
              <w:rPr>
                <w:rStyle w:val="Hipersaitas"/>
                <w:noProof/>
                <w:lang w:val="en-US"/>
              </w:rPr>
              <w:t>IŠVADOS</w:t>
            </w:r>
            <w:r w:rsidR="00B0301C">
              <w:rPr>
                <w:noProof/>
                <w:webHidden/>
              </w:rPr>
              <w:tab/>
            </w:r>
            <w:r w:rsidR="00B0301C">
              <w:rPr>
                <w:noProof/>
                <w:webHidden/>
              </w:rPr>
              <w:fldChar w:fldCharType="begin"/>
            </w:r>
            <w:r w:rsidR="00B0301C">
              <w:rPr>
                <w:noProof/>
                <w:webHidden/>
              </w:rPr>
              <w:instrText xml:space="preserve"> PAGEREF _Toc26535199 \h </w:instrText>
            </w:r>
            <w:r w:rsidR="00B0301C">
              <w:rPr>
                <w:noProof/>
                <w:webHidden/>
              </w:rPr>
            </w:r>
            <w:r w:rsidR="00B0301C">
              <w:rPr>
                <w:noProof/>
                <w:webHidden/>
              </w:rPr>
              <w:fldChar w:fldCharType="separate"/>
            </w:r>
            <w:r w:rsidR="004423BC">
              <w:rPr>
                <w:noProof/>
                <w:webHidden/>
              </w:rPr>
              <w:t>18</w:t>
            </w:r>
            <w:r w:rsidR="00B0301C">
              <w:rPr>
                <w:noProof/>
                <w:webHidden/>
              </w:rPr>
              <w:fldChar w:fldCharType="end"/>
            </w:r>
          </w:hyperlink>
        </w:p>
        <w:p w14:paraId="3D2BEC8B" w14:textId="5E8CC145" w:rsidR="00B0301C" w:rsidRDefault="005D4850">
          <w:pPr>
            <w:pStyle w:val="Turinys1"/>
            <w:tabs>
              <w:tab w:val="right" w:leader="dot" w:pos="9912"/>
            </w:tabs>
            <w:rPr>
              <w:rFonts w:asciiTheme="minorHAnsi" w:eastAsiaTheme="minorEastAsia" w:hAnsiTheme="minorHAnsi"/>
              <w:noProof/>
              <w:sz w:val="22"/>
              <w:lang w:eastAsia="lt-LT"/>
            </w:rPr>
          </w:pPr>
          <w:hyperlink w:anchor="_Toc26535200" w:history="1">
            <w:r w:rsidR="00B0301C" w:rsidRPr="004252B7">
              <w:rPr>
                <w:rStyle w:val="Hipersaitas"/>
                <w:noProof/>
                <w:lang w:val="en-US"/>
              </w:rPr>
              <w:t>REKOMENDACIJOS</w:t>
            </w:r>
            <w:r w:rsidR="00B0301C">
              <w:rPr>
                <w:noProof/>
                <w:webHidden/>
              </w:rPr>
              <w:tab/>
            </w:r>
            <w:r w:rsidR="00B0301C">
              <w:rPr>
                <w:noProof/>
                <w:webHidden/>
              </w:rPr>
              <w:fldChar w:fldCharType="begin"/>
            </w:r>
            <w:r w:rsidR="00B0301C">
              <w:rPr>
                <w:noProof/>
                <w:webHidden/>
              </w:rPr>
              <w:instrText xml:space="preserve"> PAGEREF _Toc26535200 \h </w:instrText>
            </w:r>
            <w:r w:rsidR="00B0301C">
              <w:rPr>
                <w:noProof/>
                <w:webHidden/>
              </w:rPr>
            </w:r>
            <w:r w:rsidR="00B0301C">
              <w:rPr>
                <w:noProof/>
                <w:webHidden/>
              </w:rPr>
              <w:fldChar w:fldCharType="separate"/>
            </w:r>
            <w:r w:rsidR="004423BC">
              <w:rPr>
                <w:noProof/>
                <w:webHidden/>
              </w:rPr>
              <w:t>19</w:t>
            </w:r>
            <w:r w:rsidR="00B0301C">
              <w:rPr>
                <w:noProof/>
                <w:webHidden/>
              </w:rPr>
              <w:fldChar w:fldCharType="end"/>
            </w:r>
          </w:hyperlink>
        </w:p>
        <w:p w14:paraId="3D2BEC8C" w14:textId="77777777" w:rsidR="00450D0D" w:rsidRDefault="00450D0D" w:rsidP="00E35164">
          <w:r>
            <w:rPr>
              <w:b/>
              <w:bCs/>
            </w:rPr>
            <w:fldChar w:fldCharType="end"/>
          </w:r>
        </w:p>
      </w:sdtContent>
    </w:sdt>
    <w:p w14:paraId="3D2BEC8D" w14:textId="77777777" w:rsidR="00C5471C" w:rsidRDefault="00C5471C"/>
    <w:p w14:paraId="3D2BEC8E" w14:textId="77777777" w:rsidR="00450D0D" w:rsidRDefault="00450D0D">
      <w:pPr>
        <w:rPr>
          <w:rFonts w:eastAsiaTheme="majorEastAsia" w:cstheme="majorBidi"/>
          <w:b/>
          <w:bCs/>
          <w:caps/>
          <w:color w:val="000000" w:themeColor="text1"/>
          <w:szCs w:val="28"/>
        </w:rPr>
      </w:pPr>
      <w:bookmarkStart w:id="1" w:name="_Toc500925409"/>
      <w:bookmarkStart w:id="2" w:name="_Toc501653353"/>
      <w:bookmarkStart w:id="3" w:name="_Toc502140365"/>
      <w:bookmarkStart w:id="4" w:name="_Toc502140589"/>
      <w:bookmarkStart w:id="5" w:name="_Toc502235329"/>
      <w:r>
        <w:br w:type="page"/>
      </w:r>
    </w:p>
    <w:p w14:paraId="3D2BEC8F" w14:textId="77777777" w:rsidR="00912D3C" w:rsidRPr="00C93DF0" w:rsidRDefault="00912D3C" w:rsidP="00B30FEF">
      <w:pPr>
        <w:pStyle w:val="Antrat1"/>
        <w:spacing w:before="0"/>
        <w:ind w:firstLine="0"/>
        <w:jc w:val="center"/>
      </w:pPr>
      <w:bookmarkStart w:id="6" w:name="_Toc26535194"/>
      <w:r w:rsidRPr="00C93DF0">
        <w:lastRenderedPageBreak/>
        <w:t>ĮVADAS</w:t>
      </w:r>
      <w:bookmarkEnd w:id="1"/>
      <w:bookmarkEnd w:id="2"/>
      <w:bookmarkEnd w:id="3"/>
      <w:bookmarkEnd w:id="4"/>
      <w:bookmarkEnd w:id="5"/>
      <w:bookmarkEnd w:id="6"/>
    </w:p>
    <w:p w14:paraId="3D2BEC90" w14:textId="77777777" w:rsidR="00912D3C" w:rsidRPr="00A12819" w:rsidRDefault="00912D3C" w:rsidP="00BC1306">
      <w:pPr>
        <w:pStyle w:val="Betarp"/>
        <w:spacing w:before="0" w:after="0" w:line="276" w:lineRule="auto"/>
        <w:jc w:val="both"/>
        <w:rPr>
          <w:lang w:val="lt-LT"/>
        </w:rPr>
      </w:pPr>
    </w:p>
    <w:p w14:paraId="3D2BEC91" w14:textId="3FEDE98A" w:rsidR="00D461B4" w:rsidRDefault="00912D3C" w:rsidP="00BC1306">
      <w:pPr>
        <w:spacing w:after="0"/>
        <w:ind w:firstLine="720"/>
        <w:jc w:val="both"/>
      </w:pPr>
      <w:r w:rsidRPr="00A12819">
        <w:t xml:space="preserve">Visuomenės sveikatos stebėsena savivaldybėse vykdoma </w:t>
      </w:r>
      <w:r w:rsidR="009A6F70">
        <w:t>vadovaujantis</w:t>
      </w:r>
      <w:r w:rsidRPr="00A12819">
        <w:t xml:space="preserve"> Lietuvos Respublikos sveikatos apsaugos ministro 2003 m. rugpjūčio 11 d. </w:t>
      </w:r>
      <w:r w:rsidR="00D461B4">
        <w:t xml:space="preserve">įsakymu </w:t>
      </w:r>
      <w:r w:rsidR="00D461B4" w:rsidRPr="00A12819">
        <w:t xml:space="preserve">Nr. V-488 </w:t>
      </w:r>
      <w:r w:rsidRPr="00A12819">
        <w:t xml:space="preserve">„Dėl Bendrųjų savivaldybių visuomenės sveikatos stebėsenos nuostatų patvirtinimo“. Savivaldybių visuomenės sveikatos stebėsenos tikslas – visuomenės sveikatos būklės stebėjimas, duomenų apie sveikatą veikiančius rizikos veiksnius rinkimas, kaupimas, sisteminimas ir analizė. </w:t>
      </w:r>
    </w:p>
    <w:p w14:paraId="3D2BEC92" w14:textId="77777777" w:rsidR="00D461B4" w:rsidRDefault="00912D3C" w:rsidP="00BC1306">
      <w:pPr>
        <w:spacing w:after="0"/>
        <w:ind w:firstLine="720"/>
        <w:jc w:val="both"/>
      </w:pPr>
      <w:r w:rsidRPr="00A12819">
        <w:t>Pagrindinis visuomenės sveikatos stebėsenos savivaldybėje dokumentas</w:t>
      </w:r>
      <w:r w:rsidR="00D461B4">
        <w:t xml:space="preserve"> </w:t>
      </w:r>
      <w:r w:rsidRPr="00A12819">
        <w:t>–</w:t>
      </w:r>
      <w:r w:rsidR="00D461B4">
        <w:t xml:space="preserve"> </w:t>
      </w:r>
      <w:r w:rsidRPr="00A12819">
        <w:t>Lietuvos sveikatos programa</w:t>
      </w:r>
      <w:r w:rsidR="00D461B4">
        <w:t xml:space="preserve"> (LSP)</w:t>
      </w:r>
      <w:r w:rsidRPr="00A12819">
        <w:t>, kurioje nustatyti nacionaliniai sveik</w:t>
      </w:r>
      <w:r w:rsidR="00D461B4">
        <w:t>atos stiprinimo</w:t>
      </w:r>
      <w:r w:rsidRPr="00A12819">
        <w:t xml:space="preserve"> veiklos tikslai ir uždaviniai, siekiami sveikatos rodikliai, kurie būtini norint įgyvendinti Lietuvos pažangos strategiją ,,Lietuva 2030“. Programoje iškeltas 1 strateginis tikslas, 4 tikslai bei jų uždaviniai. LSP iškeltų tikslų ir uždavinių įgyvendinimo savivaldybėse stebėsenai parengtas baigtinis pagrindinių rodiklių sąrašas, kurį sudaro 51 rodiklis, geriausiai apibūdinantys LSP siekinius. </w:t>
      </w:r>
    </w:p>
    <w:p w14:paraId="3D2BEC93" w14:textId="319B72FF" w:rsidR="00D461B4" w:rsidRDefault="00D461B4" w:rsidP="00BC1306">
      <w:pPr>
        <w:spacing w:after="0"/>
        <w:ind w:firstLine="720"/>
        <w:jc w:val="both"/>
      </w:pPr>
      <w:r>
        <w:t>LSP s</w:t>
      </w:r>
      <w:r w:rsidR="00912D3C" w:rsidRPr="00A12819">
        <w:t>trateginis tikslas – pasiekti, kad 2025 metais šalies gyventojai būtų sveikesni ir gyventų ilgiau, pagerėtų gyventojų sveikata ir sumažėtų sveikatos netolygumai. Kauno miesto savivaldybės visuomenės sveikato</w:t>
      </w:r>
      <w:r>
        <w:t xml:space="preserve">s stebėsenos </w:t>
      </w:r>
      <w:r w:rsidR="00FF42D6">
        <w:t>201</w:t>
      </w:r>
      <w:r w:rsidR="008A32F7">
        <w:t>9</w:t>
      </w:r>
      <w:r w:rsidR="00FF42D6">
        <w:t xml:space="preserve"> m. </w:t>
      </w:r>
      <w:r>
        <w:t xml:space="preserve">ataskaitoje </w:t>
      </w:r>
      <w:r w:rsidR="00912D3C" w:rsidRPr="00A12819">
        <w:t>aprašomi pagrindiniai visuomenės sveikatos būklę atspindintys rodikliai, kurie geriausiai atskleidžia, kaip įgyvendinam</w:t>
      </w:r>
      <w:r w:rsidR="009A6F70">
        <w:t>i</w:t>
      </w:r>
      <w:r w:rsidR="00912D3C" w:rsidRPr="00A12819">
        <w:t xml:space="preserve"> Lietuvos sveikatos programoje iškelti tikslai ir uždaviniai. Pateikiamos rekomendacijos, kaip būtų galim</w:t>
      </w:r>
      <w:r w:rsidR="009A6F70">
        <w:t>a</w:t>
      </w:r>
      <w:r w:rsidR="00912D3C" w:rsidRPr="00A12819">
        <w:t xml:space="preserve"> spręsti iškilusias visuomenės sveikatos problemas mieste. </w:t>
      </w:r>
      <w:r w:rsidR="00336A63">
        <w:t>Ataskaitoje</w:t>
      </w:r>
      <w:r w:rsidR="00496F38">
        <w:t xml:space="preserve"> pateikiamų visuomenės sveikatos </w:t>
      </w:r>
      <w:r w:rsidR="007D32BF">
        <w:t>būklę atspindinčių</w:t>
      </w:r>
      <w:r w:rsidR="00496F38">
        <w:t xml:space="preserve"> r</w:t>
      </w:r>
      <w:r w:rsidR="00912D3C" w:rsidRPr="00A12819">
        <w:t>odikli</w:t>
      </w:r>
      <w:r w:rsidR="00496F38">
        <w:t>ų</w:t>
      </w:r>
      <w:r w:rsidR="00912D3C" w:rsidRPr="00A12819">
        <w:t xml:space="preserve"> reikšmė</w:t>
      </w:r>
      <w:r w:rsidR="00496F38">
        <w:t>s</w:t>
      </w:r>
      <w:r w:rsidR="00912D3C" w:rsidRPr="00A12819">
        <w:t xml:space="preserve"> kasmet leidžia vertinti </w:t>
      </w:r>
      <w:r w:rsidR="00496F38">
        <w:t xml:space="preserve">kiekvieno </w:t>
      </w:r>
      <w:r w:rsidR="00912D3C" w:rsidRPr="00A12819">
        <w:t xml:space="preserve">rodiklio pokyčių kryptį ir aprėptį savivaldybėje, atitiktį savivaldybės išsikeltam siekiniui, palyginti savivaldybės rodiklio reikšmę su Lietuva. </w:t>
      </w:r>
    </w:p>
    <w:p w14:paraId="3D2BEC94" w14:textId="7BAB963F" w:rsidR="00912D3C" w:rsidRDefault="00912D3C" w:rsidP="00BC1306">
      <w:pPr>
        <w:spacing w:after="0"/>
        <w:ind w:firstLine="720"/>
        <w:jc w:val="both"/>
      </w:pPr>
      <w:r w:rsidRPr="00A12819">
        <w:t>A</w:t>
      </w:r>
      <w:r w:rsidR="00FF42D6">
        <w:t>taskaita parengta vadovaujantis Higienos instituto s</w:t>
      </w:r>
      <w:r w:rsidRPr="00A12819">
        <w:t>veikatos informacijos centro parengtais leidiniais: „Visuomenės sveikatos būklė Lietu</w:t>
      </w:r>
      <w:r w:rsidR="00D461B4">
        <w:t>vos savivaldybėse 201</w:t>
      </w:r>
      <w:r w:rsidR="00C45693">
        <w:t>9</w:t>
      </w:r>
      <w:r w:rsidRPr="00A12819">
        <w:t xml:space="preserve"> m.“ ir „Savivaldybių visuomenės sveikatos stebėsenos ataskaitų rašymo metodinės rekomendacijos 201</w:t>
      </w:r>
      <w:r w:rsidR="00B0301C">
        <w:t>9</w:t>
      </w:r>
      <w:r w:rsidRPr="00A12819">
        <w:t xml:space="preserve"> m.“. Taip pat panaudoti Higienos instituto bei Lietuvos statistikos departa</w:t>
      </w:r>
      <w:r w:rsidR="00462311">
        <w:t>mento duomenų bazių rodikliai.</w:t>
      </w:r>
    </w:p>
    <w:p w14:paraId="3D2BEC95" w14:textId="77777777" w:rsidR="00462311" w:rsidRDefault="00462311" w:rsidP="00462311">
      <w:pPr>
        <w:spacing w:line="360" w:lineRule="auto"/>
        <w:jc w:val="both"/>
      </w:pPr>
    </w:p>
    <w:p w14:paraId="3D2BEC96" w14:textId="77777777" w:rsidR="00462311" w:rsidRDefault="00462311">
      <w:r>
        <w:br w:type="page"/>
      </w:r>
    </w:p>
    <w:p w14:paraId="3D2BEC97" w14:textId="77777777" w:rsidR="00550982" w:rsidRPr="00BC1306" w:rsidRDefault="00550982" w:rsidP="00BC1306">
      <w:pPr>
        <w:pStyle w:val="Antrat2"/>
        <w:spacing w:before="0"/>
        <w:rPr>
          <w:rFonts w:cs="Times New Roman"/>
        </w:rPr>
      </w:pPr>
      <w:bookmarkStart w:id="7" w:name="_Toc26535195"/>
      <w:r w:rsidRPr="00C93DF0">
        <w:rPr>
          <w:rStyle w:val="Antrat1Diagrama"/>
          <w:b/>
        </w:rPr>
        <w:lastRenderedPageBreak/>
        <w:t>Kauno miesto savivaldybės demografinė situacija</w:t>
      </w:r>
      <w:bookmarkEnd w:id="7"/>
    </w:p>
    <w:p w14:paraId="3D2BEC98" w14:textId="77777777" w:rsidR="00550982" w:rsidRPr="00E92E3B" w:rsidRDefault="00550982" w:rsidP="00BC1306">
      <w:pPr>
        <w:spacing w:after="0"/>
        <w:jc w:val="both"/>
        <w:rPr>
          <w:rFonts w:cs="Times New Roman"/>
          <w:sz w:val="22"/>
        </w:rPr>
      </w:pPr>
    </w:p>
    <w:p w14:paraId="3D2BEC99" w14:textId="7C9CFF60" w:rsidR="00550982" w:rsidRPr="00BC1306" w:rsidRDefault="00550982" w:rsidP="00BC1306">
      <w:pPr>
        <w:spacing w:after="0"/>
        <w:ind w:firstLine="720"/>
        <w:jc w:val="both"/>
        <w:rPr>
          <w:rFonts w:cs="Times New Roman"/>
        </w:rPr>
      </w:pPr>
      <w:r w:rsidRPr="00BC1306">
        <w:rPr>
          <w:rFonts w:cs="Times New Roman"/>
        </w:rPr>
        <w:t>Kauno miesto savivaldybėje</w:t>
      </w:r>
      <w:r w:rsidR="00A41B8A">
        <w:rPr>
          <w:rFonts w:cs="Times New Roman"/>
        </w:rPr>
        <w:t xml:space="preserve"> vidutinis </w:t>
      </w:r>
      <w:r w:rsidRPr="00BC1306">
        <w:rPr>
          <w:rFonts w:cs="Times New Roman"/>
        </w:rPr>
        <w:t>gyventojų skaičius 201</w:t>
      </w:r>
      <w:r w:rsidR="00A41B8A">
        <w:rPr>
          <w:rFonts w:cs="Times New Roman"/>
        </w:rPr>
        <w:t>9</w:t>
      </w:r>
      <w:r w:rsidRPr="00BC1306">
        <w:rPr>
          <w:rFonts w:cs="Times New Roman"/>
        </w:rPr>
        <w:t xml:space="preserve"> m. </w:t>
      </w:r>
      <w:r w:rsidR="006E4CD6">
        <w:rPr>
          <w:rFonts w:cs="Times New Roman"/>
        </w:rPr>
        <w:t>didėjo, lyginant su 2018 m. Lietuvoje</w:t>
      </w:r>
      <w:r w:rsidR="00532B41">
        <w:rPr>
          <w:rFonts w:cs="Times New Roman"/>
        </w:rPr>
        <w:t>,</w:t>
      </w:r>
      <w:r w:rsidR="006E4CD6">
        <w:rPr>
          <w:rFonts w:cs="Times New Roman"/>
        </w:rPr>
        <w:t xml:space="preserve"> tuo pačiu laikotarpiu</w:t>
      </w:r>
      <w:r w:rsidR="00532B41">
        <w:rPr>
          <w:rFonts w:cs="Times New Roman"/>
        </w:rPr>
        <w:t>, vidutinis gyventojų skaičius mažėjo</w:t>
      </w:r>
      <w:r w:rsidRPr="00BC1306">
        <w:rPr>
          <w:rFonts w:cs="Times New Roman"/>
        </w:rPr>
        <w:t>. Higienos instituto sveikatos informacijos centro duomenimis, Kauno mieste 201</w:t>
      </w:r>
      <w:r w:rsidR="00532B41">
        <w:rPr>
          <w:rFonts w:cs="Times New Roman"/>
        </w:rPr>
        <w:t>9</w:t>
      </w:r>
      <w:r w:rsidRPr="00BC1306">
        <w:rPr>
          <w:rFonts w:cs="Times New Roman"/>
        </w:rPr>
        <w:t xml:space="preserve"> m. vidutiniškai gyveno </w:t>
      </w:r>
      <w:r w:rsidR="00532B41">
        <w:rPr>
          <w:rFonts w:cs="Times New Roman"/>
        </w:rPr>
        <w:t>288</w:t>
      </w:r>
      <w:r w:rsidRPr="00BC1306">
        <w:rPr>
          <w:rFonts w:cs="Times New Roman"/>
        </w:rPr>
        <w:t xml:space="preserve"> </w:t>
      </w:r>
      <w:r w:rsidR="00532B41">
        <w:rPr>
          <w:rFonts w:cs="Times New Roman"/>
        </w:rPr>
        <w:t>059</w:t>
      </w:r>
      <w:r w:rsidRPr="00BC1306">
        <w:rPr>
          <w:rFonts w:cs="Times New Roman"/>
        </w:rPr>
        <w:t xml:space="preserve"> gyventojai, </w:t>
      </w:r>
      <w:r w:rsidR="00105B95">
        <w:rPr>
          <w:rFonts w:cs="Times New Roman"/>
        </w:rPr>
        <w:t>500</w:t>
      </w:r>
      <w:r w:rsidRPr="00BC1306">
        <w:rPr>
          <w:rFonts w:cs="Times New Roman"/>
        </w:rPr>
        <w:t xml:space="preserve"> žmonių </w:t>
      </w:r>
      <w:r w:rsidR="00105B95">
        <w:rPr>
          <w:rFonts w:cs="Times New Roman"/>
        </w:rPr>
        <w:t>daugiau</w:t>
      </w:r>
      <w:r w:rsidRPr="00BC1306">
        <w:rPr>
          <w:rFonts w:cs="Times New Roman"/>
        </w:rPr>
        <w:t xml:space="preserve"> nei 201</w:t>
      </w:r>
      <w:r w:rsidR="00105B95">
        <w:rPr>
          <w:rFonts w:cs="Times New Roman"/>
        </w:rPr>
        <w:t>8</w:t>
      </w:r>
      <w:r w:rsidRPr="00BC1306">
        <w:rPr>
          <w:rFonts w:cs="Times New Roman"/>
        </w:rPr>
        <w:t xml:space="preserve"> m. (1</w:t>
      </w:r>
      <w:r w:rsidR="00D85A57" w:rsidRPr="00BC1306">
        <w:rPr>
          <w:rFonts w:cs="Times New Roman"/>
        </w:rPr>
        <w:t xml:space="preserve"> lentelė). Kauno mieste nuo 201</w:t>
      </w:r>
      <w:r w:rsidR="00543F04">
        <w:rPr>
          <w:rFonts w:cs="Times New Roman"/>
        </w:rPr>
        <w:t>6</w:t>
      </w:r>
      <w:r w:rsidRPr="00BC1306">
        <w:rPr>
          <w:rFonts w:cs="Times New Roman"/>
        </w:rPr>
        <w:t xml:space="preserve"> m. ik</w:t>
      </w:r>
      <w:r w:rsidR="00A46942" w:rsidRPr="00BC1306">
        <w:rPr>
          <w:rFonts w:cs="Times New Roman"/>
        </w:rPr>
        <w:t>i 201</w:t>
      </w:r>
      <w:r w:rsidR="00543F04">
        <w:rPr>
          <w:rFonts w:cs="Times New Roman"/>
        </w:rPr>
        <w:t>9</w:t>
      </w:r>
      <w:r w:rsidR="00A46942" w:rsidRPr="00BC1306">
        <w:rPr>
          <w:rFonts w:cs="Times New Roman"/>
        </w:rPr>
        <w:t xml:space="preserve"> m. gyventojų</w:t>
      </w:r>
      <w:r w:rsidR="0040131E">
        <w:rPr>
          <w:rFonts w:cs="Times New Roman"/>
        </w:rPr>
        <w:t xml:space="preserve"> skaičius</w:t>
      </w:r>
      <w:r w:rsidR="00A46942" w:rsidRPr="00BC1306">
        <w:rPr>
          <w:rFonts w:cs="Times New Roman"/>
        </w:rPr>
        <w:t xml:space="preserve"> sumažėjo </w:t>
      </w:r>
      <w:r w:rsidR="000C4722">
        <w:rPr>
          <w:rFonts w:cs="Times New Roman"/>
        </w:rPr>
        <w:t>2,4</w:t>
      </w:r>
      <w:r w:rsidRPr="00BC1306">
        <w:rPr>
          <w:rFonts w:cs="Times New Roman"/>
        </w:rPr>
        <w:t xml:space="preserve"> proc. (</w:t>
      </w:r>
      <w:r w:rsidR="00722AA1">
        <w:rPr>
          <w:rFonts w:cs="Times New Roman"/>
        </w:rPr>
        <w:t>7 209</w:t>
      </w:r>
      <w:r w:rsidRPr="00BC1306">
        <w:rPr>
          <w:rFonts w:cs="Times New Roman"/>
        </w:rPr>
        <w:t xml:space="preserve"> gyventojais). Visoje Lietuvoje</w:t>
      </w:r>
      <w:r w:rsidR="003638AD">
        <w:rPr>
          <w:rFonts w:cs="Times New Roman"/>
        </w:rPr>
        <w:t>,</w:t>
      </w:r>
      <w:r w:rsidRPr="00BC1306">
        <w:rPr>
          <w:rFonts w:cs="Times New Roman"/>
        </w:rPr>
        <w:t xml:space="preserve"> per minėtą laikotarpį</w:t>
      </w:r>
      <w:r w:rsidR="003638AD">
        <w:rPr>
          <w:rFonts w:cs="Times New Roman"/>
        </w:rPr>
        <w:t>,</w:t>
      </w:r>
      <w:r w:rsidRPr="00BC1306">
        <w:rPr>
          <w:rFonts w:cs="Times New Roman"/>
        </w:rPr>
        <w:t xml:space="preserve"> gyventojų skaičius sumažėjo</w:t>
      </w:r>
      <w:r w:rsidR="00FF42D6">
        <w:rPr>
          <w:rFonts w:cs="Times New Roman"/>
        </w:rPr>
        <w:t xml:space="preserve"> </w:t>
      </w:r>
      <w:r w:rsidR="00EA00EB">
        <w:rPr>
          <w:rFonts w:cs="Times New Roman"/>
        </w:rPr>
        <w:t>2,6</w:t>
      </w:r>
      <w:r w:rsidR="00FF42D6">
        <w:rPr>
          <w:rFonts w:cs="Times New Roman"/>
        </w:rPr>
        <w:t xml:space="preserve"> proc.</w:t>
      </w:r>
      <w:r w:rsidRPr="00BC1306">
        <w:rPr>
          <w:rFonts w:cs="Times New Roman"/>
        </w:rPr>
        <w:t xml:space="preserve"> </w:t>
      </w:r>
      <w:r w:rsidR="00FF42D6">
        <w:rPr>
          <w:rFonts w:cs="Times New Roman"/>
        </w:rPr>
        <w:t>(</w:t>
      </w:r>
      <w:r w:rsidR="00722AA1">
        <w:rPr>
          <w:rFonts w:cs="Times New Roman"/>
        </w:rPr>
        <w:t>74 094</w:t>
      </w:r>
      <w:r w:rsidR="00FF42D6">
        <w:rPr>
          <w:rFonts w:cs="Times New Roman"/>
        </w:rPr>
        <w:t xml:space="preserve"> gyventojais)</w:t>
      </w:r>
      <w:r w:rsidRPr="00BC1306">
        <w:rPr>
          <w:rFonts w:cs="Times New Roman"/>
        </w:rPr>
        <w:t>.</w:t>
      </w:r>
    </w:p>
    <w:p w14:paraId="3D2BEC9A" w14:textId="77777777" w:rsidR="00550982" w:rsidRPr="00E92E3B" w:rsidRDefault="00550982" w:rsidP="00BC1306">
      <w:pPr>
        <w:spacing w:after="0"/>
        <w:ind w:firstLine="720"/>
        <w:jc w:val="both"/>
        <w:rPr>
          <w:rFonts w:cs="Times New Roman"/>
          <w:sz w:val="22"/>
        </w:rPr>
      </w:pPr>
    </w:p>
    <w:p w14:paraId="3D2BEC9B" w14:textId="491A2BE5" w:rsidR="00550982" w:rsidRPr="00BC1306" w:rsidRDefault="00550982" w:rsidP="00BC1306">
      <w:pPr>
        <w:spacing w:after="0"/>
        <w:jc w:val="right"/>
        <w:rPr>
          <w:rFonts w:cs="Times New Roman"/>
        </w:rPr>
      </w:pPr>
      <w:r w:rsidRPr="00BC1306">
        <w:rPr>
          <w:rFonts w:cs="Times New Roman"/>
        </w:rPr>
        <w:t>1 lentelė. Vidutinis metinis gyventojų skaičiu</w:t>
      </w:r>
      <w:r w:rsidR="00F618D3">
        <w:rPr>
          <w:rFonts w:cs="Times New Roman"/>
        </w:rPr>
        <w:t>s Kauno mieste ir Lietuvoje 201</w:t>
      </w:r>
      <w:r w:rsidR="0004678A">
        <w:rPr>
          <w:rFonts w:cs="Times New Roman"/>
        </w:rPr>
        <w:t>6</w:t>
      </w:r>
      <w:r w:rsidRPr="00BC1306">
        <w:rPr>
          <w:rFonts w:cs="Times New Roman"/>
        </w:rPr>
        <w:t>–201</w:t>
      </w:r>
      <w:r w:rsidR="0004678A">
        <w:rPr>
          <w:rFonts w:cs="Times New Roman"/>
        </w:rPr>
        <w:t>9</w:t>
      </w:r>
      <w:r w:rsidRPr="00BC1306">
        <w:rPr>
          <w:rFonts w:cs="Times New Roman"/>
        </w:rPr>
        <w:t xml:space="preserve"> m.</w:t>
      </w:r>
    </w:p>
    <w:tbl>
      <w:tblPr>
        <w:tblStyle w:val="4tinkleliolentel3parykinima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8"/>
        <w:gridCol w:w="3630"/>
        <w:gridCol w:w="3520"/>
      </w:tblGrid>
      <w:tr w:rsidR="00550982" w:rsidRPr="00BC1306" w14:paraId="3D2BEC9F" w14:textId="77777777" w:rsidTr="007A3A20">
        <w:trPr>
          <w:cnfStyle w:val="100000000000" w:firstRow="1" w:lastRow="0" w:firstColumn="0" w:lastColumn="0" w:oddVBand="0" w:evenVBand="0" w:oddHBand="0"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2858" w:type="dxa"/>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14:paraId="3D2BEC9C" w14:textId="77777777" w:rsidR="00550982" w:rsidRPr="00BC1306" w:rsidRDefault="00550982" w:rsidP="007A3A20">
            <w:pPr>
              <w:jc w:val="center"/>
              <w:rPr>
                <w:rFonts w:cs="Times New Roman"/>
                <w:color w:val="auto"/>
                <w:sz w:val="22"/>
              </w:rPr>
            </w:pPr>
            <w:r w:rsidRPr="00BC1306">
              <w:rPr>
                <w:rFonts w:cs="Times New Roman"/>
                <w:color w:val="auto"/>
                <w:sz w:val="22"/>
              </w:rPr>
              <w:t>Metai</w:t>
            </w:r>
          </w:p>
        </w:tc>
        <w:tc>
          <w:tcPr>
            <w:tcW w:w="3630" w:type="dxa"/>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14:paraId="3D2BEC9D" w14:textId="77777777" w:rsidR="00550982" w:rsidRPr="00BC1306" w:rsidRDefault="00550982" w:rsidP="007A3A20">
            <w:pPr>
              <w:jc w:val="center"/>
              <w:cnfStyle w:val="100000000000" w:firstRow="1" w:lastRow="0" w:firstColumn="0" w:lastColumn="0" w:oddVBand="0" w:evenVBand="0" w:oddHBand="0" w:evenHBand="0" w:firstRowFirstColumn="0" w:firstRowLastColumn="0" w:lastRowFirstColumn="0" w:lastRowLastColumn="0"/>
              <w:rPr>
                <w:rFonts w:cs="Times New Roman"/>
                <w:color w:val="auto"/>
                <w:sz w:val="22"/>
              </w:rPr>
            </w:pPr>
            <w:r w:rsidRPr="00BC1306">
              <w:rPr>
                <w:rFonts w:cs="Times New Roman"/>
                <w:color w:val="auto"/>
                <w:sz w:val="22"/>
              </w:rPr>
              <w:t>Kauno miesto savivaldybė</w:t>
            </w:r>
          </w:p>
        </w:tc>
        <w:tc>
          <w:tcPr>
            <w:tcW w:w="3520" w:type="dxa"/>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14:paraId="3D2BEC9E" w14:textId="77777777" w:rsidR="00550982" w:rsidRPr="00BC1306" w:rsidRDefault="00550982" w:rsidP="007A3A20">
            <w:pPr>
              <w:jc w:val="center"/>
              <w:cnfStyle w:val="100000000000" w:firstRow="1" w:lastRow="0" w:firstColumn="0" w:lastColumn="0" w:oddVBand="0" w:evenVBand="0" w:oddHBand="0" w:evenHBand="0" w:firstRowFirstColumn="0" w:firstRowLastColumn="0" w:lastRowFirstColumn="0" w:lastRowLastColumn="0"/>
              <w:rPr>
                <w:rFonts w:cs="Times New Roman"/>
                <w:color w:val="auto"/>
                <w:sz w:val="22"/>
              </w:rPr>
            </w:pPr>
            <w:r w:rsidRPr="00BC1306">
              <w:rPr>
                <w:rFonts w:cs="Times New Roman"/>
                <w:color w:val="auto"/>
                <w:sz w:val="22"/>
              </w:rPr>
              <w:t>Lietuva</w:t>
            </w:r>
          </w:p>
        </w:tc>
      </w:tr>
      <w:tr w:rsidR="00D06029" w:rsidRPr="00BC1306" w14:paraId="7134E92F" w14:textId="77777777" w:rsidTr="007A3A20">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858" w:type="dxa"/>
            <w:shd w:val="clear" w:color="auto" w:fill="auto"/>
            <w:vAlign w:val="center"/>
          </w:tcPr>
          <w:p w14:paraId="364B6FC9" w14:textId="47E1FD09" w:rsidR="00D06029" w:rsidRPr="00BC1306" w:rsidRDefault="00D06029" w:rsidP="007A3A20">
            <w:pPr>
              <w:jc w:val="center"/>
              <w:rPr>
                <w:rFonts w:cs="Times New Roman"/>
                <w:sz w:val="22"/>
              </w:rPr>
            </w:pPr>
            <w:r>
              <w:rPr>
                <w:rFonts w:cs="Times New Roman"/>
                <w:sz w:val="22"/>
              </w:rPr>
              <w:t>2019</w:t>
            </w:r>
          </w:p>
        </w:tc>
        <w:tc>
          <w:tcPr>
            <w:tcW w:w="3630" w:type="dxa"/>
            <w:shd w:val="clear" w:color="auto" w:fill="auto"/>
            <w:vAlign w:val="center"/>
          </w:tcPr>
          <w:p w14:paraId="070C4CD6" w14:textId="194E30E5" w:rsidR="00D06029" w:rsidRPr="00BC1306" w:rsidRDefault="00D06029" w:rsidP="007A3A20">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288 059</w:t>
            </w:r>
          </w:p>
        </w:tc>
        <w:tc>
          <w:tcPr>
            <w:tcW w:w="3520" w:type="dxa"/>
            <w:shd w:val="clear" w:color="auto" w:fill="auto"/>
            <w:vAlign w:val="center"/>
          </w:tcPr>
          <w:p w14:paraId="7DEC66E9" w14:textId="478F88C4" w:rsidR="00D06029" w:rsidRPr="00BC1306" w:rsidRDefault="0004678A" w:rsidP="007A3A20">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2 794 137</w:t>
            </w:r>
          </w:p>
        </w:tc>
      </w:tr>
      <w:tr w:rsidR="00550982" w:rsidRPr="00BC1306" w14:paraId="3D2BECA3" w14:textId="77777777" w:rsidTr="007A3A20">
        <w:trPr>
          <w:trHeight w:val="60"/>
        </w:trPr>
        <w:tc>
          <w:tcPr>
            <w:cnfStyle w:val="001000000000" w:firstRow="0" w:lastRow="0" w:firstColumn="1" w:lastColumn="0" w:oddVBand="0" w:evenVBand="0" w:oddHBand="0" w:evenHBand="0" w:firstRowFirstColumn="0" w:firstRowLastColumn="0" w:lastRowFirstColumn="0" w:lastRowLastColumn="0"/>
            <w:tcW w:w="2858" w:type="dxa"/>
            <w:shd w:val="clear" w:color="auto" w:fill="auto"/>
            <w:vAlign w:val="center"/>
          </w:tcPr>
          <w:p w14:paraId="3D2BECA0" w14:textId="77777777" w:rsidR="00550982" w:rsidRPr="00BC1306" w:rsidRDefault="00550982" w:rsidP="007A3A20">
            <w:pPr>
              <w:jc w:val="center"/>
              <w:rPr>
                <w:rFonts w:cs="Times New Roman"/>
                <w:sz w:val="22"/>
              </w:rPr>
            </w:pPr>
            <w:r w:rsidRPr="00BC1306">
              <w:rPr>
                <w:rFonts w:cs="Times New Roman"/>
                <w:sz w:val="22"/>
              </w:rPr>
              <w:t>2018</w:t>
            </w:r>
          </w:p>
        </w:tc>
        <w:tc>
          <w:tcPr>
            <w:tcW w:w="3630" w:type="dxa"/>
            <w:shd w:val="clear" w:color="auto" w:fill="auto"/>
            <w:vAlign w:val="center"/>
          </w:tcPr>
          <w:p w14:paraId="3D2BECA1" w14:textId="77777777" w:rsidR="00550982" w:rsidRPr="00BC1306" w:rsidRDefault="00550982" w:rsidP="007A3A20">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BC1306">
              <w:rPr>
                <w:rFonts w:cs="Times New Roman"/>
                <w:sz w:val="22"/>
              </w:rPr>
              <w:t>287 559</w:t>
            </w:r>
          </w:p>
        </w:tc>
        <w:tc>
          <w:tcPr>
            <w:tcW w:w="3520" w:type="dxa"/>
            <w:shd w:val="clear" w:color="auto" w:fill="auto"/>
            <w:vAlign w:val="center"/>
          </w:tcPr>
          <w:p w14:paraId="3D2BECA2" w14:textId="77777777" w:rsidR="00550982" w:rsidRPr="00BC1306" w:rsidRDefault="00550982" w:rsidP="007A3A20">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BC1306">
              <w:rPr>
                <w:rFonts w:cs="Times New Roman"/>
                <w:sz w:val="22"/>
              </w:rPr>
              <w:t>2 801 543</w:t>
            </w:r>
          </w:p>
        </w:tc>
      </w:tr>
      <w:tr w:rsidR="00550982" w:rsidRPr="00BC1306" w14:paraId="3D2BECA7" w14:textId="77777777" w:rsidTr="007A3A20">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858" w:type="dxa"/>
            <w:shd w:val="clear" w:color="auto" w:fill="auto"/>
            <w:vAlign w:val="center"/>
          </w:tcPr>
          <w:p w14:paraId="3D2BECA4" w14:textId="77777777" w:rsidR="00550982" w:rsidRPr="00BC1306" w:rsidRDefault="00550982" w:rsidP="007A3A20">
            <w:pPr>
              <w:jc w:val="center"/>
              <w:rPr>
                <w:rFonts w:cs="Times New Roman"/>
                <w:sz w:val="22"/>
              </w:rPr>
            </w:pPr>
            <w:r w:rsidRPr="00BC1306">
              <w:rPr>
                <w:rFonts w:cs="Times New Roman"/>
                <w:sz w:val="22"/>
              </w:rPr>
              <w:t>2017</w:t>
            </w:r>
          </w:p>
        </w:tc>
        <w:tc>
          <w:tcPr>
            <w:tcW w:w="3630" w:type="dxa"/>
            <w:shd w:val="clear" w:color="auto" w:fill="auto"/>
            <w:vAlign w:val="center"/>
          </w:tcPr>
          <w:p w14:paraId="3D2BECA5" w14:textId="77777777" w:rsidR="00550982" w:rsidRPr="00BC1306" w:rsidRDefault="00550982" w:rsidP="007A3A20">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BC1306">
              <w:rPr>
                <w:rFonts w:cs="Times New Roman"/>
                <w:sz w:val="22"/>
              </w:rPr>
              <w:t>290 527</w:t>
            </w:r>
          </w:p>
        </w:tc>
        <w:tc>
          <w:tcPr>
            <w:tcW w:w="3520" w:type="dxa"/>
            <w:shd w:val="clear" w:color="auto" w:fill="auto"/>
            <w:vAlign w:val="center"/>
          </w:tcPr>
          <w:p w14:paraId="3D2BECA6" w14:textId="77777777" w:rsidR="00550982" w:rsidRPr="00BC1306" w:rsidRDefault="00550982" w:rsidP="007A3A20">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BC1306">
              <w:rPr>
                <w:rFonts w:cs="Times New Roman"/>
                <w:sz w:val="22"/>
              </w:rPr>
              <w:t>2 828 403</w:t>
            </w:r>
          </w:p>
        </w:tc>
      </w:tr>
      <w:tr w:rsidR="00550982" w:rsidRPr="00BC1306" w14:paraId="3D2BECAB" w14:textId="77777777" w:rsidTr="007A3A20">
        <w:trPr>
          <w:trHeight w:val="60"/>
        </w:trPr>
        <w:tc>
          <w:tcPr>
            <w:cnfStyle w:val="001000000000" w:firstRow="0" w:lastRow="0" w:firstColumn="1" w:lastColumn="0" w:oddVBand="0" w:evenVBand="0" w:oddHBand="0" w:evenHBand="0" w:firstRowFirstColumn="0" w:firstRowLastColumn="0" w:lastRowFirstColumn="0" w:lastRowLastColumn="0"/>
            <w:tcW w:w="2858" w:type="dxa"/>
            <w:shd w:val="clear" w:color="auto" w:fill="auto"/>
            <w:vAlign w:val="center"/>
          </w:tcPr>
          <w:p w14:paraId="3D2BECA8" w14:textId="77777777" w:rsidR="00550982" w:rsidRPr="00BC1306" w:rsidRDefault="00550982" w:rsidP="007A3A20">
            <w:pPr>
              <w:jc w:val="center"/>
              <w:rPr>
                <w:rFonts w:cs="Times New Roman"/>
                <w:sz w:val="22"/>
              </w:rPr>
            </w:pPr>
            <w:r w:rsidRPr="00BC1306">
              <w:rPr>
                <w:rFonts w:cs="Times New Roman"/>
                <w:sz w:val="22"/>
              </w:rPr>
              <w:t>2016</w:t>
            </w:r>
          </w:p>
        </w:tc>
        <w:tc>
          <w:tcPr>
            <w:tcW w:w="3630" w:type="dxa"/>
            <w:shd w:val="clear" w:color="auto" w:fill="auto"/>
            <w:vAlign w:val="center"/>
          </w:tcPr>
          <w:p w14:paraId="3D2BECA9" w14:textId="77777777" w:rsidR="00550982" w:rsidRPr="00BC1306" w:rsidRDefault="00550982" w:rsidP="007A3A20">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BC1306">
              <w:rPr>
                <w:rFonts w:cs="Times New Roman"/>
                <w:sz w:val="22"/>
              </w:rPr>
              <w:t>295 268</w:t>
            </w:r>
          </w:p>
        </w:tc>
        <w:tc>
          <w:tcPr>
            <w:tcW w:w="3520" w:type="dxa"/>
            <w:shd w:val="clear" w:color="auto" w:fill="auto"/>
            <w:vAlign w:val="center"/>
          </w:tcPr>
          <w:p w14:paraId="3D2BECAA" w14:textId="77777777" w:rsidR="00550982" w:rsidRPr="00BC1306" w:rsidRDefault="00550982" w:rsidP="007A3A20">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BC1306">
              <w:rPr>
                <w:rFonts w:cs="Times New Roman"/>
                <w:sz w:val="22"/>
              </w:rPr>
              <w:t>2 868231</w:t>
            </w:r>
          </w:p>
        </w:tc>
      </w:tr>
    </w:tbl>
    <w:p w14:paraId="3D2BECB0" w14:textId="77777777" w:rsidR="00550982" w:rsidRPr="00BC1306" w:rsidRDefault="00550982" w:rsidP="007A3A20">
      <w:pPr>
        <w:pStyle w:val="Sraopastraipa"/>
        <w:spacing w:after="0" w:line="240" w:lineRule="auto"/>
        <w:jc w:val="right"/>
        <w:rPr>
          <w:rFonts w:cs="Times New Roman"/>
          <w:i/>
        </w:rPr>
      </w:pPr>
      <w:r w:rsidRPr="00BC1306">
        <w:rPr>
          <w:rFonts w:cs="Times New Roman"/>
          <w:i/>
        </w:rPr>
        <w:t>Šaltinis: Higienos instituto sveikatos informacijos centras</w:t>
      </w:r>
    </w:p>
    <w:p w14:paraId="3D2BECB1" w14:textId="77777777" w:rsidR="00550982" w:rsidRPr="00E92E3B" w:rsidRDefault="00550982" w:rsidP="00BC1306">
      <w:pPr>
        <w:spacing w:after="0"/>
        <w:rPr>
          <w:rFonts w:cs="Times New Roman"/>
          <w:sz w:val="22"/>
        </w:rPr>
      </w:pPr>
    </w:p>
    <w:p w14:paraId="3D2BECB2" w14:textId="3F026568" w:rsidR="00550982" w:rsidRPr="003638AD" w:rsidRDefault="00550982" w:rsidP="003638AD">
      <w:pPr>
        <w:spacing w:after="0"/>
        <w:ind w:firstLine="720"/>
        <w:jc w:val="both"/>
        <w:rPr>
          <w:rFonts w:cs="Times New Roman"/>
          <w:color w:val="000000" w:themeColor="text1"/>
        </w:rPr>
      </w:pPr>
      <w:r w:rsidRPr="00BC1306">
        <w:rPr>
          <w:rFonts w:cs="Times New Roman"/>
        </w:rPr>
        <w:t>Iš visų Kauno miesto savivaldybėje 201</w:t>
      </w:r>
      <w:r w:rsidR="00571286">
        <w:rPr>
          <w:rFonts w:cs="Times New Roman"/>
        </w:rPr>
        <w:t>9</w:t>
      </w:r>
      <w:r w:rsidRPr="00BC1306">
        <w:rPr>
          <w:rFonts w:cs="Times New Roman"/>
        </w:rPr>
        <w:t xml:space="preserve"> m. gyvenusių žmonių, vyrų dalis buvo </w:t>
      </w:r>
      <w:r w:rsidR="001050E5">
        <w:rPr>
          <w:rFonts w:cs="Times New Roman"/>
        </w:rPr>
        <w:t>44,14</w:t>
      </w:r>
      <w:r w:rsidR="00FF42D6">
        <w:rPr>
          <w:rFonts w:cs="Times New Roman"/>
        </w:rPr>
        <w:t xml:space="preserve"> proc., o moterų – </w:t>
      </w:r>
      <w:r w:rsidR="00571286">
        <w:rPr>
          <w:rFonts w:cs="Times New Roman"/>
        </w:rPr>
        <w:t>55,86</w:t>
      </w:r>
      <w:r w:rsidR="00FF42D6">
        <w:rPr>
          <w:rFonts w:cs="Times New Roman"/>
        </w:rPr>
        <w:t xml:space="preserve"> proc. </w:t>
      </w:r>
      <w:r w:rsidRPr="00BC1306">
        <w:rPr>
          <w:rFonts w:cs="Times New Roman"/>
          <w:color w:val="000000" w:themeColor="text1"/>
        </w:rPr>
        <w:t>Pagal amžiaus grupes, Kauno miesto savivaldybėje 201</w:t>
      </w:r>
      <w:r w:rsidR="00044C09">
        <w:rPr>
          <w:rFonts w:cs="Times New Roman"/>
          <w:color w:val="000000" w:themeColor="text1"/>
        </w:rPr>
        <w:t>9</w:t>
      </w:r>
      <w:r w:rsidRPr="00BC1306">
        <w:rPr>
          <w:rFonts w:cs="Times New Roman"/>
          <w:color w:val="000000" w:themeColor="text1"/>
        </w:rPr>
        <w:t xml:space="preserve"> m. daugiausia gyveno 18–44 metų amžiaus gyventojų, mažiausiai</w:t>
      </w:r>
      <w:r w:rsidR="003638AD">
        <w:rPr>
          <w:rFonts w:cs="Times New Roman"/>
          <w:color w:val="000000" w:themeColor="text1"/>
        </w:rPr>
        <w:t xml:space="preserve"> –</w:t>
      </w:r>
      <w:r w:rsidRPr="00BC1306">
        <w:rPr>
          <w:rFonts w:cs="Times New Roman"/>
          <w:color w:val="000000" w:themeColor="text1"/>
        </w:rPr>
        <w:t xml:space="preserve"> iki 17 metų (2 lentelė).</w:t>
      </w:r>
    </w:p>
    <w:p w14:paraId="3D2BECB3" w14:textId="77777777" w:rsidR="00550982" w:rsidRPr="00E92E3B" w:rsidRDefault="00550982" w:rsidP="00BC1306">
      <w:pPr>
        <w:spacing w:after="0"/>
        <w:rPr>
          <w:rFonts w:cs="Times New Roman"/>
          <w:sz w:val="22"/>
        </w:rPr>
      </w:pPr>
    </w:p>
    <w:p w14:paraId="3D2BECB4" w14:textId="7B7A6E03" w:rsidR="00550982" w:rsidRPr="00BC1306" w:rsidRDefault="00550982" w:rsidP="00BC1306">
      <w:pPr>
        <w:spacing w:after="0"/>
        <w:jc w:val="right"/>
        <w:rPr>
          <w:rFonts w:cs="Times New Roman"/>
        </w:rPr>
      </w:pPr>
      <w:r w:rsidRPr="00BC1306">
        <w:rPr>
          <w:rFonts w:cs="Times New Roman"/>
        </w:rPr>
        <w:t>2 lentelė. Kauno miesto gyventojų pasiskirstymas pagal amžiaus grupes 201</w:t>
      </w:r>
      <w:r w:rsidR="00044C09">
        <w:rPr>
          <w:rFonts w:cs="Times New Roman"/>
        </w:rPr>
        <w:t>4</w:t>
      </w:r>
      <w:r w:rsidRPr="00BC1306">
        <w:rPr>
          <w:rFonts w:cs="Times New Roman"/>
        </w:rPr>
        <w:t>–201</w:t>
      </w:r>
      <w:r w:rsidR="00044C09">
        <w:rPr>
          <w:rFonts w:cs="Times New Roman"/>
        </w:rPr>
        <w:t>9</w:t>
      </w:r>
      <w:r w:rsidRPr="00BC1306">
        <w:rPr>
          <w:rFonts w:cs="Times New Roman"/>
        </w:rPr>
        <w:t xml:space="preserve"> m., proc.</w:t>
      </w:r>
    </w:p>
    <w:tbl>
      <w:tblPr>
        <w:tblStyle w:val="4tinkleliolentel3parykinima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6"/>
        <w:gridCol w:w="968"/>
        <w:gridCol w:w="1000"/>
        <w:gridCol w:w="1092"/>
        <w:gridCol w:w="1092"/>
        <w:gridCol w:w="1092"/>
        <w:gridCol w:w="1092"/>
      </w:tblGrid>
      <w:tr w:rsidR="00550982" w:rsidRPr="00BC1306" w14:paraId="3D2BECB7" w14:textId="77777777" w:rsidTr="00D851D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28" w:type="dxa"/>
            <w:vMerge w:val="restart"/>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14:paraId="3D2BECB5" w14:textId="77777777" w:rsidR="00550982" w:rsidRPr="00BC1306" w:rsidRDefault="00550982" w:rsidP="00BC1306">
            <w:pPr>
              <w:jc w:val="center"/>
              <w:rPr>
                <w:rFonts w:cs="Times New Roman"/>
                <w:color w:val="auto"/>
                <w:sz w:val="22"/>
              </w:rPr>
            </w:pPr>
            <w:r w:rsidRPr="00BC1306">
              <w:rPr>
                <w:rFonts w:cs="Times New Roman"/>
                <w:color w:val="auto"/>
                <w:sz w:val="22"/>
              </w:rPr>
              <w:t>Amžiaus grupės</w:t>
            </w:r>
          </w:p>
        </w:tc>
        <w:tc>
          <w:tcPr>
            <w:tcW w:w="6380" w:type="dxa"/>
            <w:gridSpan w:val="6"/>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14:paraId="3D2BECB6" w14:textId="77777777" w:rsidR="00550982" w:rsidRPr="00BC1306" w:rsidRDefault="00550982" w:rsidP="00BC1306">
            <w:pPr>
              <w:jc w:val="center"/>
              <w:cnfStyle w:val="100000000000" w:firstRow="1" w:lastRow="0" w:firstColumn="0" w:lastColumn="0" w:oddVBand="0" w:evenVBand="0" w:oddHBand="0" w:evenHBand="0" w:firstRowFirstColumn="0" w:firstRowLastColumn="0" w:lastRowFirstColumn="0" w:lastRowLastColumn="0"/>
              <w:rPr>
                <w:rFonts w:cs="Times New Roman"/>
                <w:color w:val="auto"/>
                <w:sz w:val="22"/>
              </w:rPr>
            </w:pPr>
            <w:r w:rsidRPr="00BC1306">
              <w:rPr>
                <w:rFonts w:cs="Times New Roman"/>
                <w:color w:val="auto"/>
                <w:sz w:val="22"/>
              </w:rPr>
              <w:t>Metai</w:t>
            </w:r>
          </w:p>
        </w:tc>
      </w:tr>
      <w:tr w:rsidR="001B3EFE" w:rsidRPr="00BC1306" w14:paraId="3D2BECBF" w14:textId="77777777" w:rsidTr="00D851D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28" w:type="dxa"/>
            <w:vMerge/>
            <w:shd w:val="clear" w:color="auto" w:fill="D6E3BC" w:themeFill="accent3" w:themeFillTint="66"/>
            <w:vAlign w:val="center"/>
          </w:tcPr>
          <w:p w14:paraId="3D2BECB8" w14:textId="77777777" w:rsidR="001B3EFE" w:rsidRPr="00BC1306" w:rsidRDefault="001B3EFE" w:rsidP="001B3EFE">
            <w:pPr>
              <w:jc w:val="center"/>
              <w:rPr>
                <w:rFonts w:cs="Times New Roman"/>
                <w:sz w:val="22"/>
              </w:rPr>
            </w:pPr>
          </w:p>
        </w:tc>
        <w:tc>
          <w:tcPr>
            <w:tcW w:w="974" w:type="dxa"/>
            <w:shd w:val="clear" w:color="auto" w:fill="D6E3BC" w:themeFill="accent3" w:themeFillTint="66"/>
            <w:vAlign w:val="center"/>
          </w:tcPr>
          <w:p w14:paraId="3D2BECB9" w14:textId="040685F9" w:rsidR="001B3EFE" w:rsidRPr="00087BCA" w:rsidRDefault="001B3EFE" w:rsidP="001B3EFE">
            <w:pPr>
              <w:jc w:val="center"/>
              <w:cnfStyle w:val="000000100000" w:firstRow="0" w:lastRow="0" w:firstColumn="0" w:lastColumn="0" w:oddVBand="0" w:evenVBand="0" w:oddHBand="1" w:evenHBand="0" w:firstRowFirstColumn="0" w:firstRowLastColumn="0" w:lastRowFirstColumn="0" w:lastRowLastColumn="0"/>
              <w:rPr>
                <w:rFonts w:cs="Times New Roman"/>
                <w:b/>
                <w:sz w:val="22"/>
              </w:rPr>
            </w:pPr>
            <w:r w:rsidRPr="00087BCA">
              <w:rPr>
                <w:rFonts w:cs="Times New Roman"/>
                <w:b/>
                <w:sz w:val="22"/>
              </w:rPr>
              <w:t>2014</w:t>
            </w:r>
          </w:p>
        </w:tc>
        <w:tc>
          <w:tcPr>
            <w:tcW w:w="1006" w:type="dxa"/>
            <w:shd w:val="clear" w:color="auto" w:fill="D6E3BC" w:themeFill="accent3" w:themeFillTint="66"/>
            <w:vAlign w:val="center"/>
          </w:tcPr>
          <w:p w14:paraId="3D2BECBA" w14:textId="094E663F" w:rsidR="001B3EFE" w:rsidRPr="00087BCA" w:rsidRDefault="001B3EFE" w:rsidP="001B3EFE">
            <w:pPr>
              <w:jc w:val="center"/>
              <w:cnfStyle w:val="000000100000" w:firstRow="0" w:lastRow="0" w:firstColumn="0" w:lastColumn="0" w:oddVBand="0" w:evenVBand="0" w:oddHBand="1" w:evenHBand="0" w:firstRowFirstColumn="0" w:firstRowLastColumn="0" w:lastRowFirstColumn="0" w:lastRowLastColumn="0"/>
              <w:rPr>
                <w:rFonts w:cs="Times New Roman"/>
                <w:b/>
                <w:sz w:val="22"/>
              </w:rPr>
            </w:pPr>
            <w:r w:rsidRPr="00087BCA">
              <w:rPr>
                <w:rFonts w:cs="Times New Roman"/>
                <w:b/>
                <w:sz w:val="22"/>
              </w:rPr>
              <w:t>2015</w:t>
            </w:r>
          </w:p>
        </w:tc>
        <w:tc>
          <w:tcPr>
            <w:tcW w:w="1100" w:type="dxa"/>
            <w:shd w:val="clear" w:color="auto" w:fill="D6E3BC" w:themeFill="accent3" w:themeFillTint="66"/>
            <w:vAlign w:val="center"/>
          </w:tcPr>
          <w:p w14:paraId="3D2BECBB" w14:textId="1FB528A0" w:rsidR="001B3EFE" w:rsidRPr="00087BCA" w:rsidRDefault="001B3EFE" w:rsidP="001B3EFE">
            <w:pPr>
              <w:jc w:val="center"/>
              <w:cnfStyle w:val="000000100000" w:firstRow="0" w:lastRow="0" w:firstColumn="0" w:lastColumn="0" w:oddVBand="0" w:evenVBand="0" w:oddHBand="1" w:evenHBand="0" w:firstRowFirstColumn="0" w:firstRowLastColumn="0" w:lastRowFirstColumn="0" w:lastRowLastColumn="0"/>
              <w:rPr>
                <w:rFonts w:cs="Times New Roman"/>
                <w:b/>
                <w:sz w:val="22"/>
              </w:rPr>
            </w:pPr>
            <w:r w:rsidRPr="00087BCA">
              <w:rPr>
                <w:rFonts w:cs="Times New Roman"/>
                <w:b/>
                <w:sz w:val="22"/>
              </w:rPr>
              <w:t>2016</w:t>
            </w:r>
          </w:p>
        </w:tc>
        <w:tc>
          <w:tcPr>
            <w:tcW w:w="1100" w:type="dxa"/>
            <w:shd w:val="clear" w:color="auto" w:fill="D6E3BC" w:themeFill="accent3" w:themeFillTint="66"/>
            <w:vAlign w:val="center"/>
          </w:tcPr>
          <w:p w14:paraId="3D2BECBC" w14:textId="03E43C46" w:rsidR="001B3EFE" w:rsidRPr="00087BCA" w:rsidRDefault="001B3EFE" w:rsidP="001B3EFE">
            <w:pPr>
              <w:jc w:val="center"/>
              <w:cnfStyle w:val="000000100000" w:firstRow="0" w:lastRow="0" w:firstColumn="0" w:lastColumn="0" w:oddVBand="0" w:evenVBand="0" w:oddHBand="1" w:evenHBand="0" w:firstRowFirstColumn="0" w:firstRowLastColumn="0" w:lastRowFirstColumn="0" w:lastRowLastColumn="0"/>
              <w:rPr>
                <w:rFonts w:cs="Times New Roman"/>
                <w:b/>
                <w:sz w:val="22"/>
              </w:rPr>
            </w:pPr>
            <w:r w:rsidRPr="00087BCA">
              <w:rPr>
                <w:rFonts w:cs="Times New Roman"/>
                <w:b/>
                <w:sz w:val="22"/>
              </w:rPr>
              <w:t>2017</w:t>
            </w:r>
          </w:p>
        </w:tc>
        <w:tc>
          <w:tcPr>
            <w:tcW w:w="1100" w:type="dxa"/>
            <w:shd w:val="clear" w:color="auto" w:fill="D6E3BC" w:themeFill="accent3" w:themeFillTint="66"/>
            <w:vAlign w:val="center"/>
          </w:tcPr>
          <w:p w14:paraId="3D2BECBD" w14:textId="65E8FB1B" w:rsidR="001B3EFE" w:rsidRPr="00087BCA" w:rsidRDefault="001B3EFE" w:rsidP="001B3EFE">
            <w:pPr>
              <w:jc w:val="center"/>
              <w:cnfStyle w:val="000000100000" w:firstRow="0" w:lastRow="0" w:firstColumn="0" w:lastColumn="0" w:oddVBand="0" w:evenVBand="0" w:oddHBand="1" w:evenHBand="0" w:firstRowFirstColumn="0" w:firstRowLastColumn="0" w:lastRowFirstColumn="0" w:lastRowLastColumn="0"/>
              <w:rPr>
                <w:rFonts w:cs="Times New Roman"/>
                <w:b/>
                <w:sz w:val="22"/>
              </w:rPr>
            </w:pPr>
            <w:r w:rsidRPr="00087BCA">
              <w:rPr>
                <w:rFonts w:cs="Times New Roman"/>
                <w:b/>
                <w:sz w:val="22"/>
              </w:rPr>
              <w:t>2018</w:t>
            </w:r>
          </w:p>
        </w:tc>
        <w:tc>
          <w:tcPr>
            <w:tcW w:w="1100" w:type="dxa"/>
            <w:shd w:val="clear" w:color="auto" w:fill="D6E3BC" w:themeFill="accent3" w:themeFillTint="66"/>
            <w:vAlign w:val="center"/>
          </w:tcPr>
          <w:p w14:paraId="3D2BECBE" w14:textId="179E3A3F" w:rsidR="001B3EFE" w:rsidRPr="00087BCA" w:rsidRDefault="001B3EFE" w:rsidP="001B3EFE">
            <w:pPr>
              <w:jc w:val="center"/>
              <w:cnfStyle w:val="000000100000" w:firstRow="0" w:lastRow="0" w:firstColumn="0" w:lastColumn="0" w:oddVBand="0" w:evenVBand="0" w:oddHBand="1" w:evenHBand="0" w:firstRowFirstColumn="0" w:firstRowLastColumn="0" w:lastRowFirstColumn="0" w:lastRowLastColumn="0"/>
              <w:rPr>
                <w:rFonts w:cs="Times New Roman"/>
                <w:b/>
                <w:sz w:val="22"/>
              </w:rPr>
            </w:pPr>
            <w:r>
              <w:rPr>
                <w:rFonts w:cs="Times New Roman"/>
                <w:b/>
                <w:sz w:val="22"/>
              </w:rPr>
              <w:t>2019</w:t>
            </w:r>
          </w:p>
        </w:tc>
      </w:tr>
      <w:tr w:rsidR="001B3EFE" w:rsidRPr="00BC1306" w14:paraId="3D2BECC7" w14:textId="77777777" w:rsidTr="00D851D0">
        <w:trPr>
          <w:trHeight w:val="20"/>
        </w:trPr>
        <w:tc>
          <w:tcPr>
            <w:cnfStyle w:val="001000000000" w:firstRow="0" w:lastRow="0" w:firstColumn="1" w:lastColumn="0" w:oddVBand="0" w:evenVBand="0" w:oddHBand="0" w:evenHBand="0" w:firstRowFirstColumn="0" w:firstRowLastColumn="0" w:lastRowFirstColumn="0" w:lastRowLastColumn="0"/>
            <w:tcW w:w="3628" w:type="dxa"/>
            <w:shd w:val="clear" w:color="auto" w:fill="auto"/>
            <w:vAlign w:val="center"/>
          </w:tcPr>
          <w:p w14:paraId="3D2BECC0" w14:textId="77777777" w:rsidR="001B3EFE" w:rsidRPr="00BC1306" w:rsidRDefault="001B3EFE" w:rsidP="001B3EFE">
            <w:pPr>
              <w:jc w:val="center"/>
              <w:rPr>
                <w:rFonts w:cs="Times New Roman"/>
                <w:b w:val="0"/>
                <w:sz w:val="22"/>
              </w:rPr>
            </w:pPr>
            <w:r w:rsidRPr="00BC1306">
              <w:rPr>
                <w:rFonts w:cs="Times New Roman"/>
                <w:b w:val="0"/>
                <w:sz w:val="22"/>
              </w:rPr>
              <w:t>Gyventojai 0-17 metų amžiaus</w:t>
            </w:r>
          </w:p>
        </w:tc>
        <w:tc>
          <w:tcPr>
            <w:tcW w:w="974" w:type="dxa"/>
            <w:shd w:val="clear" w:color="auto" w:fill="auto"/>
            <w:vAlign w:val="center"/>
          </w:tcPr>
          <w:p w14:paraId="3D2BECC1" w14:textId="35F6250F" w:rsidR="001B3EFE" w:rsidRPr="00BC1306" w:rsidRDefault="001B3EFE" w:rsidP="001B3EFE">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BC1306">
              <w:rPr>
                <w:rFonts w:cs="Times New Roman"/>
                <w:sz w:val="22"/>
              </w:rPr>
              <w:t>17,18</w:t>
            </w:r>
          </w:p>
        </w:tc>
        <w:tc>
          <w:tcPr>
            <w:tcW w:w="1006" w:type="dxa"/>
            <w:shd w:val="clear" w:color="auto" w:fill="auto"/>
            <w:vAlign w:val="center"/>
          </w:tcPr>
          <w:p w14:paraId="3D2BECC2" w14:textId="3EF879A8" w:rsidR="001B3EFE" w:rsidRPr="00BC1306" w:rsidRDefault="001B3EFE" w:rsidP="001B3EFE">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BC1306">
              <w:rPr>
                <w:rFonts w:cs="Times New Roman"/>
                <w:sz w:val="22"/>
              </w:rPr>
              <w:t>17,17</w:t>
            </w:r>
          </w:p>
        </w:tc>
        <w:tc>
          <w:tcPr>
            <w:tcW w:w="1100" w:type="dxa"/>
            <w:shd w:val="clear" w:color="auto" w:fill="auto"/>
            <w:vAlign w:val="center"/>
          </w:tcPr>
          <w:p w14:paraId="3D2BECC3" w14:textId="5D5FE743" w:rsidR="001B3EFE" w:rsidRPr="00BC1306" w:rsidRDefault="001B3EFE" w:rsidP="001B3EFE">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BC1306">
              <w:rPr>
                <w:rFonts w:cs="Times New Roman"/>
                <w:sz w:val="22"/>
              </w:rPr>
              <w:t>17,18</w:t>
            </w:r>
          </w:p>
        </w:tc>
        <w:tc>
          <w:tcPr>
            <w:tcW w:w="1100" w:type="dxa"/>
            <w:shd w:val="clear" w:color="auto" w:fill="auto"/>
            <w:vAlign w:val="center"/>
          </w:tcPr>
          <w:p w14:paraId="3D2BECC4" w14:textId="4337EF40" w:rsidR="001B3EFE" w:rsidRPr="00BC1306" w:rsidRDefault="001B3EFE" w:rsidP="001B3EFE">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BC1306">
              <w:rPr>
                <w:rFonts w:cs="Times New Roman"/>
                <w:sz w:val="22"/>
              </w:rPr>
              <w:t>17,2</w:t>
            </w:r>
          </w:p>
        </w:tc>
        <w:tc>
          <w:tcPr>
            <w:tcW w:w="1100" w:type="dxa"/>
            <w:shd w:val="clear" w:color="auto" w:fill="auto"/>
            <w:vAlign w:val="center"/>
          </w:tcPr>
          <w:p w14:paraId="3D2BECC5" w14:textId="53E23208" w:rsidR="001B3EFE" w:rsidRPr="00BC1306" w:rsidRDefault="001B3EFE" w:rsidP="001B3EFE">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BC1306">
              <w:rPr>
                <w:rFonts w:cs="Times New Roman"/>
                <w:sz w:val="22"/>
              </w:rPr>
              <w:t>17,31</w:t>
            </w:r>
          </w:p>
        </w:tc>
        <w:tc>
          <w:tcPr>
            <w:tcW w:w="1100" w:type="dxa"/>
            <w:shd w:val="clear" w:color="auto" w:fill="auto"/>
            <w:vAlign w:val="center"/>
          </w:tcPr>
          <w:p w14:paraId="3D2BECC6" w14:textId="76EC185F" w:rsidR="001B3EFE" w:rsidRPr="00BC1306" w:rsidRDefault="001B3EFE" w:rsidP="001B3EFE">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17,47</w:t>
            </w:r>
          </w:p>
        </w:tc>
      </w:tr>
      <w:tr w:rsidR="001B3EFE" w:rsidRPr="00BC1306" w14:paraId="3D2BECCF" w14:textId="77777777" w:rsidTr="00D851D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28" w:type="dxa"/>
            <w:shd w:val="clear" w:color="auto" w:fill="auto"/>
            <w:vAlign w:val="center"/>
          </w:tcPr>
          <w:p w14:paraId="3D2BECC8" w14:textId="77777777" w:rsidR="001B3EFE" w:rsidRPr="00BC1306" w:rsidRDefault="001B3EFE" w:rsidP="001B3EFE">
            <w:pPr>
              <w:jc w:val="center"/>
              <w:rPr>
                <w:rFonts w:cs="Times New Roman"/>
                <w:b w:val="0"/>
                <w:sz w:val="22"/>
              </w:rPr>
            </w:pPr>
            <w:r w:rsidRPr="00BC1306">
              <w:rPr>
                <w:rFonts w:cs="Times New Roman"/>
                <w:b w:val="0"/>
                <w:sz w:val="22"/>
              </w:rPr>
              <w:t>Gyventojai 18–44 metų amžiaus</w:t>
            </w:r>
          </w:p>
        </w:tc>
        <w:tc>
          <w:tcPr>
            <w:tcW w:w="974" w:type="dxa"/>
            <w:shd w:val="clear" w:color="auto" w:fill="auto"/>
            <w:vAlign w:val="center"/>
          </w:tcPr>
          <w:p w14:paraId="3D2BECC9" w14:textId="27A63732" w:rsidR="001B3EFE" w:rsidRPr="00BC1306" w:rsidRDefault="001B3EFE" w:rsidP="001B3EFE">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BC1306">
              <w:rPr>
                <w:rFonts w:cs="Times New Roman"/>
                <w:sz w:val="22"/>
              </w:rPr>
              <w:t>36,56</w:t>
            </w:r>
          </w:p>
        </w:tc>
        <w:tc>
          <w:tcPr>
            <w:tcW w:w="1006" w:type="dxa"/>
            <w:shd w:val="clear" w:color="auto" w:fill="auto"/>
            <w:vAlign w:val="center"/>
          </w:tcPr>
          <w:p w14:paraId="3D2BECCA" w14:textId="2EA04E49" w:rsidR="001B3EFE" w:rsidRPr="00BC1306" w:rsidRDefault="001B3EFE" w:rsidP="001B3EFE">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BC1306">
              <w:rPr>
                <w:rFonts w:cs="Times New Roman"/>
                <w:sz w:val="22"/>
              </w:rPr>
              <w:t>36,31</w:t>
            </w:r>
          </w:p>
        </w:tc>
        <w:tc>
          <w:tcPr>
            <w:tcW w:w="1100" w:type="dxa"/>
            <w:shd w:val="clear" w:color="auto" w:fill="auto"/>
            <w:vAlign w:val="center"/>
          </w:tcPr>
          <w:p w14:paraId="3D2BECCB" w14:textId="56E8072E" w:rsidR="001B3EFE" w:rsidRPr="00BC1306" w:rsidRDefault="001B3EFE" w:rsidP="001B3EFE">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BC1306">
              <w:rPr>
                <w:rFonts w:cs="Times New Roman"/>
                <w:sz w:val="22"/>
              </w:rPr>
              <w:t>35,93</w:t>
            </w:r>
          </w:p>
        </w:tc>
        <w:tc>
          <w:tcPr>
            <w:tcW w:w="1100" w:type="dxa"/>
            <w:shd w:val="clear" w:color="auto" w:fill="auto"/>
            <w:vAlign w:val="center"/>
          </w:tcPr>
          <w:p w14:paraId="3D2BECCC" w14:textId="1E68668D" w:rsidR="001B3EFE" w:rsidRPr="00BC1306" w:rsidRDefault="001B3EFE" w:rsidP="001B3EFE">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BC1306">
              <w:rPr>
                <w:rFonts w:cs="Times New Roman"/>
                <w:sz w:val="22"/>
              </w:rPr>
              <w:t>35,54</w:t>
            </w:r>
          </w:p>
        </w:tc>
        <w:tc>
          <w:tcPr>
            <w:tcW w:w="1100" w:type="dxa"/>
            <w:shd w:val="clear" w:color="auto" w:fill="auto"/>
            <w:vAlign w:val="center"/>
          </w:tcPr>
          <w:p w14:paraId="3D2BECCD" w14:textId="2632E5D9" w:rsidR="001B3EFE" w:rsidRPr="00BC1306" w:rsidRDefault="001B3EFE" w:rsidP="001B3EFE">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BC1306">
              <w:rPr>
                <w:rFonts w:cs="Times New Roman"/>
                <w:sz w:val="22"/>
              </w:rPr>
              <w:t>35,36</w:t>
            </w:r>
          </w:p>
        </w:tc>
        <w:tc>
          <w:tcPr>
            <w:tcW w:w="1100" w:type="dxa"/>
            <w:shd w:val="clear" w:color="auto" w:fill="auto"/>
            <w:vAlign w:val="center"/>
          </w:tcPr>
          <w:p w14:paraId="3D2BECCE" w14:textId="13EEF830" w:rsidR="001B3EFE" w:rsidRPr="00BC1306" w:rsidRDefault="00B04FEF" w:rsidP="001B3EFE">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35,51</w:t>
            </w:r>
          </w:p>
        </w:tc>
      </w:tr>
      <w:tr w:rsidR="001B3EFE" w:rsidRPr="00BC1306" w14:paraId="3D2BECD7" w14:textId="77777777" w:rsidTr="00D851D0">
        <w:trPr>
          <w:trHeight w:val="20"/>
        </w:trPr>
        <w:tc>
          <w:tcPr>
            <w:cnfStyle w:val="001000000000" w:firstRow="0" w:lastRow="0" w:firstColumn="1" w:lastColumn="0" w:oddVBand="0" w:evenVBand="0" w:oddHBand="0" w:evenHBand="0" w:firstRowFirstColumn="0" w:firstRowLastColumn="0" w:lastRowFirstColumn="0" w:lastRowLastColumn="0"/>
            <w:tcW w:w="3628" w:type="dxa"/>
            <w:shd w:val="clear" w:color="auto" w:fill="auto"/>
            <w:vAlign w:val="center"/>
          </w:tcPr>
          <w:p w14:paraId="3D2BECD0" w14:textId="77777777" w:rsidR="001B3EFE" w:rsidRPr="00BC1306" w:rsidRDefault="001B3EFE" w:rsidP="001B3EFE">
            <w:pPr>
              <w:jc w:val="center"/>
              <w:rPr>
                <w:rFonts w:cs="Times New Roman"/>
                <w:b w:val="0"/>
                <w:sz w:val="22"/>
              </w:rPr>
            </w:pPr>
            <w:r w:rsidRPr="00BC1306">
              <w:rPr>
                <w:rFonts w:cs="Times New Roman"/>
                <w:b w:val="0"/>
                <w:sz w:val="22"/>
              </w:rPr>
              <w:t>Gyventojai 45–64 metų amžiaus</w:t>
            </w:r>
          </w:p>
        </w:tc>
        <w:tc>
          <w:tcPr>
            <w:tcW w:w="974" w:type="dxa"/>
            <w:shd w:val="clear" w:color="auto" w:fill="auto"/>
            <w:vAlign w:val="center"/>
          </w:tcPr>
          <w:p w14:paraId="3D2BECD1" w14:textId="09A87945" w:rsidR="001B3EFE" w:rsidRPr="00BC1306" w:rsidRDefault="001B3EFE" w:rsidP="001B3EFE">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BC1306">
              <w:rPr>
                <w:rFonts w:cs="Times New Roman"/>
                <w:sz w:val="22"/>
              </w:rPr>
              <w:t>26,52</w:t>
            </w:r>
          </w:p>
        </w:tc>
        <w:tc>
          <w:tcPr>
            <w:tcW w:w="1006" w:type="dxa"/>
            <w:shd w:val="clear" w:color="auto" w:fill="auto"/>
            <w:vAlign w:val="center"/>
          </w:tcPr>
          <w:p w14:paraId="3D2BECD2" w14:textId="1F4111D4" w:rsidR="001B3EFE" w:rsidRPr="00BC1306" w:rsidRDefault="001B3EFE" w:rsidP="001B3EFE">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BC1306">
              <w:rPr>
                <w:rFonts w:cs="Times New Roman"/>
                <w:sz w:val="22"/>
              </w:rPr>
              <w:t>26,46</w:t>
            </w:r>
          </w:p>
        </w:tc>
        <w:tc>
          <w:tcPr>
            <w:tcW w:w="1100" w:type="dxa"/>
            <w:shd w:val="clear" w:color="auto" w:fill="auto"/>
            <w:vAlign w:val="center"/>
          </w:tcPr>
          <w:p w14:paraId="3D2BECD3" w14:textId="1E55A99D" w:rsidR="001B3EFE" w:rsidRPr="00BC1306" w:rsidRDefault="001B3EFE" w:rsidP="001B3EFE">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BC1306">
              <w:rPr>
                <w:rFonts w:cs="Times New Roman"/>
                <w:sz w:val="22"/>
              </w:rPr>
              <w:t>26,5</w:t>
            </w:r>
          </w:p>
        </w:tc>
        <w:tc>
          <w:tcPr>
            <w:tcW w:w="1100" w:type="dxa"/>
            <w:shd w:val="clear" w:color="auto" w:fill="auto"/>
            <w:vAlign w:val="center"/>
          </w:tcPr>
          <w:p w14:paraId="3D2BECD4" w14:textId="5758BD55" w:rsidR="001B3EFE" w:rsidRPr="00BC1306" w:rsidRDefault="001B3EFE" w:rsidP="001B3EFE">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BC1306">
              <w:rPr>
                <w:rFonts w:cs="Times New Roman"/>
                <w:sz w:val="22"/>
              </w:rPr>
              <w:t>26,55</w:t>
            </w:r>
          </w:p>
        </w:tc>
        <w:tc>
          <w:tcPr>
            <w:tcW w:w="1100" w:type="dxa"/>
            <w:shd w:val="clear" w:color="auto" w:fill="auto"/>
            <w:vAlign w:val="center"/>
          </w:tcPr>
          <w:p w14:paraId="3D2BECD5" w14:textId="026442CB" w:rsidR="001B3EFE" w:rsidRPr="00BC1306" w:rsidRDefault="001B3EFE" w:rsidP="001B3EFE">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BC1306">
              <w:rPr>
                <w:rFonts w:cs="Times New Roman"/>
                <w:sz w:val="22"/>
              </w:rPr>
              <w:t>26,47</w:t>
            </w:r>
          </w:p>
        </w:tc>
        <w:tc>
          <w:tcPr>
            <w:tcW w:w="1100" w:type="dxa"/>
            <w:shd w:val="clear" w:color="auto" w:fill="auto"/>
            <w:vAlign w:val="center"/>
          </w:tcPr>
          <w:p w14:paraId="3D2BECD6" w14:textId="29456D1E" w:rsidR="001B3EFE" w:rsidRPr="00BC1306" w:rsidRDefault="00B04FEF" w:rsidP="001B3EFE">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26,23</w:t>
            </w:r>
          </w:p>
        </w:tc>
      </w:tr>
      <w:tr w:rsidR="001B3EFE" w:rsidRPr="00BC1306" w14:paraId="3D2BECDF" w14:textId="77777777" w:rsidTr="00D851D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28" w:type="dxa"/>
            <w:shd w:val="clear" w:color="auto" w:fill="auto"/>
            <w:vAlign w:val="center"/>
          </w:tcPr>
          <w:p w14:paraId="3D2BECD8" w14:textId="77777777" w:rsidR="001B3EFE" w:rsidRPr="00BC1306" w:rsidRDefault="001B3EFE" w:rsidP="001B3EFE">
            <w:pPr>
              <w:jc w:val="center"/>
              <w:rPr>
                <w:rFonts w:cs="Times New Roman"/>
                <w:b w:val="0"/>
                <w:sz w:val="22"/>
              </w:rPr>
            </w:pPr>
            <w:r w:rsidRPr="00BC1306">
              <w:rPr>
                <w:rFonts w:cs="Times New Roman"/>
                <w:b w:val="0"/>
                <w:sz w:val="22"/>
              </w:rPr>
              <w:t>65 metų amžiaus gyventojai</w:t>
            </w:r>
          </w:p>
        </w:tc>
        <w:tc>
          <w:tcPr>
            <w:tcW w:w="974" w:type="dxa"/>
            <w:shd w:val="clear" w:color="auto" w:fill="auto"/>
            <w:vAlign w:val="center"/>
          </w:tcPr>
          <w:p w14:paraId="3D2BECD9" w14:textId="5B632236" w:rsidR="001B3EFE" w:rsidRPr="00BC1306" w:rsidRDefault="001B3EFE" w:rsidP="001B3EFE">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BC1306">
              <w:rPr>
                <w:rFonts w:cs="Times New Roman"/>
                <w:sz w:val="22"/>
              </w:rPr>
              <w:t>19,75</w:t>
            </w:r>
          </w:p>
        </w:tc>
        <w:tc>
          <w:tcPr>
            <w:tcW w:w="1006" w:type="dxa"/>
            <w:shd w:val="clear" w:color="auto" w:fill="auto"/>
            <w:vAlign w:val="center"/>
          </w:tcPr>
          <w:p w14:paraId="3D2BECDA" w14:textId="052461DE" w:rsidR="001B3EFE" w:rsidRPr="00BC1306" w:rsidRDefault="001B3EFE" w:rsidP="001B3EFE">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BC1306">
              <w:rPr>
                <w:rFonts w:cs="Times New Roman"/>
                <w:sz w:val="22"/>
              </w:rPr>
              <w:t>20,07</w:t>
            </w:r>
          </w:p>
        </w:tc>
        <w:tc>
          <w:tcPr>
            <w:tcW w:w="1100" w:type="dxa"/>
            <w:shd w:val="clear" w:color="auto" w:fill="auto"/>
            <w:vAlign w:val="center"/>
          </w:tcPr>
          <w:p w14:paraId="3D2BECDB" w14:textId="5FCB2982" w:rsidR="001B3EFE" w:rsidRPr="00BC1306" w:rsidRDefault="001B3EFE" w:rsidP="001B3EFE">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BC1306">
              <w:rPr>
                <w:rFonts w:cs="Times New Roman"/>
                <w:sz w:val="22"/>
              </w:rPr>
              <w:t>20,38</w:t>
            </w:r>
          </w:p>
        </w:tc>
        <w:tc>
          <w:tcPr>
            <w:tcW w:w="1100" w:type="dxa"/>
            <w:shd w:val="clear" w:color="auto" w:fill="auto"/>
            <w:vAlign w:val="center"/>
          </w:tcPr>
          <w:p w14:paraId="3D2BECDC" w14:textId="10045258" w:rsidR="001B3EFE" w:rsidRPr="00BC1306" w:rsidRDefault="001B3EFE" w:rsidP="001B3EFE">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BC1306">
              <w:rPr>
                <w:rFonts w:cs="Times New Roman"/>
                <w:sz w:val="22"/>
              </w:rPr>
              <w:t>20,71</w:t>
            </w:r>
          </w:p>
        </w:tc>
        <w:tc>
          <w:tcPr>
            <w:tcW w:w="1100" w:type="dxa"/>
            <w:shd w:val="clear" w:color="auto" w:fill="auto"/>
            <w:vAlign w:val="center"/>
          </w:tcPr>
          <w:p w14:paraId="3D2BECDD" w14:textId="10D7C5F3" w:rsidR="001B3EFE" w:rsidRPr="00BC1306" w:rsidRDefault="001B3EFE" w:rsidP="001B3EFE">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BC1306">
              <w:rPr>
                <w:rFonts w:cs="Times New Roman"/>
                <w:sz w:val="22"/>
              </w:rPr>
              <w:t>20,86</w:t>
            </w:r>
          </w:p>
        </w:tc>
        <w:tc>
          <w:tcPr>
            <w:tcW w:w="1100" w:type="dxa"/>
            <w:shd w:val="clear" w:color="auto" w:fill="auto"/>
            <w:vAlign w:val="center"/>
          </w:tcPr>
          <w:p w14:paraId="3D2BECDE" w14:textId="53D0A59E" w:rsidR="001B3EFE" w:rsidRPr="00BC1306" w:rsidRDefault="00044C09" w:rsidP="001B3EFE">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20,79</w:t>
            </w:r>
          </w:p>
        </w:tc>
      </w:tr>
    </w:tbl>
    <w:p w14:paraId="3D2BECE0" w14:textId="77777777" w:rsidR="00550982" w:rsidRPr="00BC1306" w:rsidRDefault="00550982" w:rsidP="00BC1306">
      <w:pPr>
        <w:spacing w:after="0"/>
        <w:ind w:firstLine="720"/>
        <w:jc w:val="right"/>
        <w:rPr>
          <w:rFonts w:cs="Times New Roman"/>
          <w:i/>
        </w:rPr>
      </w:pPr>
      <w:r w:rsidRPr="00BC1306">
        <w:rPr>
          <w:rFonts w:cs="Times New Roman"/>
          <w:i/>
        </w:rPr>
        <w:t>Šaltinis: Higienos instituto sveikatos informacijos centras</w:t>
      </w:r>
    </w:p>
    <w:p w14:paraId="3D2BECE1" w14:textId="77777777" w:rsidR="00550982" w:rsidRPr="00E92E3B" w:rsidRDefault="00550982" w:rsidP="00BC1306">
      <w:pPr>
        <w:spacing w:after="0"/>
        <w:ind w:firstLine="720"/>
        <w:jc w:val="right"/>
        <w:rPr>
          <w:rFonts w:cs="Times New Roman"/>
          <w:sz w:val="22"/>
        </w:rPr>
      </w:pPr>
    </w:p>
    <w:p w14:paraId="3D2BECE2" w14:textId="320B050F" w:rsidR="00550982" w:rsidRDefault="00550982" w:rsidP="00BC1306">
      <w:pPr>
        <w:widowControl w:val="0"/>
        <w:spacing w:after="0"/>
        <w:ind w:firstLine="720"/>
        <w:jc w:val="both"/>
        <w:rPr>
          <w:rFonts w:cs="Times New Roman"/>
        </w:rPr>
      </w:pPr>
      <w:r w:rsidRPr="00BC1306">
        <w:rPr>
          <w:rFonts w:cs="Times New Roman"/>
        </w:rPr>
        <w:t>Nuo 201</w:t>
      </w:r>
      <w:r w:rsidR="005B192C">
        <w:rPr>
          <w:rFonts w:cs="Times New Roman"/>
        </w:rPr>
        <w:t>8</w:t>
      </w:r>
      <w:r w:rsidRPr="00BC1306">
        <w:rPr>
          <w:rFonts w:cs="Times New Roman"/>
        </w:rPr>
        <w:t xml:space="preserve"> m. iki 201</w:t>
      </w:r>
      <w:r w:rsidR="005B192C">
        <w:rPr>
          <w:rFonts w:cs="Times New Roman"/>
        </w:rPr>
        <w:t>9</w:t>
      </w:r>
      <w:r w:rsidRPr="00BC1306">
        <w:rPr>
          <w:rFonts w:cs="Times New Roman"/>
        </w:rPr>
        <w:t xml:space="preserve"> m. Kauno miesto gyventojų vidutinė gyve</w:t>
      </w:r>
      <w:r w:rsidR="00FF42D6">
        <w:rPr>
          <w:rFonts w:cs="Times New Roman"/>
        </w:rPr>
        <w:t xml:space="preserve">nimo trukmė </w:t>
      </w:r>
      <w:r w:rsidR="005B192C">
        <w:rPr>
          <w:rFonts w:cs="Times New Roman"/>
        </w:rPr>
        <w:t>padidėjo</w:t>
      </w:r>
      <w:r w:rsidR="00FF42D6">
        <w:rPr>
          <w:rFonts w:cs="Times New Roman"/>
        </w:rPr>
        <w:t xml:space="preserve"> </w:t>
      </w:r>
      <w:r w:rsidR="00D538F9">
        <w:rPr>
          <w:rFonts w:cs="Times New Roman"/>
        </w:rPr>
        <w:t>1,2 m.</w:t>
      </w:r>
      <w:r w:rsidRPr="00BC1306">
        <w:rPr>
          <w:rFonts w:cs="Times New Roman"/>
        </w:rPr>
        <w:t xml:space="preserve"> Lietuvos gyventojų vidutinė tikėtina gyventojų trukmė tuo pačiu laikotarpiu padidėjo 0,</w:t>
      </w:r>
      <w:r w:rsidR="008A485D">
        <w:rPr>
          <w:rFonts w:cs="Times New Roman"/>
        </w:rPr>
        <w:t>5</w:t>
      </w:r>
      <w:r w:rsidRPr="00BC1306">
        <w:rPr>
          <w:rFonts w:cs="Times New Roman"/>
        </w:rPr>
        <w:t xml:space="preserve"> metais (1 pav.).</w:t>
      </w:r>
    </w:p>
    <w:p w14:paraId="3D2BECE3" w14:textId="77777777" w:rsidR="003A1DFF" w:rsidRPr="00BC1306" w:rsidRDefault="003A1DFF" w:rsidP="00BC1306">
      <w:pPr>
        <w:widowControl w:val="0"/>
        <w:spacing w:after="0"/>
        <w:ind w:firstLine="720"/>
        <w:jc w:val="both"/>
        <w:rPr>
          <w:rFonts w:cs="Times New Roman"/>
        </w:rPr>
      </w:pPr>
    </w:p>
    <w:p w14:paraId="3D2BECE4" w14:textId="77777777" w:rsidR="00550982" w:rsidRPr="00BC1306" w:rsidRDefault="00550982" w:rsidP="00CD60B1">
      <w:pPr>
        <w:spacing w:after="0"/>
        <w:ind w:firstLine="720"/>
        <w:jc w:val="center"/>
        <w:rPr>
          <w:rFonts w:cs="Times New Roman"/>
        </w:rPr>
      </w:pPr>
      <w:r w:rsidRPr="00BC1306">
        <w:rPr>
          <w:rFonts w:cs="Times New Roman"/>
          <w:noProof/>
          <w:lang w:eastAsia="lt-LT"/>
        </w:rPr>
        <w:drawing>
          <wp:inline distT="0" distB="0" distL="0" distR="0" wp14:anchorId="3D2BF0A1" wp14:editId="394DD6DF">
            <wp:extent cx="4951067" cy="1440000"/>
            <wp:effectExtent l="0" t="0" r="2540" b="8255"/>
            <wp:docPr id="9" name="Diagrama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D2BECE5" w14:textId="51ABDA5C" w:rsidR="00550982" w:rsidRPr="00BC1306" w:rsidRDefault="00550982" w:rsidP="00BC1306">
      <w:pPr>
        <w:keepLines/>
        <w:spacing w:after="0"/>
        <w:ind w:firstLine="720"/>
        <w:jc w:val="center"/>
        <w:rPr>
          <w:rFonts w:cs="Times New Roman"/>
        </w:rPr>
      </w:pPr>
      <w:r w:rsidRPr="00BC1306">
        <w:rPr>
          <w:rFonts w:cs="Times New Roman"/>
        </w:rPr>
        <w:t>1 pav. Vidutinė tikėtina gyvenimo trukmė Kauno mieste ir Lietuvoje 2015–201</w:t>
      </w:r>
      <w:r w:rsidR="00A66300">
        <w:rPr>
          <w:rFonts w:cs="Times New Roman"/>
        </w:rPr>
        <w:t>9</w:t>
      </w:r>
      <w:r w:rsidRPr="00BC1306">
        <w:rPr>
          <w:rFonts w:cs="Times New Roman"/>
        </w:rPr>
        <w:t xml:space="preserve"> metais</w:t>
      </w:r>
    </w:p>
    <w:p w14:paraId="3D2BECE6" w14:textId="50FB1E87" w:rsidR="00550982" w:rsidRPr="00BC1306" w:rsidRDefault="00550982" w:rsidP="00BC1306">
      <w:pPr>
        <w:keepLines/>
        <w:spacing w:after="0"/>
        <w:ind w:firstLine="720"/>
        <w:jc w:val="right"/>
        <w:rPr>
          <w:rFonts w:cs="Times New Roman"/>
          <w:i/>
        </w:rPr>
      </w:pPr>
      <w:r w:rsidRPr="00BC1306">
        <w:rPr>
          <w:rFonts w:cs="Times New Roman"/>
          <w:i/>
        </w:rPr>
        <w:t xml:space="preserve">Šaltinis: </w:t>
      </w:r>
      <w:r w:rsidR="008A485D">
        <w:rPr>
          <w:rFonts w:cs="Times New Roman"/>
          <w:i/>
        </w:rPr>
        <w:t>Lietuvos statistikos departamentas</w:t>
      </w:r>
    </w:p>
    <w:p w14:paraId="3D2BECE7" w14:textId="77777777" w:rsidR="00C93DF0" w:rsidRDefault="00C93DF0" w:rsidP="00BC1306">
      <w:pPr>
        <w:spacing w:after="0"/>
        <w:ind w:firstLine="720"/>
        <w:jc w:val="both"/>
        <w:rPr>
          <w:rFonts w:cs="Times New Roman"/>
        </w:rPr>
      </w:pPr>
    </w:p>
    <w:p w14:paraId="3D2BECE8" w14:textId="739933B2" w:rsidR="00550982" w:rsidRDefault="00550982" w:rsidP="00BC1306">
      <w:pPr>
        <w:spacing w:after="0"/>
        <w:ind w:firstLine="720"/>
        <w:jc w:val="both"/>
        <w:rPr>
          <w:rFonts w:cs="Times New Roman"/>
        </w:rPr>
      </w:pPr>
      <w:r w:rsidRPr="00BC1306">
        <w:rPr>
          <w:rFonts w:cs="Times New Roman"/>
        </w:rPr>
        <w:t xml:space="preserve">Visoje Kauno apskrityje </w:t>
      </w:r>
      <w:r w:rsidR="00F618D3">
        <w:rPr>
          <w:rFonts w:cs="Times New Roman"/>
        </w:rPr>
        <w:t xml:space="preserve">vyrų </w:t>
      </w:r>
      <w:r w:rsidRPr="00BC1306">
        <w:rPr>
          <w:rFonts w:cs="Times New Roman"/>
        </w:rPr>
        <w:t>vidutinė tikėtina gyvenimo trukmė 201</w:t>
      </w:r>
      <w:r w:rsidR="00670BF5">
        <w:rPr>
          <w:rFonts w:cs="Times New Roman"/>
        </w:rPr>
        <w:t>5</w:t>
      </w:r>
      <w:r w:rsidRPr="00BC1306">
        <w:rPr>
          <w:rFonts w:cs="Times New Roman"/>
        </w:rPr>
        <w:t>–201</w:t>
      </w:r>
      <w:r w:rsidR="00670BF5">
        <w:rPr>
          <w:rFonts w:cs="Times New Roman"/>
        </w:rPr>
        <w:t>9</w:t>
      </w:r>
      <w:r w:rsidRPr="00BC1306">
        <w:rPr>
          <w:rFonts w:cs="Times New Roman"/>
        </w:rPr>
        <w:t xml:space="preserve"> m. laikotarpiu pad</w:t>
      </w:r>
      <w:r w:rsidR="00FF42D6">
        <w:rPr>
          <w:rFonts w:cs="Times New Roman"/>
        </w:rPr>
        <w:t>idėjo</w:t>
      </w:r>
      <w:r w:rsidR="00B6708F">
        <w:rPr>
          <w:rFonts w:cs="Times New Roman"/>
        </w:rPr>
        <w:t xml:space="preserve"> 2,86 m.</w:t>
      </w:r>
      <w:r w:rsidR="00F618D3">
        <w:rPr>
          <w:rFonts w:cs="Times New Roman"/>
        </w:rPr>
        <w:t>, o moterų</w:t>
      </w:r>
      <w:r w:rsidR="00B6708F">
        <w:rPr>
          <w:rFonts w:cs="Times New Roman"/>
        </w:rPr>
        <w:t xml:space="preserve"> </w:t>
      </w:r>
      <w:r w:rsidR="003638AD">
        <w:rPr>
          <w:rFonts w:cs="Times New Roman"/>
        </w:rPr>
        <w:t xml:space="preserve">– </w:t>
      </w:r>
      <w:r w:rsidR="00327226">
        <w:rPr>
          <w:rFonts w:cs="Times New Roman"/>
        </w:rPr>
        <w:t>1,6 m</w:t>
      </w:r>
      <w:r w:rsidR="00FF42D6">
        <w:rPr>
          <w:rFonts w:cs="Times New Roman"/>
        </w:rPr>
        <w:t>.</w:t>
      </w:r>
      <w:r w:rsidRPr="00BC1306">
        <w:rPr>
          <w:rFonts w:cs="Times New Roman"/>
        </w:rPr>
        <w:t xml:space="preserve"> Bendra vidutinė tikėtina gyvenimo trukmė Kauno apskrityje 201</w:t>
      </w:r>
      <w:r w:rsidR="00327226">
        <w:rPr>
          <w:rFonts w:cs="Times New Roman"/>
        </w:rPr>
        <w:t>5</w:t>
      </w:r>
      <w:r w:rsidRPr="00BC1306">
        <w:rPr>
          <w:rFonts w:cs="Times New Roman"/>
        </w:rPr>
        <w:t>–201</w:t>
      </w:r>
      <w:r w:rsidR="00327226">
        <w:rPr>
          <w:rFonts w:cs="Times New Roman"/>
        </w:rPr>
        <w:t>9</w:t>
      </w:r>
      <w:r w:rsidRPr="00BC1306">
        <w:rPr>
          <w:rFonts w:cs="Times New Roman"/>
        </w:rPr>
        <w:t xml:space="preserve"> m. l</w:t>
      </w:r>
      <w:r w:rsidR="00FF42D6">
        <w:rPr>
          <w:rFonts w:cs="Times New Roman"/>
        </w:rPr>
        <w:t xml:space="preserve">aikotarpiu padidėjo </w:t>
      </w:r>
      <w:r w:rsidR="00B202E9">
        <w:rPr>
          <w:rFonts w:cs="Times New Roman"/>
        </w:rPr>
        <w:t>2,22 m.</w:t>
      </w:r>
      <w:r w:rsidRPr="00BC1306">
        <w:rPr>
          <w:rFonts w:cs="Times New Roman"/>
        </w:rPr>
        <w:t xml:space="preserve"> (3 lentelė).</w:t>
      </w:r>
    </w:p>
    <w:p w14:paraId="57612EEC" w14:textId="77777777" w:rsidR="00C61E4C" w:rsidRPr="00BC1306" w:rsidRDefault="00C61E4C" w:rsidP="00BC1306">
      <w:pPr>
        <w:spacing w:after="0"/>
        <w:ind w:firstLine="720"/>
        <w:jc w:val="both"/>
        <w:rPr>
          <w:rFonts w:cs="Times New Roman"/>
        </w:rPr>
      </w:pPr>
    </w:p>
    <w:p w14:paraId="3D2BECE9" w14:textId="4B23646E" w:rsidR="00550982" w:rsidRPr="00BC1306" w:rsidRDefault="00550982" w:rsidP="00BC1306">
      <w:pPr>
        <w:spacing w:after="0"/>
        <w:jc w:val="right"/>
        <w:rPr>
          <w:rFonts w:cs="Times New Roman"/>
        </w:rPr>
      </w:pPr>
      <w:r w:rsidRPr="00BC1306">
        <w:rPr>
          <w:rFonts w:cs="Times New Roman"/>
        </w:rPr>
        <w:lastRenderedPageBreak/>
        <w:t>3 lentelė. Vidutinė tikėtina gyvenimo trukmė Lietuvoje ir Kauno apskrityje 201</w:t>
      </w:r>
      <w:r w:rsidR="00B202E9">
        <w:rPr>
          <w:rFonts w:cs="Times New Roman"/>
        </w:rPr>
        <w:t>5</w:t>
      </w:r>
      <w:r w:rsidRPr="00BC1306">
        <w:rPr>
          <w:rFonts w:cs="Times New Roman"/>
        </w:rPr>
        <w:t>–201</w:t>
      </w:r>
      <w:r w:rsidR="00B202E9">
        <w:rPr>
          <w:rFonts w:cs="Times New Roman"/>
        </w:rPr>
        <w:t>9</w:t>
      </w:r>
      <w:r w:rsidRPr="00BC1306">
        <w:rPr>
          <w:rFonts w:cs="Times New Roman"/>
        </w:rPr>
        <w:t xml:space="preserve"> m.</w:t>
      </w:r>
      <w:r w:rsidR="00573637" w:rsidRPr="00BC1306">
        <w:rPr>
          <w:rFonts w:cs="Times New Roman"/>
        </w:rPr>
        <w:t xml:space="preserve"> pagal lytį</w:t>
      </w:r>
    </w:p>
    <w:tbl>
      <w:tblPr>
        <w:tblStyle w:val="4tinkleliolentel3parykinimas1"/>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650"/>
        <w:gridCol w:w="1430"/>
        <w:gridCol w:w="1430"/>
        <w:gridCol w:w="1430"/>
        <w:gridCol w:w="1430"/>
        <w:gridCol w:w="1320"/>
      </w:tblGrid>
      <w:tr w:rsidR="00550982" w:rsidRPr="00BC1306" w14:paraId="3D2BECED" w14:textId="77777777" w:rsidTr="00734BE3">
        <w:trPr>
          <w:cnfStyle w:val="100000000000" w:firstRow="1" w:lastRow="0" w:firstColumn="0" w:lastColumn="0" w:oddVBand="0" w:evenVBand="0" w:oddHBand="0"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318" w:type="dxa"/>
            <w:vMerge w:val="restart"/>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14:paraId="3D2BECEA" w14:textId="77777777" w:rsidR="00550982" w:rsidRPr="00BC1306" w:rsidRDefault="00550982" w:rsidP="00734BE3">
            <w:pPr>
              <w:jc w:val="center"/>
              <w:rPr>
                <w:rFonts w:cs="Times New Roman"/>
                <w:color w:val="auto"/>
                <w:sz w:val="22"/>
              </w:rPr>
            </w:pPr>
            <w:r w:rsidRPr="00BC1306">
              <w:rPr>
                <w:rFonts w:cs="Times New Roman"/>
                <w:color w:val="auto"/>
                <w:sz w:val="22"/>
              </w:rPr>
              <w:t>Lytis</w:t>
            </w:r>
          </w:p>
        </w:tc>
        <w:tc>
          <w:tcPr>
            <w:tcW w:w="1650" w:type="dxa"/>
            <w:vMerge w:val="restart"/>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14:paraId="3D2BECEB" w14:textId="77777777" w:rsidR="00550982" w:rsidRPr="00BC1306" w:rsidRDefault="00550982" w:rsidP="00734BE3">
            <w:pPr>
              <w:jc w:val="center"/>
              <w:cnfStyle w:val="100000000000" w:firstRow="1" w:lastRow="0" w:firstColumn="0" w:lastColumn="0" w:oddVBand="0" w:evenVBand="0" w:oddHBand="0" w:evenHBand="0" w:firstRowFirstColumn="0" w:firstRowLastColumn="0" w:lastRowFirstColumn="0" w:lastRowLastColumn="0"/>
              <w:rPr>
                <w:rFonts w:cs="Times New Roman"/>
                <w:color w:val="auto"/>
                <w:sz w:val="22"/>
              </w:rPr>
            </w:pPr>
            <w:r w:rsidRPr="00BC1306">
              <w:rPr>
                <w:rFonts w:cs="Times New Roman"/>
                <w:color w:val="auto"/>
                <w:sz w:val="22"/>
              </w:rPr>
              <w:t>Vietovė</w:t>
            </w:r>
          </w:p>
        </w:tc>
        <w:tc>
          <w:tcPr>
            <w:tcW w:w="7040" w:type="dxa"/>
            <w:gridSpan w:val="5"/>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14:paraId="3D2BECEC" w14:textId="77777777" w:rsidR="00550982" w:rsidRPr="00BC1306" w:rsidRDefault="00550982" w:rsidP="00734BE3">
            <w:pPr>
              <w:jc w:val="center"/>
              <w:cnfStyle w:val="100000000000" w:firstRow="1" w:lastRow="0" w:firstColumn="0" w:lastColumn="0" w:oddVBand="0" w:evenVBand="0" w:oddHBand="0" w:evenHBand="0" w:firstRowFirstColumn="0" w:firstRowLastColumn="0" w:lastRowFirstColumn="0" w:lastRowLastColumn="0"/>
              <w:rPr>
                <w:rFonts w:cs="Times New Roman"/>
                <w:color w:val="auto"/>
                <w:sz w:val="22"/>
              </w:rPr>
            </w:pPr>
            <w:r w:rsidRPr="00BC1306">
              <w:rPr>
                <w:rFonts w:cs="Times New Roman"/>
                <w:color w:val="auto"/>
                <w:sz w:val="22"/>
              </w:rPr>
              <w:t>Metai</w:t>
            </w:r>
          </w:p>
        </w:tc>
      </w:tr>
      <w:tr w:rsidR="00313DA4" w:rsidRPr="00BC1306" w14:paraId="3D2BECF5" w14:textId="77777777" w:rsidTr="00734BE3">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318" w:type="dxa"/>
            <w:vMerge/>
            <w:shd w:val="clear" w:color="auto" w:fill="D6E3BC" w:themeFill="accent3" w:themeFillTint="66"/>
            <w:vAlign w:val="center"/>
          </w:tcPr>
          <w:p w14:paraId="3D2BECEE" w14:textId="77777777" w:rsidR="00313DA4" w:rsidRPr="00BC1306" w:rsidRDefault="00313DA4" w:rsidP="00734BE3">
            <w:pPr>
              <w:jc w:val="center"/>
              <w:rPr>
                <w:rFonts w:cs="Times New Roman"/>
                <w:sz w:val="22"/>
              </w:rPr>
            </w:pPr>
          </w:p>
        </w:tc>
        <w:tc>
          <w:tcPr>
            <w:tcW w:w="1650" w:type="dxa"/>
            <w:vMerge/>
            <w:shd w:val="clear" w:color="auto" w:fill="D6E3BC" w:themeFill="accent3" w:themeFillTint="66"/>
            <w:vAlign w:val="center"/>
          </w:tcPr>
          <w:p w14:paraId="3D2BECEF" w14:textId="77777777" w:rsidR="00313DA4" w:rsidRPr="00BC1306" w:rsidRDefault="00313DA4" w:rsidP="00734BE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c>
          <w:tcPr>
            <w:tcW w:w="1430" w:type="dxa"/>
            <w:shd w:val="clear" w:color="auto" w:fill="D6E3BC" w:themeFill="accent3" w:themeFillTint="66"/>
            <w:vAlign w:val="center"/>
          </w:tcPr>
          <w:p w14:paraId="3D2BECF0" w14:textId="4F34805D" w:rsidR="00313DA4" w:rsidRPr="00BC1306" w:rsidRDefault="00313DA4" w:rsidP="00734BE3">
            <w:pPr>
              <w:jc w:val="center"/>
              <w:cnfStyle w:val="000000100000" w:firstRow="0" w:lastRow="0" w:firstColumn="0" w:lastColumn="0" w:oddVBand="0" w:evenVBand="0" w:oddHBand="1" w:evenHBand="0" w:firstRowFirstColumn="0" w:firstRowLastColumn="0" w:lastRowFirstColumn="0" w:lastRowLastColumn="0"/>
              <w:rPr>
                <w:rFonts w:cs="Times New Roman"/>
                <w:b/>
                <w:sz w:val="22"/>
              </w:rPr>
            </w:pPr>
            <w:r w:rsidRPr="00BC1306">
              <w:rPr>
                <w:rFonts w:cs="Times New Roman"/>
                <w:b/>
                <w:sz w:val="22"/>
              </w:rPr>
              <w:t>2015</w:t>
            </w:r>
          </w:p>
        </w:tc>
        <w:tc>
          <w:tcPr>
            <w:tcW w:w="1430" w:type="dxa"/>
            <w:shd w:val="clear" w:color="auto" w:fill="D6E3BC" w:themeFill="accent3" w:themeFillTint="66"/>
            <w:vAlign w:val="center"/>
          </w:tcPr>
          <w:p w14:paraId="3D2BECF1" w14:textId="2C2D4428" w:rsidR="00313DA4" w:rsidRPr="00BC1306" w:rsidRDefault="00313DA4" w:rsidP="00734BE3">
            <w:pPr>
              <w:jc w:val="center"/>
              <w:cnfStyle w:val="000000100000" w:firstRow="0" w:lastRow="0" w:firstColumn="0" w:lastColumn="0" w:oddVBand="0" w:evenVBand="0" w:oddHBand="1" w:evenHBand="0" w:firstRowFirstColumn="0" w:firstRowLastColumn="0" w:lastRowFirstColumn="0" w:lastRowLastColumn="0"/>
              <w:rPr>
                <w:rFonts w:cs="Times New Roman"/>
                <w:b/>
                <w:sz w:val="22"/>
              </w:rPr>
            </w:pPr>
            <w:r w:rsidRPr="00BC1306">
              <w:rPr>
                <w:rFonts w:cs="Times New Roman"/>
                <w:b/>
                <w:sz w:val="22"/>
              </w:rPr>
              <w:t>2016</w:t>
            </w:r>
          </w:p>
        </w:tc>
        <w:tc>
          <w:tcPr>
            <w:tcW w:w="1430" w:type="dxa"/>
            <w:shd w:val="clear" w:color="auto" w:fill="D6E3BC" w:themeFill="accent3" w:themeFillTint="66"/>
            <w:vAlign w:val="center"/>
          </w:tcPr>
          <w:p w14:paraId="3D2BECF2" w14:textId="5F9C7A3C" w:rsidR="00313DA4" w:rsidRPr="00BC1306" w:rsidRDefault="00313DA4" w:rsidP="00734BE3">
            <w:pPr>
              <w:jc w:val="center"/>
              <w:cnfStyle w:val="000000100000" w:firstRow="0" w:lastRow="0" w:firstColumn="0" w:lastColumn="0" w:oddVBand="0" w:evenVBand="0" w:oddHBand="1" w:evenHBand="0" w:firstRowFirstColumn="0" w:firstRowLastColumn="0" w:lastRowFirstColumn="0" w:lastRowLastColumn="0"/>
              <w:rPr>
                <w:rFonts w:cs="Times New Roman"/>
                <w:b/>
                <w:sz w:val="22"/>
              </w:rPr>
            </w:pPr>
            <w:r w:rsidRPr="00BC1306">
              <w:rPr>
                <w:rFonts w:cs="Times New Roman"/>
                <w:b/>
                <w:sz w:val="22"/>
              </w:rPr>
              <w:t>2017</w:t>
            </w:r>
          </w:p>
        </w:tc>
        <w:tc>
          <w:tcPr>
            <w:tcW w:w="1430" w:type="dxa"/>
            <w:shd w:val="clear" w:color="auto" w:fill="D6E3BC" w:themeFill="accent3" w:themeFillTint="66"/>
            <w:vAlign w:val="center"/>
          </w:tcPr>
          <w:p w14:paraId="3D2BECF3" w14:textId="110A497C" w:rsidR="00313DA4" w:rsidRPr="00BC1306" w:rsidRDefault="00313DA4" w:rsidP="00734BE3">
            <w:pPr>
              <w:jc w:val="center"/>
              <w:cnfStyle w:val="000000100000" w:firstRow="0" w:lastRow="0" w:firstColumn="0" w:lastColumn="0" w:oddVBand="0" w:evenVBand="0" w:oddHBand="1" w:evenHBand="0" w:firstRowFirstColumn="0" w:firstRowLastColumn="0" w:lastRowFirstColumn="0" w:lastRowLastColumn="0"/>
              <w:rPr>
                <w:rFonts w:cs="Times New Roman"/>
                <w:b/>
                <w:sz w:val="22"/>
              </w:rPr>
            </w:pPr>
            <w:r w:rsidRPr="00BC1306">
              <w:rPr>
                <w:rFonts w:cs="Times New Roman"/>
                <w:b/>
                <w:sz w:val="22"/>
              </w:rPr>
              <w:t>2018</w:t>
            </w:r>
          </w:p>
        </w:tc>
        <w:tc>
          <w:tcPr>
            <w:tcW w:w="1320" w:type="dxa"/>
            <w:shd w:val="clear" w:color="auto" w:fill="D6E3BC" w:themeFill="accent3" w:themeFillTint="66"/>
            <w:vAlign w:val="center"/>
          </w:tcPr>
          <w:p w14:paraId="3D2BECF4" w14:textId="104CDBFA" w:rsidR="00313DA4" w:rsidRPr="00BC1306" w:rsidRDefault="00313DA4" w:rsidP="00734BE3">
            <w:pPr>
              <w:jc w:val="center"/>
              <w:cnfStyle w:val="000000100000" w:firstRow="0" w:lastRow="0" w:firstColumn="0" w:lastColumn="0" w:oddVBand="0" w:evenVBand="0" w:oddHBand="1" w:evenHBand="0" w:firstRowFirstColumn="0" w:firstRowLastColumn="0" w:lastRowFirstColumn="0" w:lastRowLastColumn="0"/>
              <w:rPr>
                <w:rFonts w:cs="Times New Roman"/>
                <w:b/>
                <w:sz w:val="22"/>
              </w:rPr>
            </w:pPr>
            <w:r>
              <w:rPr>
                <w:rFonts w:cs="Times New Roman"/>
                <w:b/>
                <w:sz w:val="22"/>
              </w:rPr>
              <w:t>2019</w:t>
            </w:r>
          </w:p>
        </w:tc>
      </w:tr>
      <w:tr w:rsidR="00313DA4" w:rsidRPr="00BC1306" w14:paraId="3D2BECFD" w14:textId="77777777" w:rsidTr="00734BE3">
        <w:trPr>
          <w:trHeight w:val="60"/>
        </w:trPr>
        <w:tc>
          <w:tcPr>
            <w:cnfStyle w:val="001000000000" w:firstRow="0" w:lastRow="0" w:firstColumn="1" w:lastColumn="0" w:oddVBand="0" w:evenVBand="0" w:oddHBand="0" w:evenHBand="0" w:firstRowFirstColumn="0" w:firstRowLastColumn="0" w:lastRowFirstColumn="0" w:lastRowLastColumn="0"/>
            <w:tcW w:w="1318" w:type="dxa"/>
            <w:vMerge w:val="restart"/>
            <w:shd w:val="clear" w:color="auto" w:fill="auto"/>
            <w:vAlign w:val="center"/>
          </w:tcPr>
          <w:p w14:paraId="3D2BECF6" w14:textId="77777777" w:rsidR="00313DA4" w:rsidRPr="00BC1306" w:rsidRDefault="00313DA4" w:rsidP="00734BE3">
            <w:pPr>
              <w:jc w:val="center"/>
              <w:rPr>
                <w:rFonts w:cs="Times New Roman"/>
                <w:sz w:val="22"/>
              </w:rPr>
            </w:pPr>
            <w:r w:rsidRPr="00BC1306">
              <w:rPr>
                <w:rFonts w:cs="Times New Roman"/>
                <w:sz w:val="22"/>
              </w:rPr>
              <w:t>Vyrai ir moterys</w:t>
            </w:r>
          </w:p>
        </w:tc>
        <w:tc>
          <w:tcPr>
            <w:tcW w:w="1650" w:type="dxa"/>
            <w:shd w:val="clear" w:color="auto" w:fill="auto"/>
            <w:vAlign w:val="center"/>
          </w:tcPr>
          <w:p w14:paraId="3D2BECF7" w14:textId="77777777" w:rsidR="00313DA4" w:rsidRPr="00BC1306" w:rsidRDefault="00313DA4" w:rsidP="00734BE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BC1306">
              <w:rPr>
                <w:rFonts w:cs="Times New Roman"/>
                <w:sz w:val="22"/>
              </w:rPr>
              <w:t>Lietuva</w:t>
            </w:r>
          </w:p>
        </w:tc>
        <w:tc>
          <w:tcPr>
            <w:tcW w:w="1430" w:type="dxa"/>
            <w:shd w:val="clear" w:color="auto" w:fill="auto"/>
            <w:vAlign w:val="center"/>
          </w:tcPr>
          <w:p w14:paraId="3D2BECF8" w14:textId="52B1CCEC" w:rsidR="00313DA4" w:rsidRPr="00BC1306" w:rsidRDefault="00313DA4" w:rsidP="00734BE3">
            <w:pPr>
              <w:pStyle w:val="ng-binding"/>
              <w:spacing w:before="75" w:beforeAutospacing="0" w:after="0" w:afterAutospacing="0"/>
              <w:ind w:right="75"/>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BC1306">
              <w:rPr>
                <w:color w:val="000000" w:themeColor="text1"/>
                <w:sz w:val="22"/>
                <w:szCs w:val="22"/>
              </w:rPr>
              <w:t>74,47</w:t>
            </w:r>
          </w:p>
        </w:tc>
        <w:tc>
          <w:tcPr>
            <w:tcW w:w="1430" w:type="dxa"/>
            <w:shd w:val="clear" w:color="auto" w:fill="auto"/>
            <w:vAlign w:val="center"/>
          </w:tcPr>
          <w:p w14:paraId="3D2BECF9" w14:textId="0A0F6064" w:rsidR="00313DA4" w:rsidRPr="00BC1306" w:rsidRDefault="00313DA4" w:rsidP="00734BE3">
            <w:pPr>
              <w:pStyle w:val="ng-binding"/>
              <w:spacing w:before="75" w:beforeAutospacing="0" w:after="0" w:afterAutospacing="0"/>
              <w:ind w:right="75"/>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BC1306">
              <w:rPr>
                <w:color w:val="000000" w:themeColor="text1"/>
                <w:sz w:val="22"/>
                <w:szCs w:val="22"/>
              </w:rPr>
              <w:t>74,83</w:t>
            </w:r>
          </w:p>
        </w:tc>
        <w:tc>
          <w:tcPr>
            <w:tcW w:w="1430" w:type="dxa"/>
            <w:shd w:val="clear" w:color="auto" w:fill="auto"/>
            <w:vAlign w:val="center"/>
          </w:tcPr>
          <w:p w14:paraId="3D2BECFA" w14:textId="0AF189F7" w:rsidR="00313DA4" w:rsidRPr="00BC1306" w:rsidRDefault="00313DA4" w:rsidP="00734BE3">
            <w:pPr>
              <w:pStyle w:val="ng-binding"/>
              <w:spacing w:before="75" w:beforeAutospacing="0" w:after="0" w:afterAutospacing="0"/>
              <w:ind w:right="75"/>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BC1306">
              <w:rPr>
                <w:color w:val="000000" w:themeColor="text1"/>
                <w:sz w:val="22"/>
                <w:szCs w:val="22"/>
              </w:rPr>
              <w:t>75,69</w:t>
            </w:r>
          </w:p>
        </w:tc>
        <w:tc>
          <w:tcPr>
            <w:tcW w:w="1430" w:type="dxa"/>
            <w:shd w:val="clear" w:color="auto" w:fill="auto"/>
            <w:vAlign w:val="center"/>
          </w:tcPr>
          <w:p w14:paraId="3D2BECFB" w14:textId="6F466D98" w:rsidR="00313DA4" w:rsidRPr="00BC1306" w:rsidRDefault="00313DA4" w:rsidP="00734BE3">
            <w:pPr>
              <w:pStyle w:val="ng-binding"/>
              <w:spacing w:before="75" w:beforeAutospacing="0" w:after="0" w:afterAutospacing="0"/>
              <w:ind w:right="75"/>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BC1306">
              <w:rPr>
                <w:color w:val="000000" w:themeColor="text1"/>
                <w:sz w:val="22"/>
                <w:szCs w:val="22"/>
              </w:rPr>
              <w:t>75,91</w:t>
            </w:r>
          </w:p>
        </w:tc>
        <w:tc>
          <w:tcPr>
            <w:tcW w:w="1320" w:type="dxa"/>
            <w:shd w:val="clear" w:color="auto" w:fill="auto"/>
            <w:vAlign w:val="center"/>
          </w:tcPr>
          <w:p w14:paraId="3D2BECFC" w14:textId="3C19C408" w:rsidR="00313DA4" w:rsidRPr="00BC1306" w:rsidRDefault="004A637D" w:rsidP="00734BE3">
            <w:pPr>
              <w:pStyle w:val="ng-binding"/>
              <w:spacing w:before="75" w:beforeAutospacing="0" w:after="0" w:afterAutospacing="0"/>
              <w:ind w:right="75"/>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Pr>
                <w:color w:val="000000" w:themeColor="text1"/>
                <w:sz w:val="22"/>
                <w:szCs w:val="22"/>
              </w:rPr>
              <w:t>76,43</w:t>
            </w:r>
          </w:p>
        </w:tc>
      </w:tr>
      <w:tr w:rsidR="00313DA4" w:rsidRPr="00BC1306" w14:paraId="3D2BED05" w14:textId="77777777" w:rsidTr="00734BE3">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318" w:type="dxa"/>
            <w:vMerge/>
            <w:shd w:val="clear" w:color="auto" w:fill="auto"/>
            <w:vAlign w:val="center"/>
          </w:tcPr>
          <w:p w14:paraId="3D2BECFE" w14:textId="77777777" w:rsidR="00313DA4" w:rsidRPr="00BC1306" w:rsidRDefault="00313DA4" w:rsidP="00734BE3">
            <w:pPr>
              <w:jc w:val="center"/>
              <w:rPr>
                <w:rFonts w:cs="Times New Roman"/>
                <w:sz w:val="22"/>
              </w:rPr>
            </w:pPr>
          </w:p>
        </w:tc>
        <w:tc>
          <w:tcPr>
            <w:tcW w:w="1650" w:type="dxa"/>
            <w:shd w:val="clear" w:color="auto" w:fill="auto"/>
            <w:vAlign w:val="center"/>
          </w:tcPr>
          <w:p w14:paraId="3D2BECFF" w14:textId="77777777" w:rsidR="00313DA4" w:rsidRPr="00BC1306" w:rsidRDefault="00313DA4" w:rsidP="00734BE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BC1306">
              <w:rPr>
                <w:rFonts w:cs="Times New Roman"/>
                <w:sz w:val="22"/>
              </w:rPr>
              <w:t>Kauno apskritis</w:t>
            </w:r>
          </w:p>
        </w:tc>
        <w:tc>
          <w:tcPr>
            <w:tcW w:w="1430" w:type="dxa"/>
            <w:shd w:val="clear" w:color="auto" w:fill="auto"/>
            <w:vAlign w:val="center"/>
          </w:tcPr>
          <w:p w14:paraId="3D2BED00" w14:textId="392ED881" w:rsidR="00313DA4" w:rsidRPr="00BC1306" w:rsidRDefault="00670BF5" w:rsidP="00734BE3">
            <w:pPr>
              <w:pStyle w:val="ng-binding"/>
              <w:spacing w:before="75" w:beforeAutospacing="0" w:after="0" w:afterAutospacing="0"/>
              <w:ind w:right="75"/>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Pr>
                <w:color w:val="000000" w:themeColor="text1"/>
                <w:sz w:val="22"/>
                <w:szCs w:val="22"/>
              </w:rPr>
              <w:t>75,02</w:t>
            </w:r>
          </w:p>
        </w:tc>
        <w:tc>
          <w:tcPr>
            <w:tcW w:w="1430" w:type="dxa"/>
            <w:shd w:val="clear" w:color="auto" w:fill="auto"/>
            <w:vAlign w:val="center"/>
          </w:tcPr>
          <w:p w14:paraId="3D2BED01" w14:textId="54310910" w:rsidR="00313DA4" w:rsidRPr="00BC1306" w:rsidRDefault="00670BF5" w:rsidP="00734BE3">
            <w:pPr>
              <w:pStyle w:val="ng-binding"/>
              <w:spacing w:before="75" w:beforeAutospacing="0" w:after="0" w:afterAutospacing="0"/>
              <w:ind w:right="75"/>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Pr>
                <w:color w:val="000000" w:themeColor="text1"/>
                <w:sz w:val="22"/>
                <w:szCs w:val="22"/>
              </w:rPr>
              <w:t>75,42</w:t>
            </w:r>
          </w:p>
        </w:tc>
        <w:tc>
          <w:tcPr>
            <w:tcW w:w="1430" w:type="dxa"/>
            <w:shd w:val="clear" w:color="auto" w:fill="auto"/>
            <w:vAlign w:val="center"/>
          </w:tcPr>
          <w:p w14:paraId="3D2BED02" w14:textId="60B0E9A4" w:rsidR="00313DA4" w:rsidRPr="00BC1306" w:rsidRDefault="00670BF5" w:rsidP="00734BE3">
            <w:pPr>
              <w:pStyle w:val="ng-binding"/>
              <w:spacing w:before="75" w:beforeAutospacing="0" w:after="0" w:afterAutospacing="0"/>
              <w:ind w:right="75"/>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Pr>
                <w:color w:val="000000" w:themeColor="text1"/>
                <w:sz w:val="22"/>
                <w:szCs w:val="22"/>
              </w:rPr>
              <w:t>76,24</w:t>
            </w:r>
          </w:p>
        </w:tc>
        <w:tc>
          <w:tcPr>
            <w:tcW w:w="1430" w:type="dxa"/>
            <w:shd w:val="clear" w:color="auto" w:fill="auto"/>
            <w:vAlign w:val="center"/>
          </w:tcPr>
          <w:p w14:paraId="3D2BED03" w14:textId="2A8B0CC1" w:rsidR="00313DA4" w:rsidRPr="00BC1306" w:rsidRDefault="00670BF5" w:rsidP="00734BE3">
            <w:pPr>
              <w:pStyle w:val="ng-binding"/>
              <w:spacing w:before="75" w:beforeAutospacing="0" w:after="0" w:afterAutospacing="0"/>
              <w:ind w:right="75"/>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Pr>
                <w:color w:val="000000" w:themeColor="text1"/>
                <w:sz w:val="22"/>
                <w:szCs w:val="22"/>
              </w:rPr>
              <w:t>76,45</w:t>
            </w:r>
          </w:p>
        </w:tc>
        <w:tc>
          <w:tcPr>
            <w:tcW w:w="1320" w:type="dxa"/>
            <w:shd w:val="clear" w:color="auto" w:fill="auto"/>
            <w:vAlign w:val="center"/>
          </w:tcPr>
          <w:p w14:paraId="3D2BED04" w14:textId="250773F6" w:rsidR="00313DA4" w:rsidRPr="00BC1306" w:rsidRDefault="00670BF5" w:rsidP="00734BE3">
            <w:pPr>
              <w:pStyle w:val="ng-binding"/>
              <w:spacing w:before="75" w:beforeAutospacing="0" w:after="0" w:afterAutospacing="0"/>
              <w:ind w:right="75"/>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Pr>
                <w:color w:val="000000" w:themeColor="text1"/>
                <w:sz w:val="22"/>
                <w:szCs w:val="22"/>
              </w:rPr>
              <w:t>77,24</w:t>
            </w:r>
          </w:p>
        </w:tc>
      </w:tr>
      <w:tr w:rsidR="00313DA4" w:rsidRPr="00BC1306" w14:paraId="3D2BED0D" w14:textId="77777777" w:rsidTr="00D851D0">
        <w:trPr>
          <w:trHeight w:val="20"/>
        </w:trPr>
        <w:tc>
          <w:tcPr>
            <w:cnfStyle w:val="001000000000" w:firstRow="0" w:lastRow="0" w:firstColumn="1" w:lastColumn="0" w:oddVBand="0" w:evenVBand="0" w:oddHBand="0" w:evenHBand="0" w:firstRowFirstColumn="0" w:firstRowLastColumn="0" w:lastRowFirstColumn="0" w:lastRowLastColumn="0"/>
            <w:tcW w:w="1318" w:type="dxa"/>
            <w:vMerge w:val="restart"/>
            <w:shd w:val="clear" w:color="auto" w:fill="auto"/>
            <w:vAlign w:val="center"/>
          </w:tcPr>
          <w:p w14:paraId="3D2BED06" w14:textId="77777777" w:rsidR="00313DA4" w:rsidRPr="00BC1306" w:rsidRDefault="00313DA4" w:rsidP="00734BE3">
            <w:pPr>
              <w:jc w:val="center"/>
              <w:rPr>
                <w:rFonts w:cs="Times New Roman"/>
                <w:sz w:val="22"/>
              </w:rPr>
            </w:pPr>
            <w:r w:rsidRPr="00BC1306">
              <w:rPr>
                <w:rFonts w:cs="Times New Roman"/>
                <w:sz w:val="22"/>
              </w:rPr>
              <w:t>Vyrai</w:t>
            </w:r>
          </w:p>
        </w:tc>
        <w:tc>
          <w:tcPr>
            <w:tcW w:w="1650" w:type="dxa"/>
            <w:shd w:val="clear" w:color="auto" w:fill="auto"/>
            <w:vAlign w:val="center"/>
          </w:tcPr>
          <w:p w14:paraId="3D2BED07" w14:textId="77777777" w:rsidR="00313DA4" w:rsidRPr="00BC1306" w:rsidRDefault="00313DA4" w:rsidP="00734BE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BC1306">
              <w:rPr>
                <w:rFonts w:cs="Times New Roman"/>
                <w:sz w:val="22"/>
              </w:rPr>
              <w:t>Lietuva</w:t>
            </w:r>
          </w:p>
        </w:tc>
        <w:tc>
          <w:tcPr>
            <w:tcW w:w="1430" w:type="dxa"/>
            <w:shd w:val="clear" w:color="auto" w:fill="auto"/>
            <w:vAlign w:val="center"/>
          </w:tcPr>
          <w:p w14:paraId="3D2BED08" w14:textId="518A815A" w:rsidR="00313DA4" w:rsidRPr="00BC1306" w:rsidRDefault="00313DA4" w:rsidP="00734BE3">
            <w:pPr>
              <w:pStyle w:val="ng-binding"/>
              <w:spacing w:before="75" w:beforeAutospacing="0" w:after="0" w:afterAutospacing="0"/>
              <w:ind w:right="75"/>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BC1306">
              <w:rPr>
                <w:color w:val="000000" w:themeColor="text1"/>
                <w:sz w:val="22"/>
                <w:szCs w:val="22"/>
              </w:rPr>
              <w:t>69,14</w:t>
            </w:r>
          </w:p>
        </w:tc>
        <w:tc>
          <w:tcPr>
            <w:tcW w:w="1430" w:type="dxa"/>
            <w:shd w:val="clear" w:color="auto" w:fill="auto"/>
            <w:vAlign w:val="center"/>
          </w:tcPr>
          <w:p w14:paraId="3D2BED09" w14:textId="49914CA3" w:rsidR="00313DA4" w:rsidRPr="00BC1306" w:rsidRDefault="00313DA4" w:rsidP="00734BE3">
            <w:pPr>
              <w:pStyle w:val="ng-binding"/>
              <w:spacing w:before="75" w:beforeAutospacing="0" w:after="0" w:afterAutospacing="0"/>
              <w:ind w:right="75"/>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BC1306">
              <w:rPr>
                <w:color w:val="000000" w:themeColor="text1"/>
                <w:sz w:val="22"/>
                <w:szCs w:val="22"/>
              </w:rPr>
              <w:t>69,49</w:t>
            </w:r>
          </w:p>
        </w:tc>
        <w:tc>
          <w:tcPr>
            <w:tcW w:w="1430" w:type="dxa"/>
            <w:shd w:val="clear" w:color="auto" w:fill="auto"/>
            <w:vAlign w:val="center"/>
          </w:tcPr>
          <w:p w14:paraId="3D2BED0A" w14:textId="6635D51D" w:rsidR="00313DA4" w:rsidRPr="00BC1306" w:rsidRDefault="00313DA4" w:rsidP="00734BE3">
            <w:pPr>
              <w:pStyle w:val="ng-binding"/>
              <w:spacing w:before="75" w:beforeAutospacing="0" w:after="0" w:afterAutospacing="0"/>
              <w:ind w:right="75"/>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BC1306">
              <w:rPr>
                <w:color w:val="000000" w:themeColor="text1"/>
                <w:sz w:val="22"/>
                <w:szCs w:val="22"/>
              </w:rPr>
              <w:t>70,70</w:t>
            </w:r>
          </w:p>
        </w:tc>
        <w:tc>
          <w:tcPr>
            <w:tcW w:w="1430" w:type="dxa"/>
            <w:shd w:val="clear" w:color="auto" w:fill="auto"/>
            <w:vAlign w:val="center"/>
          </w:tcPr>
          <w:p w14:paraId="3D2BED0B" w14:textId="3A3DB9D0" w:rsidR="00313DA4" w:rsidRPr="00BC1306" w:rsidRDefault="00313DA4" w:rsidP="00734BE3">
            <w:pPr>
              <w:pStyle w:val="ng-binding"/>
              <w:spacing w:before="75" w:beforeAutospacing="0" w:after="0" w:afterAutospacing="0"/>
              <w:ind w:right="75"/>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BC1306">
              <w:rPr>
                <w:color w:val="000000" w:themeColor="text1"/>
                <w:sz w:val="22"/>
                <w:szCs w:val="22"/>
              </w:rPr>
              <w:t>70,92</w:t>
            </w:r>
          </w:p>
        </w:tc>
        <w:tc>
          <w:tcPr>
            <w:tcW w:w="1320" w:type="dxa"/>
            <w:shd w:val="clear" w:color="auto" w:fill="auto"/>
            <w:vAlign w:val="center"/>
          </w:tcPr>
          <w:p w14:paraId="3D2BED0C" w14:textId="38F195CA" w:rsidR="00313DA4" w:rsidRPr="00BC1306" w:rsidRDefault="00160395" w:rsidP="00734BE3">
            <w:pPr>
              <w:pStyle w:val="ng-binding"/>
              <w:spacing w:before="75" w:beforeAutospacing="0" w:after="0" w:afterAutospacing="0"/>
              <w:ind w:right="75"/>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Pr>
                <w:color w:val="000000" w:themeColor="text1"/>
                <w:sz w:val="22"/>
                <w:szCs w:val="22"/>
              </w:rPr>
              <w:t>71,53</w:t>
            </w:r>
          </w:p>
        </w:tc>
      </w:tr>
      <w:tr w:rsidR="00313DA4" w:rsidRPr="00BC1306" w14:paraId="3D2BED15" w14:textId="77777777" w:rsidTr="00D851D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8" w:type="dxa"/>
            <w:vMerge/>
            <w:shd w:val="clear" w:color="auto" w:fill="auto"/>
            <w:vAlign w:val="center"/>
          </w:tcPr>
          <w:p w14:paraId="3D2BED0E" w14:textId="77777777" w:rsidR="00313DA4" w:rsidRPr="00BC1306" w:rsidRDefault="00313DA4" w:rsidP="00734BE3">
            <w:pPr>
              <w:jc w:val="center"/>
              <w:rPr>
                <w:rFonts w:cs="Times New Roman"/>
                <w:sz w:val="22"/>
              </w:rPr>
            </w:pPr>
          </w:p>
        </w:tc>
        <w:tc>
          <w:tcPr>
            <w:tcW w:w="1650" w:type="dxa"/>
            <w:shd w:val="clear" w:color="auto" w:fill="auto"/>
            <w:vAlign w:val="center"/>
          </w:tcPr>
          <w:p w14:paraId="3D2BED0F" w14:textId="77777777" w:rsidR="00313DA4" w:rsidRPr="00BC1306" w:rsidRDefault="00313DA4" w:rsidP="00734BE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BC1306">
              <w:rPr>
                <w:rFonts w:cs="Times New Roman"/>
                <w:sz w:val="22"/>
              </w:rPr>
              <w:t>Kauno apskritis</w:t>
            </w:r>
          </w:p>
        </w:tc>
        <w:tc>
          <w:tcPr>
            <w:tcW w:w="1430" w:type="dxa"/>
            <w:shd w:val="clear" w:color="auto" w:fill="auto"/>
            <w:vAlign w:val="center"/>
          </w:tcPr>
          <w:p w14:paraId="3D2BED10" w14:textId="346C8A57" w:rsidR="00313DA4" w:rsidRPr="00BC1306" w:rsidRDefault="00670BF5" w:rsidP="00734BE3">
            <w:pPr>
              <w:pStyle w:val="ng-binding"/>
              <w:spacing w:before="75" w:beforeAutospacing="0" w:after="0" w:afterAutospacing="0"/>
              <w:ind w:right="75"/>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Pr>
                <w:color w:val="000000" w:themeColor="text1"/>
                <w:sz w:val="22"/>
                <w:szCs w:val="22"/>
              </w:rPr>
              <w:t>69,8</w:t>
            </w:r>
          </w:p>
        </w:tc>
        <w:tc>
          <w:tcPr>
            <w:tcW w:w="1430" w:type="dxa"/>
            <w:shd w:val="clear" w:color="auto" w:fill="auto"/>
            <w:vAlign w:val="center"/>
          </w:tcPr>
          <w:p w14:paraId="3D2BED11" w14:textId="098CCF62" w:rsidR="00313DA4" w:rsidRPr="00BC1306" w:rsidRDefault="00670BF5" w:rsidP="00734BE3">
            <w:pPr>
              <w:pStyle w:val="ng-binding"/>
              <w:spacing w:before="75" w:beforeAutospacing="0" w:after="0" w:afterAutospacing="0"/>
              <w:ind w:right="75"/>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Pr>
                <w:color w:val="000000" w:themeColor="text1"/>
                <w:sz w:val="22"/>
                <w:szCs w:val="22"/>
              </w:rPr>
              <w:t>70,19</w:t>
            </w:r>
          </w:p>
        </w:tc>
        <w:tc>
          <w:tcPr>
            <w:tcW w:w="1430" w:type="dxa"/>
            <w:shd w:val="clear" w:color="auto" w:fill="auto"/>
            <w:vAlign w:val="center"/>
          </w:tcPr>
          <w:p w14:paraId="3D2BED12" w14:textId="63C75A94" w:rsidR="00313DA4" w:rsidRPr="00BC1306" w:rsidRDefault="00670BF5" w:rsidP="00734BE3">
            <w:pPr>
              <w:pStyle w:val="ng-binding"/>
              <w:spacing w:before="75" w:beforeAutospacing="0" w:after="0" w:afterAutospacing="0"/>
              <w:ind w:right="75"/>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Pr>
                <w:color w:val="000000" w:themeColor="text1"/>
                <w:sz w:val="22"/>
                <w:szCs w:val="22"/>
              </w:rPr>
              <w:t>71,22</w:t>
            </w:r>
          </w:p>
        </w:tc>
        <w:tc>
          <w:tcPr>
            <w:tcW w:w="1430" w:type="dxa"/>
            <w:shd w:val="clear" w:color="auto" w:fill="auto"/>
            <w:vAlign w:val="center"/>
          </w:tcPr>
          <w:p w14:paraId="3D2BED13" w14:textId="182658DF" w:rsidR="00313DA4" w:rsidRPr="00BC1306" w:rsidRDefault="00670BF5" w:rsidP="00734BE3">
            <w:pPr>
              <w:pStyle w:val="ng-binding"/>
              <w:spacing w:before="75" w:beforeAutospacing="0" w:after="0" w:afterAutospacing="0"/>
              <w:ind w:right="75"/>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Pr>
                <w:color w:val="000000" w:themeColor="text1"/>
                <w:sz w:val="22"/>
                <w:szCs w:val="22"/>
              </w:rPr>
              <w:t>71,81</w:t>
            </w:r>
          </w:p>
        </w:tc>
        <w:tc>
          <w:tcPr>
            <w:tcW w:w="1320" w:type="dxa"/>
            <w:shd w:val="clear" w:color="auto" w:fill="auto"/>
            <w:vAlign w:val="center"/>
          </w:tcPr>
          <w:p w14:paraId="3D2BED14" w14:textId="2EA9A5CC" w:rsidR="00313DA4" w:rsidRPr="00BC1306" w:rsidRDefault="00670BF5" w:rsidP="00734BE3">
            <w:pPr>
              <w:pStyle w:val="ng-binding"/>
              <w:spacing w:before="75" w:beforeAutospacing="0" w:after="0" w:afterAutospacing="0"/>
              <w:ind w:right="75"/>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Pr>
                <w:color w:val="000000" w:themeColor="text1"/>
                <w:sz w:val="22"/>
                <w:szCs w:val="22"/>
              </w:rPr>
              <w:t>72,66</w:t>
            </w:r>
          </w:p>
        </w:tc>
      </w:tr>
      <w:tr w:rsidR="00313DA4" w:rsidRPr="00BC1306" w14:paraId="3D2BED1D" w14:textId="77777777" w:rsidTr="00734BE3">
        <w:trPr>
          <w:trHeight w:val="60"/>
        </w:trPr>
        <w:tc>
          <w:tcPr>
            <w:cnfStyle w:val="001000000000" w:firstRow="0" w:lastRow="0" w:firstColumn="1" w:lastColumn="0" w:oddVBand="0" w:evenVBand="0" w:oddHBand="0" w:evenHBand="0" w:firstRowFirstColumn="0" w:firstRowLastColumn="0" w:lastRowFirstColumn="0" w:lastRowLastColumn="0"/>
            <w:tcW w:w="1318" w:type="dxa"/>
            <w:vMerge w:val="restart"/>
            <w:shd w:val="clear" w:color="auto" w:fill="auto"/>
            <w:vAlign w:val="center"/>
          </w:tcPr>
          <w:p w14:paraId="3D2BED16" w14:textId="77777777" w:rsidR="00313DA4" w:rsidRPr="00BC1306" w:rsidRDefault="00313DA4" w:rsidP="00734BE3">
            <w:pPr>
              <w:jc w:val="center"/>
              <w:rPr>
                <w:rFonts w:cs="Times New Roman"/>
                <w:sz w:val="22"/>
              </w:rPr>
            </w:pPr>
            <w:r w:rsidRPr="00BC1306">
              <w:rPr>
                <w:rFonts w:cs="Times New Roman"/>
                <w:sz w:val="22"/>
              </w:rPr>
              <w:t>Moterys</w:t>
            </w:r>
          </w:p>
        </w:tc>
        <w:tc>
          <w:tcPr>
            <w:tcW w:w="1650" w:type="dxa"/>
            <w:shd w:val="clear" w:color="auto" w:fill="auto"/>
            <w:vAlign w:val="center"/>
          </w:tcPr>
          <w:p w14:paraId="3D2BED17" w14:textId="77777777" w:rsidR="00313DA4" w:rsidRPr="00BC1306" w:rsidRDefault="00313DA4" w:rsidP="00734BE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BC1306">
              <w:rPr>
                <w:rFonts w:cs="Times New Roman"/>
                <w:sz w:val="22"/>
              </w:rPr>
              <w:t>Lietuva</w:t>
            </w:r>
          </w:p>
        </w:tc>
        <w:tc>
          <w:tcPr>
            <w:tcW w:w="1430" w:type="dxa"/>
            <w:shd w:val="clear" w:color="auto" w:fill="auto"/>
            <w:vAlign w:val="center"/>
          </w:tcPr>
          <w:p w14:paraId="3D2BED18" w14:textId="7D50CBA9" w:rsidR="00313DA4" w:rsidRPr="00BC1306" w:rsidRDefault="00313DA4" w:rsidP="00734BE3">
            <w:pPr>
              <w:pStyle w:val="ng-binding"/>
              <w:spacing w:before="75" w:beforeAutospacing="0" w:after="0" w:afterAutospacing="0"/>
              <w:ind w:right="75"/>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BC1306">
              <w:rPr>
                <w:color w:val="000000" w:themeColor="text1"/>
                <w:sz w:val="22"/>
                <w:szCs w:val="22"/>
              </w:rPr>
              <w:t>79,63</w:t>
            </w:r>
          </w:p>
        </w:tc>
        <w:tc>
          <w:tcPr>
            <w:tcW w:w="1430" w:type="dxa"/>
            <w:shd w:val="clear" w:color="auto" w:fill="auto"/>
            <w:vAlign w:val="center"/>
          </w:tcPr>
          <w:p w14:paraId="3D2BED19" w14:textId="1FA21C44" w:rsidR="00313DA4" w:rsidRPr="00BC1306" w:rsidRDefault="00313DA4" w:rsidP="00734BE3">
            <w:pPr>
              <w:pStyle w:val="ng-binding"/>
              <w:spacing w:before="75" w:beforeAutospacing="0" w:after="0" w:afterAutospacing="0"/>
              <w:ind w:right="75"/>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BC1306">
              <w:rPr>
                <w:color w:val="000000" w:themeColor="text1"/>
                <w:sz w:val="22"/>
                <w:szCs w:val="22"/>
              </w:rPr>
              <w:t>80,00</w:t>
            </w:r>
          </w:p>
        </w:tc>
        <w:tc>
          <w:tcPr>
            <w:tcW w:w="1430" w:type="dxa"/>
            <w:shd w:val="clear" w:color="auto" w:fill="auto"/>
            <w:vAlign w:val="center"/>
          </w:tcPr>
          <w:p w14:paraId="3D2BED1A" w14:textId="29231893" w:rsidR="00313DA4" w:rsidRPr="00BC1306" w:rsidRDefault="00313DA4" w:rsidP="00734BE3">
            <w:pPr>
              <w:pStyle w:val="ng-binding"/>
              <w:spacing w:before="75" w:beforeAutospacing="0" w:after="0" w:afterAutospacing="0"/>
              <w:ind w:right="75"/>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BC1306">
              <w:rPr>
                <w:color w:val="000000" w:themeColor="text1"/>
                <w:sz w:val="22"/>
                <w:szCs w:val="22"/>
              </w:rPr>
              <w:t>80,38</w:t>
            </w:r>
          </w:p>
        </w:tc>
        <w:tc>
          <w:tcPr>
            <w:tcW w:w="1430" w:type="dxa"/>
            <w:shd w:val="clear" w:color="auto" w:fill="auto"/>
            <w:vAlign w:val="center"/>
          </w:tcPr>
          <w:p w14:paraId="3D2BED1B" w14:textId="427277E6" w:rsidR="00313DA4" w:rsidRPr="00BC1306" w:rsidRDefault="00313DA4" w:rsidP="00734BE3">
            <w:pPr>
              <w:pStyle w:val="ng-binding"/>
              <w:spacing w:before="75" w:beforeAutospacing="0" w:after="0" w:afterAutospacing="0"/>
              <w:ind w:right="75"/>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BC1306">
              <w:rPr>
                <w:color w:val="000000" w:themeColor="text1"/>
                <w:sz w:val="22"/>
                <w:szCs w:val="22"/>
              </w:rPr>
              <w:t>80,60</w:t>
            </w:r>
          </w:p>
        </w:tc>
        <w:tc>
          <w:tcPr>
            <w:tcW w:w="1320" w:type="dxa"/>
            <w:shd w:val="clear" w:color="auto" w:fill="auto"/>
            <w:vAlign w:val="center"/>
          </w:tcPr>
          <w:p w14:paraId="3D2BED1C" w14:textId="77EA81BD" w:rsidR="00313DA4" w:rsidRPr="00BC1306" w:rsidRDefault="00C07D01" w:rsidP="00734BE3">
            <w:pPr>
              <w:pStyle w:val="ng-binding"/>
              <w:spacing w:before="75" w:beforeAutospacing="0" w:after="0" w:afterAutospacing="0"/>
              <w:ind w:right="75"/>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Pr>
                <w:color w:val="000000" w:themeColor="text1"/>
                <w:sz w:val="22"/>
                <w:szCs w:val="22"/>
              </w:rPr>
              <w:t>81,04</w:t>
            </w:r>
          </w:p>
        </w:tc>
      </w:tr>
      <w:tr w:rsidR="00313DA4" w:rsidRPr="00BC1306" w14:paraId="3D2BED25" w14:textId="77777777" w:rsidTr="00734BE3">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318" w:type="dxa"/>
            <w:vMerge/>
            <w:shd w:val="clear" w:color="auto" w:fill="auto"/>
            <w:vAlign w:val="center"/>
          </w:tcPr>
          <w:p w14:paraId="3D2BED1E" w14:textId="77777777" w:rsidR="00313DA4" w:rsidRPr="00BC1306" w:rsidRDefault="00313DA4" w:rsidP="00734BE3">
            <w:pPr>
              <w:jc w:val="center"/>
              <w:rPr>
                <w:rFonts w:cs="Times New Roman"/>
                <w:sz w:val="22"/>
              </w:rPr>
            </w:pPr>
          </w:p>
        </w:tc>
        <w:tc>
          <w:tcPr>
            <w:tcW w:w="1650" w:type="dxa"/>
            <w:shd w:val="clear" w:color="auto" w:fill="auto"/>
            <w:vAlign w:val="center"/>
          </w:tcPr>
          <w:p w14:paraId="3D2BED1F" w14:textId="77777777" w:rsidR="00313DA4" w:rsidRPr="00BC1306" w:rsidRDefault="00313DA4" w:rsidP="00734BE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BC1306">
              <w:rPr>
                <w:rFonts w:cs="Times New Roman"/>
                <w:sz w:val="22"/>
              </w:rPr>
              <w:t>Kauno apskritis</w:t>
            </w:r>
          </w:p>
        </w:tc>
        <w:tc>
          <w:tcPr>
            <w:tcW w:w="1430" w:type="dxa"/>
            <w:shd w:val="clear" w:color="auto" w:fill="auto"/>
            <w:vAlign w:val="center"/>
          </w:tcPr>
          <w:p w14:paraId="3D2BED20" w14:textId="4668AF69" w:rsidR="00313DA4" w:rsidRPr="00BC1306" w:rsidRDefault="00670BF5" w:rsidP="00734BE3">
            <w:pPr>
              <w:pStyle w:val="ng-binding"/>
              <w:spacing w:before="75" w:beforeAutospacing="0" w:after="0" w:afterAutospacing="0"/>
              <w:ind w:right="75"/>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Pr>
                <w:color w:val="000000" w:themeColor="text1"/>
                <w:sz w:val="22"/>
                <w:szCs w:val="22"/>
              </w:rPr>
              <w:t>79,97</w:t>
            </w:r>
          </w:p>
        </w:tc>
        <w:tc>
          <w:tcPr>
            <w:tcW w:w="1430" w:type="dxa"/>
            <w:shd w:val="clear" w:color="auto" w:fill="auto"/>
            <w:vAlign w:val="center"/>
          </w:tcPr>
          <w:p w14:paraId="3D2BED21" w14:textId="7C3C2034" w:rsidR="00313DA4" w:rsidRPr="00BC1306" w:rsidRDefault="00670BF5" w:rsidP="00734BE3">
            <w:pPr>
              <w:pStyle w:val="ng-binding"/>
              <w:spacing w:before="75" w:beforeAutospacing="0" w:after="0" w:afterAutospacing="0"/>
              <w:ind w:right="75"/>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Pr>
                <w:color w:val="000000" w:themeColor="text1"/>
                <w:sz w:val="22"/>
                <w:szCs w:val="22"/>
              </w:rPr>
              <w:t>80,46</w:t>
            </w:r>
          </w:p>
        </w:tc>
        <w:tc>
          <w:tcPr>
            <w:tcW w:w="1430" w:type="dxa"/>
            <w:shd w:val="clear" w:color="auto" w:fill="auto"/>
            <w:vAlign w:val="center"/>
          </w:tcPr>
          <w:p w14:paraId="3D2BED22" w14:textId="18D7500B" w:rsidR="00313DA4" w:rsidRPr="00BC1306" w:rsidRDefault="00670BF5" w:rsidP="00734BE3">
            <w:pPr>
              <w:pStyle w:val="ng-binding"/>
              <w:spacing w:before="75" w:beforeAutospacing="0" w:after="0" w:afterAutospacing="0"/>
              <w:ind w:right="75"/>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Pr>
                <w:color w:val="000000" w:themeColor="text1"/>
                <w:sz w:val="22"/>
                <w:szCs w:val="22"/>
              </w:rPr>
              <w:t>80,94</w:t>
            </w:r>
          </w:p>
        </w:tc>
        <w:tc>
          <w:tcPr>
            <w:tcW w:w="1430" w:type="dxa"/>
            <w:shd w:val="clear" w:color="auto" w:fill="auto"/>
            <w:vAlign w:val="center"/>
          </w:tcPr>
          <w:p w14:paraId="3D2BED23" w14:textId="067AED5C" w:rsidR="00313DA4" w:rsidRPr="00BC1306" w:rsidRDefault="00670BF5" w:rsidP="00734BE3">
            <w:pPr>
              <w:pStyle w:val="ng-binding"/>
              <w:spacing w:before="75" w:beforeAutospacing="0" w:after="0" w:afterAutospacing="0"/>
              <w:ind w:right="75"/>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Pr>
                <w:color w:val="000000" w:themeColor="text1"/>
                <w:sz w:val="22"/>
                <w:szCs w:val="22"/>
              </w:rPr>
              <w:t>81,00</w:t>
            </w:r>
          </w:p>
        </w:tc>
        <w:tc>
          <w:tcPr>
            <w:tcW w:w="1320" w:type="dxa"/>
            <w:shd w:val="clear" w:color="auto" w:fill="auto"/>
            <w:vAlign w:val="center"/>
          </w:tcPr>
          <w:p w14:paraId="3D2BED24" w14:textId="51CD4A2B" w:rsidR="00313DA4" w:rsidRPr="00BC1306" w:rsidRDefault="00670BF5" w:rsidP="00734BE3">
            <w:pPr>
              <w:pStyle w:val="ng-binding"/>
              <w:spacing w:before="75" w:beforeAutospacing="0" w:after="0" w:afterAutospacing="0"/>
              <w:ind w:right="75"/>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Pr>
                <w:color w:val="000000" w:themeColor="text1"/>
                <w:sz w:val="22"/>
                <w:szCs w:val="22"/>
              </w:rPr>
              <w:t>81,57</w:t>
            </w:r>
          </w:p>
        </w:tc>
      </w:tr>
    </w:tbl>
    <w:p w14:paraId="3D2BED26" w14:textId="77777777" w:rsidR="00550982" w:rsidRPr="00BC1306" w:rsidRDefault="00550982" w:rsidP="00BC1306">
      <w:pPr>
        <w:spacing w:after="0"/>
        <w:ind w:firstLine="720"/>
        <w:jc w:val="right"/>
        <w:rPr>
          <w:rFonts w:cs="Times New Roman"/>
          <w:i/>
        </w:rPr>
      </w:pPr>
      <w:r w:rsidRPr="00BC1306">
        <w:rPr>
          <w:rFonts w:cs="Times New Roman"/>
          <w:i/>
        </w:rPr>
        <w:t>Šaltinis: Lietuvos statistikos departamentas</w:t>
      </w:r>
    </w:p>
    <w:p w14:paraId="3D2BED27" w14:textId="77777777" w:rsidR="00550982" w:rsidRPr="00897128" w:rsidRDefault="00550982" w:rsidP="00BC1306">
      <w:pPr>
        <w:spacing w:after="0"/>
        <w:jc w:val="both"/>
        <w:rPr>
          <w:rFonts w:cs="Times New Roman"/>
          <w:sz w:val="22"/>
        </w:rPr>
      </w:pPr>
    </w:p>
    <w:p w14:paraId="3D2BED28" w14:textId="604B904B" w:rsidR="00550982" w:rsidRDefault="00550982" w:rsidP="00BC1306">
      <w:pPr>
        <w:widowControl w:val="0"/>
        <w:spacing w:after="0"/>
        <w:ind w:firstLine="720"/>
        <w:jc w:val="both"/>
        <w:rPr>
          <w:rFonts w:cs="Times New Roman"/>
        </w:rPr>
      </w:pPr>
      <w:r w:rsidRPr="00BC1306">
        <w:rPr>
          <w:rFonts w:cs="Times New Roman"/>
        </w:rPr>
        <w:t xml:space="preserve">Remiantis Higienos instituto sveikatos informacijos centro duomenimis, </w:t>
      </w:r>
      <w:r w:rsidR="00F618D3">
        <w:rPr>
          <w:rFonts w:cs="Times New Roman"/>
        </w:rPr>
        <w:t>2015–201</w:t>
      </w:r>
      <w:r w:rsidR="00C453B3">
        <w:rPr>
          <w:rFonts w:cs="Times New Roman"/>
        </w:rPr>
        <w:t>9</w:t>
      </w:r>
      <w:r w:rsidR="00F618D3">
        <w:rPr>
          <w:rFonts w:cs="Times New Roman"/>
        </w:rPr>
        <w:t xml:space="preserve"> m. Kauno mieste gimstamumas </w:t>
      </w:r>
      <w:r w:rsidRPr="00BC1306">
        <w:rPr>
          <w:rFonts w:cs="Times New Roman"/>
        </w:rPr>
        <w:t>svyravo ir 201</w:t>
      </w:r>
      <w:r w:rsidR="00C453B3">
        <w:rPr>
          <w:rFonts w:cs="Times New Roman"/>
        </w:rPr>
        <w:t>9</w:t>
      </w:r>
      <w:r w:rsidRPr="00BC1306">
        <w:rPr>
          <w:rFonts w:cs="Times New Roman"/>
        </w:rPr>
        <w:t xml:space="preserve"> m.</w:t>
      </w:r>
      <w:r w:rsidR="00B11B5D">
        <w:rPr>
          <w:rFonts w:cs="Times New Roman"/>
        </w:rPr>
        <w:t xml:space="preserve"> buvo mažiausi</w:t>
      </w:r>
      <w:r w:rsidR="00063D76">
        <w:rPr>
          <w:rFonts w:cs="Times New Roman"/>
        </w:rPr>
        <w:t>as</w:t>
      </w:r>
      <w:r w:rsidR="00EC6A12">
        <w:rPr>
          <w:rFonts w:cs="Times New Roman"/>
        </w:rPr>
        <w:t xml:space="preserve"> analizuojamu laikotarpiu (</w:t>
      </w:r>
      <w:r w:rsidR="00C453B3">
        <w:rPr>
          <w:rFonts w:cs="Times New Roman"/>
        </w:rPr>
        <w:t>9,7</w:t>
      </w:r>
      <w:r w:rsidRPr="00BC1306">
        <w:rPr>
          <w:rFonts w:cs="Times New Roman"/>
        </w:rPr>
        <w:t>/1000 gyv.</w:t>
      </w:r>
      <w:r w:rsidR="00EC6A12">
        <w:rPr>
          <w:rFonts w:cs="Times New Roman"/>
        </w:rPr>
        <w:t>).</w:t>
      </w:r>
      <w:r w:rsidRPr="00BC1306">
        <w:rPr>
          <w:rFonts w:cs="Times New Roman"/>
        </w:rPr>
        <w:t xml:space="preserve"> Lietuvoje analizuojamu laikotarpiu gimstamumas mažėjo ir 201</w:t>
      </w:r>
      <w:r w:rsidR="004456A0">
        <w:rPr>
          <w:rFonts w:cs="Times New Roman"/>
        </w:rPr>
        <w:t>9</w:t>
      </w:r>
      <w:r w:rsidRPr="00BC1306">
        <w:rPr>
          <w:rFonts w:cs="Times New Roman"/>
        </w:rPr>
        <w:t xml:space="preserve"> m. siekė </w:t>
      </w:r>
      <w:r w:rsidR="004456A0">
        <w:rPr>
          <w:rFonts w:cs="Times New Roman"/>
        </w:rPr>
        <w:t>9,8</w:t>
      </w:r>
      <w:r w:rsidRPr="00BC1306">
        <w:rPr>
          <w:rFonts w:cs="Times New Roman"/>
        </w:rPr>
        <w:t>/1000 gyv. (2 pav.). Iš viso Kauno mieste 201</w:t>
      </w:r>
      <w:r w:rsidR="002F4E67">
        <w:rPr>
          <w:rFonts w:cs="Times New Roman"/>
        </w:rPr>
        <w:t>9</w:t>
      </w:r>
      <w:r w:rsidRPr="00BC1306">
        <w:rPr>
          <w:rFonts w:cs="Times New Roman"/>
        </w:rPr>
        <w:t xml:space="preserve"> m. gimė </w:t>
      </w:r>
      <w:r w:rsidR="008802FD">
        <w:rPr>
          <w:rFonts w:cs="Times New Roman"/>
        </w:rPr>
        <w:t>2789</w:t>
      </w:r>
      <w:r w:rsidRPr="00BC1306">
        <w:rPr>
          <w:rFonts w:cs="Times New Roman"/>
        </w:rPr>
        <w:t xml:space="preserve"> vaikai.</w:t>
      </w:r>
    </w:p>
    <w:p w14:paraId="3D2BED29" w14:textId="77777777" w:rsidR="003A1DFF" w:rsidRPr="00897128" w:rsidRDefault="003A1DFF" w:rsidP="003A1DFF">
      <w:pPr>
        <w:widowControl w:val="0"/>
        <w:spacing w:after="0"/>
        <w:jc w:val="both"/>
        <w:rPr>
          <w:rFonts w:cs="Times New Roman"/>
          <w:sz w:val="22"/>
        </w:rPr>
      </w:pPr>
    </w:p>
    <w:p w14:paraId="3D2BED2A" w14:textId="77777777" w:rsidR="00550982" w:rsidRPr="00BC1306" w:rsidRDefault="00550982" w:rsidP="00263755">
      <w:pPr>
        <w:spacing w:after="0"/>
        <w:ind w:firstLine="720"/>
        <w:jc w:val="both"/>
        <w:rPr>
          <w:rFonts w:cs="Times New Roman"/>
        </w:rPr>
      </w:pPr>
      <w:r w:rsidRPr="00BC1306">
        <w:rPr>
          <w:rFonts w:cs="Times New Roman"/>
          <w:noProof/>
          <w:lang w:eastAsia="lt-LT"/>
        </w:rPr>
        <w:drawing>
          <wp:inline distT="0" distB="0" distL="0" distR="0" wp14:anchorId="3D2BF0A3" wp14:editId="1DB65804">
            <wp:extent cx="5308600" cy="1440000"/>
            <wp:effectExtent l="0" t="0" r="6350" b="8255"/>
            <wp:docPr id="10" name="Diagrama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D2BED2B" w14:textId="19CAD6A6" w:rsidR="00550982" w:rsidRPr="00BC1306" w:rsidRDefault="00550982" w:rsidP="00BC1306">
      <w:pPr>
        <w:spacing w:after="0"/>
        <w:ind w:firstLine="720"/>
        <w:jc w:val="center"/>
        <w:rPr>
          <w:rFonts w:cs="Times New Roman"/>
        </w:rPr>
      </w:pPr>
      <w:r w:rsidRPr="00BC1306">
        <w:rPr>
          <w:rFonts w:cs="Times New Roman"/>
        </w:rPr>
        <w:t>2 pav. Gimstamumo rodiklis 1000 gyv</w:t>
      </w:r>
      <w:r w:rsidR="001A6648">
        <w:rPr>
          <w:rFonts w:cs="Times New Roman"/>
        </w:rPr>
        <w:t>entojų Lietuvoje ir Kauno mieste</w:t>
      </w:r>
      <w:r w:rsidRPr="00BC1306">
        <w:rPr>
          <w:rFonts w:cs="Times New Roman"/>
        </w:rPr>
        <w:t xml:space="preserve"> 2015–201</w:t>
      </w:r>
      <w:r w:rsidR="008802FD">
        <w:rPr>
          <w:rFonts w:cs="Times New Roman"/>
        </w:rPr>
        <w:t>9</w:t>
      </w:r>
      <w:r w:rsidRPr="00BC1306">
        <w:rPr>
          <w:rFonts w:cs="Times New Roman"/>
        </w:rPr>
        <w:t xml:space="preserve"> m. </w:t>
      </w:r>
    </w:p>
    <w:p w14:paraId="3D2BED2C" w14:textId="77777777" w:rsidR="00550982" w:rsidRPr="00BC1306" w:rsidRDefault="00550982" w:rsidP="00BC1306">
      <w:pPr>
        <w:spacing w:after="0"/>
        <w:jc w:val="right"/>
        <w:rPr>
          <w:rFonts w:cs="Times New Roman"/>
          <w:i/>
        </w:rPr>
      </w:pPr>
      <w:r w:rsidRPr="00BC1306">
        <w:rPr>
          <w:rFonts w:cs="Times New Roman"/>
          <w:i/>
          <w:szCs w:val="24"/>
        </w:rPr>
        <w:t>Šaltinis:</w:t>
      </w:r>
      <w:r w:rsidRPr="00BC1306">
        <w:rPr>
          <w:rFonts w:cs="Times New Roman"/>
          <w:szCs w:val="24"/>
        </w:rPr>
        <w:t xml:space="preserve"> </w:t>
      </w:r>
      <w:r w:rsidRPr="00BC1306">
        <w:rPr>
          <w:rFonts w:cs="Times New Roman"/>
          <w:i/>
        </w:rPr>
        <w:t>Higienos instituto sveikatos informacijos centras</w:t>
      </w:r>
    </w:p>
    <w:p w14:paraId="3D2BED2D" w14:textId="77777777" w:rsidR="00550982" w:rsidRPr="00897128" w:rsidRDefault="00550982" w:rsidP="00C93DF0">
      <w:pPr>
        <w:spacing w:after="0"/>
        <w:rPr>
          <w:rFonts w:cs="Times New Roman"/>
          <w:sz w:val="22"/>
          <w:szCs w:val="24"/>
        </w:rPr>
      </w:pPr>
    </w:p>
    <w:p w14:paraId="3D2BED2E" w14:textId="6CA094DC" w:rsidR="00D85A57" w:rsidRDefault="00550982" w:rsidP="00BC1306">
      <w:pPr>
        <w:spacing w:after="0"/>
        <w:ind w:firstLine="720"/>
        <w:jc w:val="both"/>
        <w:rPr>
          <w:rFonts w:cs="Times New Roman"/>
        </w:rPr>
      </w:pPr>
      <w:r w:rsidRPr="00BC1306">
        <w:rPr>
          <w:rFonts w:cs="Times New Roman"/>
        </w:rPr>
        <w:t>Kaune 201</w:t>
      </w:r>
      <w:r w:rsidR="00107CE2">
        <w:rPr>
          <w:rFonts w:cs="Times New Roman"/>
        </w:rPr>
        <w:t>9</w:t>
      </w:r>
      <w:r w:rsidRPr="00BC1306">
        <w:rPr>
          <w:rFonts w:cs="Times New Roman"/>
        </w:rPr>
        <w:t xml:space="preserve"> m. iš viso mirė </w:t>
      </w:r>
      <w:r w:rsidR="00154658">
        <w:rPr>
          <w:rFonts w:cs="Times New Roman"/>
        </w:rPr>
        <w:t>3723</w:t>
      </w:r>
      <w:r w:rsidRPr="00BC1306">
        <w:rPr>
          <w:rFonts w:cs="Times New Roman"/>
        </w:rPr>
        <w:t xml:space="preserve"> asmenys. Remiantis Higienos instituto sveikatos informacijos centro duomenimis, bendras Lietuvos mirtingumo rodiklis nuo 2015 m. mažėjo. Kauno m</w:t>
      </w:r>
      <w:r w:rsidR="0066567B">
        <w:rPr>
          <w:rFonts w:cs="Times New Roman"/>
        </w:rPr>
        <w:t>ieste</w:t>
      </w:r>
      <w:r w:rsidRPr="00BC1306">
        <w:rPr>
          <w:rFonts w:cs="Times New Roman"/>
        </w:rPr>
        <w:t xml:space="preserve"> </w:t>
      </w:r>
      <w:r w:rsidR="00C9486D">
        <w:rPr>
          <w:rFonts w:cs="Times New Roman"/>
        </w:rPr>
        <w:t xml:space="preserve">taip pat </w:t>
      </w:r>
      <w:r w:rsidRPr="00BC1306">
        <w:rPr>
          <w:rFonts w:cs="Times New Roman"/>
        </w:rPr>
        <w:t>stebima mirtingumo mažėjimo tendencij</w:t>
      </w:r>
      <w:r w:rsidR="00512CDF">
        <w:rPr>
          <w:rFonts w:cs="Times New Roman"/>
        </w:rPr>
        <w:t>a</w:t>
      </w:r>
      <w:r w:rsidRPr="00BC1306">
        <w:rPr>
          <w:rFonts w:cs="Times New Roman"/>
        </w:rPr>
        <w:t>. (3 pav.).</w:t>
      </w:r>
    </w:p>
    <w:p w14:paraId="3D2BED2F" w14:textId="77777777" w:rsidR="00C93DF0" w:rsidRPr="00897128" w:rsidRDefault="00C93DF0" w:rsidP="00BC1306">
      <w:pPr>
        <w:spacing w:after="0"/>
        <w:ind w:firstLine="720"/>
        <w:jc w:val="both"/>
        <w:rPr>
          <w:rFonts w:cs="Times New Roman"/>
          <w:sz w:val="22"/>
        </w:rPr>
      </w:pPr>
    </w:p>
    <w:p w14:paraId="3D2BED30" w14:textId="77777777" w:rsidR="00550982" w:rsidRPr="00BC1306" w:rsidRDefault="00550982" w:rsidP="00BC1306">
      <w:pPr>
        <w:spacing w:after="0"/>
        <w:ind w:firstLine="720"/>
        <w:jc w:val="both"/>
        <w:rPr>
          <w:rFonts w:cs="Times New Roman"/>
          <w:szCs w:val="24"/>
        </w:rPr>
      </w:pPr>
      <w:r w:rsidRPr="00BC1306">
        <w:rPr>
          <w:rFonts w:cs="Times New Roman"/>
          <w:noProof/>
          <w:lang w:eastAsia="lt-LT"/>
        </w:rPr>
        <w:drawing>
          <wp:inline distT="0" distB="0" distL="0" distR="0" wp14:anchorId="3D2BF0A5" wp14:editId="042BB910">
            <wp:extent cx="5486400" cy="1440000"/>
            <wp:effectExtent l="0" t="0" r="0" b="8255"/>
            <wp:docPr id="12" name="Diagrama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D2BED31" w14:textId="376C5392" w:rsidR="00550982" w:rsidRPr="00BC1306" w:rsidRDefault="00550982" w:rsidP="00BC1306">
      <w:pPr>
        <w:spacing w:after="0"/>
        <w:ind w:firstLine="720"/>
        <w:jc w:val="center"/>
        <w:rPr>
          <w:rFonts w:cs="Times New Roman"/>
        </w:rPr>
      </w:pPr>
      <w:r w:rsidRPr="00BC1306">
        <w:rPr>
          <w:rFonts w:cs="Times New Roman"/>
        </w:rPr>
        <w:t>3 pav. Mirtingumo rodiklis 1000 gyve</w:t>
      </w:r>
      <w:r w:rsidR="001A6648">
        <w:rPr>
          <w:rFonts w:cs="Times New Roman"/>
        </w:rPr>
        <w:t>ntojų Lietuvoje ir Kauno mieste</w:t>
      </w:r>
      <w:r w:rsidRPr="00BC1306">
        <w:rPr>
          <w:rFonts w:cs="Times New Roman"/>
        </w:rPr>
        <w:t xml:space="preserve"> 2015–201</w:t>
      </w:r>
      <w:r w:rsidR="00512CDF">
        <w:rPr>
          <w:rFonts w:cs="Times New Roman"/>
        </w:rPr>
        <w:t>9</w:t>
      </w:r>
      <w:r w:rsidRPr="00BC1306">
        <w:rPr>
          <w:rFonts w:cs="Times New Roman"/>
        </w:rPr>
        <w:t xml:space="preserve"> m.</w:t>
      </w:r>
    </w:p>
    <w:p w14:paraId="3D2BED32" w14:textId="77777777" w:rsidR="00C93DF0" w:rsidRPr="00C93DF0" w:rsidRDefault="00550982" w:rsidP="00C93DF0">
      <w:pPr>
        <w:spacing w:after="0"/>
        <w:jc w:val="right"/>
        <w:rPr>
          <w:rFonts w:cs="Times New Roman"/>
          <w:i/>
        </w:rPr>
      </w:pPr>
      <w:r w:rsidRPr="00BC1306">
        <w:rPr>
          <w:rFonts w:cs="Times New Roman"/>
          <w:i/>
          <w:szCs w:val="24"/>
        </w:rPr>
        <w:t>Šaltinis:</w:t>
      </w:r>
      <w:r w:rsidRPr="00BC1306">
        <w:rPr>
          <w:rFonts w:cs="Times New Roman"/>
          <w:szCs w:val="24"/>
        </w:rPr>
        <w:t xml:space="preserve"> </w:t>
      </w:r>
      <w:r w:rsidRPr="00BC1306">
        <w:rPr>
          <w:rFonts w:cs="Times New Roman"/>
          <w:i/>
        </w:rPr>
        <w:t>Higienos instituto sveikatos informacijos centras</w:t>
      </w:r>
    </w:p>
    <w:p w14:paraId="3D2BED33" w14:textId="77777777" w:rsidR="00C93DF0" w:rsidRPr="00897128" w:rsidRDefault="00C93DF0" w:rsidP="00C93DF0">
      <w:pPr>
        <w:keepLines/>
        <w:spacing w:after="0"/>
        <w:jc w:val="both"/>
        <w:rPr>
          <w:rFonts w:cs="Times New Roman"/>
          <w:sz w:val="20"/>
        </w:rPr>
      </w:pPr>
    </w:p>
    <w:p w14:paraId="3D2BED34" w14:textId="0979FA54" w:rsidR="00550982" w:rsidRDefault="001A6648" w:rsidP="00C93DF0">
      <w:pPr>
        <w:widowControl w:val="0"/>
        <w:spacing w:after="0"/>
        <w:ind w:firstLine="720"/>
        <w:jc w:val="both"/>
        <w:rPr>
          <w:rFonts w:cs="Times New Roman"/>
        </w:rPr>
      </w:pPr>
      <w:r>
        <w:rPr>
          <w:rFonts w:cs="Times New Roman"/>
        </w:rPr>
        <w:t>201</w:t>
      </w:r>
      <w:r w:rsidR="00AA709F">
        <w:rPr>
          <w:rFonts w:cs="Times New Roman"/>
        </w:rPr>
        <w:t>5</w:t>
      </w:r>
      <w:r>
        <w:rPr>
          <w:rFonts w:cs="Times New Roman"/>
        </w:rPr>
        <w:t>–201</w:t>
      </w:r>
      <w:r w:rsidR="00AA709F">
        <w:rPr>
          <w:rFonts w:cs="Times New Roman"/>
        </w:rPr>
        <w:t>9</w:t>
      </w:r>
      <w:r>
        <w:rPr>
          <w:rFonts w:cs="Times New Roman"/>
        </w:rPr>
        <w:t xml:space="preserve"> m. </w:t>
      </w:r>
      <w:r w:rsidR="00550982" w:rsidRPr="00BC1306">
        <w:rPr>
          <w:rFonts w:cs="Times New Roman"/>
        </w:rPr>
        <w:t>K</w:t>
      </w:r>
      <w:r>
        <w:rPr>
          <w:rFonts w:cs="Times New Roman"/>
        </w:rPr>
        <w:t>auno mieste vyrų mirtingumas buvo</w:t>
      </w:r>
      <w:r w:rsidR="00550982" w:rsidRPr="00BC1306">
        <w:rPr>
          <w:rFonts w:cs="Times New Roman"/>
        </w:rPr>
        <w:t xml:space="preserve"> didesnis nei moterų. Lyginant su 201</w:t>
      </w:r>
      <w:r w:rsidR="00525D58">
        <w:rPr>
          <w:rFonts w:cs="Times New Roman"/>
        </w:rPr>
        <w:t>8</w:t>
      </w:r>
      <w:r w:rsidR="00550982" w:rsidRPr="00BC1306">
        <w:rPr>
          <w:rFonts w:cs="Times New Roman"/>
        </w:rPr>
        <w:t xml:space="preserve"> m., 20</w:t>
      </w:r>
      <w:r w:rsidR="00525D58">
        <w:rPr>
          <w:rFonts w:cs="Times New Roman"/>
        </w:rPr>
        <w:t>19</w:t>
      </w:r>
      <w:r w:rsidR="00550982" w:rsidRPr="00BC1306">
        <w:rPr>
          <w:rFonts w:cs="Times New Roman"/>
        </w:rPr>
        <w:t xml:space="preserve"> m</w:t>
      </w:r>
      <w:r>
        <w:rPr>
          <w:rFonts w:cs="Times New Roman"/>
        </w:rPr>
        <w:t>. vyrų</w:t>
      </w:r>
      <w:r w:rsidR="00525D58">
        <w:rPr>
          <w:rFonts w:cs="Times New Roman"/>
        </w:rPr>
        <w:t xml:space="preserve"> ir moterų</w:t>
      </w:r>
      <w:r>
        <w:rPr>
          <w:rFonts w:cs="Times New Roman"/>
        </w:rPr>
        <w:t xml:space="preserve"> mirtingumo rodiklis Kaune</w:t>
      </w:r>
      <w:r w:rsidR="00550982" w:rsidRPr="00BC1306">
        <w:rPr>
          <w:rFonts w:cs="Times New Roman"/>
        </w:rPr>
        <w:t xml:space="preserve"> sumažėjo ir </w:t>
      </w:r>
      <w:r w:rsidR="00525D58">
        <w:rPr>
          <w:rFonts w:cs="Times New Roman"/>
        </w:rPr>
        <w:t xml:space="preserve">atitinkamai </w:t>
      </w:r>
      <w:r w:rsidR="00550982" w:rsidRPr="00BC1306">
        <w:rPr>
          <w:rFonts w:cs="Times New Roman"/>
        </w:rPr>
        <w:t xml:space="preserve">siekė </w:t>
      </w:r>
      <w:r w:rsidR="00525D58">
        <w:rPr>
          <w:rFonts w:cs="Times New Roman"/>
        </w:rPr>
        <w:t>1311,74</w:t>
      </w:r>
      <w:r w:rsidR="00550982" w:rsidRPr="00BC1306">
        <w:rPr>
          <w:rFonts w:cs="Times New Roman"/>
        </w:rPr>
        <w:t xml:space="preserve"> </w:t>
      </w:r>
      <w:proofErr w:type="spellStart"/>
      <w:r w:rsidR="00550982" w:rsidRPr="00BC1306">
        <w:rPr>
          <w:rFonts w:cs="Times New Roman"/>
        </w:rPr>
        <w:t>atv</w:t>
      </w:r>
      <w:proofErr w:type="spellEnd"/>
      <w:r w:rsidR="00550982" w:rsidRPr="00BC1306">
        <w:rPr>
          <w:rFonts w:cs="Times New Roman"/>
        </w:rPr>
        <w:t xml:space="preserve">./100 000 </w:t>
      </w:r>
      <w:r w:rsidR="00525D58">
        <w:rPr>
          <w:rFonts w:cs="Times New Roman"/>
        </w:rPr>
        <w:t>ir</w:t>
      </w:r>
      <w:r w:rsidR="00550982" w:rsidRPr="00BC1306">
        <w:rPr>
          <w:rFonts w:cs="Times New Roman"/>
        </w:rPr>
        <w:t xml:space="preserve"> </w:t>
      </w:r>
      <w:r w:rsidR="00525D58">
        <w:rPr>
          <w:rFonts w:cs="Times New Roman"/>
        </w:rPr>
        <w:t>1277,19</w:t>
      </w:r>
      <w:r w:rsidR="00550982" w:rsidRPr="00BC1306">
        <w:rPr>
          <w:rFonts w:cs="Times New Roman"/>
        </w:rPr>
        <w:t xml:space="preserve"> </w:t>
      </w:r>
      <w:proofErr w:type="spellStart"/>
      <w:r w:rsidR="00550982" w:rsidRPr="00BC1306">
        <w:rPr>
          <w:rFonts w:cs="Times New Roman"/>
        </w:rPr>
        <w:t>atv</w:t>
      </w:r>
      <w:proofErr w:type="spellEnd"/>
      <w:r w:rsidR="00550982" w:rsidRPr="00BC1306">
        <w:rPr>
          <w:rFonts w:cs="Times New Roman"/>
        </w:rPr>
        <w:t xml:space="preserve">./100 000 gyv. (4 lentelė). </w:t>
      </w:r>
    </w:p>
    <w:p w14:paraId="2C13027F" w14:textId="1C673AA9" w:rsidR="00CB6A77" w:rsidRDefault="00CB6A77" w:rsidP="00C93DF0">
      <w:pPr>
        <w:widowControl w:val="0"/>
        <w:spacing w:after="0"/>
        <w:ind w:firstLine="720"/>
        <w:jc w:val="both"/>
        <w:rPr>
          <w:rFonts w:cs="Times New Roman"/>
        </w:rPr>
      </w:pPr>
    </w:p>
    <w:p w14:paraId="3F422070" w14:textId="77777777" w:rsidR="00387739" w:rsidRPr="00BC1306" w:rsidRDefault="00387739" w:rsidP="00C93DF0">
      <w:pPr>
        <w:widowControl w:val="0"/>
        <w:spacing w:after="0"/>
        <w:ind w:firstLine="720"/>
        <w:jc w:val="both"/>
        <w:rPr>
          <w:rFonts w:cs="Times New Roman"/>
        </w:rPr>
      </w:pPr>
    </w:p>
    <w:p w14:paraId="3D2BED35" w14:textId="073BF338" w:rsidR="00550982" w:rsidRPr="00BC1306" w:rsidRDefault="00550982" w:rsidP="00FF42D6">
      <w:pPr>
        <w:spacing w:after="0"/>
        <w:jc w:val="right"/>
        <w:rPr>
          <w:rFonts w:cs="Times New Roman"/>
          <w:i/>
        </w:rPr>
      </w:pPr>
      <w:r w:rsidRPr="00BC1306">
        <w:rPr>
          <w:rFonts w:cs="Times New Roman"/>
        </w:rPr>
        <w:lastRenderedPageBreak/>
        <w:t>4 lentelė. Mirtingumas pagal lytį 100 000</w:t>
      </w:r>
      <w:r w:rsidR="001A6648">
        <w:rPr>
          <w:rFonts w:cs="Times New Roman"/>
        </w:rPr>
        <w:t xml:space="preserve"> gyventojų Lietuvoje ir Kauno mieste</w:t>
      </w:r>
      <w:r w:rsidRPr="00BC1306">
        <w:rPr>
          <w:rFonts w:cs="Times New Roman"/>
        </w:rPr>
        <w:t xml:space="preserve"> 201</w:t>
      </w:r>
      <w:r w:rsidR="00AA709F">
        <w:rPr>
          <w:rFonts w:cs="Times New Roman"/>
        </w:rPr>
        <w:t>5</w:t>
      </w:r>
      <w:r w:rsidRPr="00BC1306">
        <w:rPr>
          <w:rFonts w:cs="Times New Roman"/>
        </w:rPr>
        <w:t>–201</w:t>
      </w:r>
      <w:r w:rsidR="00AA709F">
        <w:rPr>
          <w:rFonts w:cs="Times New Roman"/>
        </w:rPr>
        <w:t>9</w:t>
      </w:r>
      <w:r w:rsidRPr="00BC1306">
        <w:rPr>
          <w:rFonts w:cs="Times New Roman"/>
        </w:rPr>
        <w:t xml:space="preserve"> m.</w:t>
      </w:r>
    </w:p>
    <w:tbl>
      <w:tblPr>
        <w:tblStyle w:val="4tinkleliolentel3parykinimas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463"/>
        <w:gridCol w:w="1391"/>
        <w:gridCol w:w="1391"/>
        <w:gridCol w:w="1391"/>
        <w:gridCol w:w="1391"/>
        <w:gridCol w:w="1391"/>
      </w:tblGrid>
      <w:tr w:rsidR="00CB6A77" w:rsidRPr="00BC1306" w14:paraId="3D2BED3D" w14:textId="77777777" w:rsidTr="00D851D0">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470" w:type="dxa"/>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14:paraId="3D2BED36" w14:textId="77777777" w:rsidR="00CB6A77" w:rsidRPr="00BC1306" w:rsidRDefault="00CB6A77" w:rsidP="00CB6A77">
            <w:pPr>
              <w:jc w:val="center"/>
              <w:rPr>
                <w:rFonts w:cs="Times New Roman"/>
                <w:color w:val="auto"/>
              </w:rPr>
            </w:pPr>
            <w:r w:rsidRPr="00BC1306">
              <w:rPr>
                <w:rFonts w:cs="Times New Roman"/>
                <w:color w:val="auto"/>
              </w:rPr>
              <w:t>Lytis</w:t>
            </w:r>
          </w:p>
        </w:tc>
        <w:tc>
          <w:tcPr>
            <w:tcW w:w="1463" w:type="dxa"/>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14:paraId="3D2BED37" w14:textId="77777777" w:rsidR="00CB6A77" w:rsidRPr="00BC1306" w:rsidRDefault="00CB6A77" w:rsidP="00CB6A77">
            <w:pPr>
              <w:jc w:val="center"/>
              <w:cnfStyle w:val="100000000000" w:firstRow="1" w:lastRow="0" w:firstColumn="0" w:lastColumn="0" w:oddVBand="0" w:evenVBand="0" w:oddHBand="0" w:evenHBand="0" w:firstRowFirstColumn="0" w:firstRowLastColumn="0" w:lastRowFirstColumn="0" w:lastRowLastColumn="0"/>
              <w:rPr>
                <w:rFonts w:cs="Times New Roman"/>
                <w:color w:val="auto"/>
              </w:rPr>
            </w:pPr>
            <w:r w:rsidRPr="00BC1306">
              <w:rPr>
                <w:rFonts w:cs="Times New Roman"/>
                <w:color w:val="auto"/>
              </w:rPr>
              <w:t>Vietovė</w:t>
            </w:r>
          </w:p>
        </w:tc>
        <w:tc>
          <w:tcPr>
            <w:tcW w:w="1391" w:type="dxa"/>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14:paraId="3D2BED38" w14:textId="0E982212" w:rsidR="00CB6A77" w:rsidRPr="00BC1306" w:rsidRDefault="00CB6A77" w:rsidP="00CB6A77">
            <w:pPr>
              <w:jc w:val="center"/>
              <w:cnfStyle w:val="100000000000" w:firstRow="1" w:lastRow="0" w:firstColumn="0" w:lastColumn="0" w:oddVBand="0" w:evenVBand="0" w:oddHBand="0" w:evenHBand="0" w:firstRowFirstColumn="0" w:firstRowLastColumn="0" w:lastRowFirstColumn="0" w:lastRowLastColumn="0"/>
              <w:rPr>
                <w:rFonts w:cs="Times New Roman"/>
                <w:color w:val="auto"/>
              </w:rPr>
            </w:pPr>
            <w:r w:rsidRPr="00BC1306">
              <w:rPr>
                <w:rFonts w:cs="Times New Roman"/>
                <w:color w:val="auto"/>
              </w:rPr>
              <w:t>2015</w:t>
            </w:r>
          </w:p>
        </w:tc>
        <w:tc>
          <w:tcPr>
            <w:tcW w:w="1391" w:type="dxa"/>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14:paraId="3D2BED39" w14:textId="7D5FCF4C" w:rsidR="00CB6A77" w:rsidRPr="00BC1306" w:rsidRDefault="00CB6A77" w:rsidP="00CB6A77">
            <w:pPr>
              <w:jc w:val="center"/>
              <w:cnfStyle w:val="100000000000" w:firstRow="1" w:lastRow="0" w:firstColumn="0" w:lastColumn="0" w:oddVBand="0" w:evenVBand="0" w:oddHBand="0" w:evenHBand="0" w:firstRowFirstColumn="0" w:firstRowLastColumn="0" w:lastRowFirstColumn="0" w:lastRowLastColumn="0"/>
              <w:rPr>
                <w:rFonts w:cs="Times New Roman"/>
                <w:color w:val="auto"/>
              </w:rPr>
            </w:pPr>
            <w:r w:rsidRPr="00BC1306">
              <w:rPr>
                <w:rFonts w:cs="Times New Roman"/>
                <w:color w:val="auto"/>
              </w:rPr>
              <w:t>2016</w:t>
            </w:r>
          </w:p>
        </w:tc>
        <w:tc>
          <w:tcPr>
            <w:tcW w:w="1391" w:type="dxa"/>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14:paraId="3D2BED3A" w14:textId="5FA090BE" w:rsidR="00CB6A77" w:rsidRPr="00BC1306" w:rsidRDefault="00CB6A77" w:rsidP="00CB6A77">
            <w:pPr>
              <w:jc w:val="center"/>
              <w:cnfStyle w:val="100000000000" w:firstRow="1" w:lastRow="0" w:firstColumn="0" w:lastColumn="0" w:oddVBand="0" w:evenVBand="0" w:oddHBand="0" w:evenHBand="0" w:firstRowFirstColumn="0" w:firstRowLastColumn="0" w:lastRowFirstColumn="0" w:lastRowLastColumn="0"/>
              <w:rPr>
                <w:rFonts w:cs="Times New Roman"/>
                <w:color w:val="auto"/>
              </w:rPr>
            </w:pPr>
            <w:r w:rsidRPr="00BC1306">
              <w:rPr>
                <w:rFonts w:cs="Times New Roman"/>
                <w:color w:val="auto"/>
              </w:rPr>
              <w:t>2017</w:t>
            </w:r>
          </w:p>
        </w:tc>
        <w:tc>
          <w:tcPr>
            <w:tcW w:w="1391" w:type="dxa"/>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14:paraId="3D2BED3B" w14:textId="2DDDA5DC" w:rsidR="00CB6A77" w:rsidRPr="00BC1306" w:rsidRDefault="00CB6A77" w:rsidP="00CB6A77">
            <w:pPr>
              <w:jc w:val="center"/>
              <w:cnfStyle w:val="100000000000" w:firstRow="1" w:lastRow="0" w:firstColumn="0" w:lastColumn="0" w:oddVBand="0" w:evenVBand="0" w:oddHBand="0" w:evenHBand="0" w:firstRowFirstColumn="0" w:firstRowLastColumn="0" w:lastRowFirstColumn="0" w:lastRowLastColumn="0"/>
              <w:rPr>
                <w:rFonts w:cs="Times New Roman"/>
                <w:color w:val="auto"/>
              </w:rPr>
            </w:pPr>
            <w:r w:rsidRPr="00BC1306">
              <w:rPr>
                <w:rFonts w:cs="Times New Roman"/>
                <w:color w:val="auto"/>
              </w:rPr>
              <w:t>2018</w:t>
            </w:r>
          </w:p>
        </w:tc>
        <w:tc>
          <w:tcPr>
            <w:tcW w:w="1391" w:type="dxa"/>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14:paraId="3D2BED3C" w14:textId="23141505" w:rsidR="00CB6A77" w:rsidRPr="00BC1306" w:rsidRDefault="00CB6A77" w:rsidP="00CB6A77">
            <w:pPr>
              <w:jc w:val="center"/>
              <w:cnfStyle w:val="100000000000" w:firstRow="1" w:lastRow="0" w:firstColumn="0" w:lastColumn="0" w:oddVBand="0" w:evenVBand="0" w:oddHBand="0" w:evenHBand="0" w:firstRowFirstColumn="0" w:firstRowLastColumn="0" w:lastRowFirstColumn="0" w:lastRowLastColumn="0"/>
              <w:rPr>
                <w:rFonts w:cs="Times New Roman"/>
                <w:color w:val="auto"/>
              </w:rPr>
            </w:pPr>
            <w:r>
              <w:rPr>
                <w:rFonts w:cs="Times New Roman"/>
                <w:color w:val="auto"/>
              </w:rPr>
              <w:t>2019</w:t>
            </w:r>
          </w:p>
        </w:tc>
      </w:tr>
      <w:tr w:rsidR="00CB6A77" w:rsidRPr="00BC1306" w14:paraId="3D2BED45" w14:textId="77777777" w:rsidTr="00D851D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470" w:type="dxa"/>
            <w:vMerge w:val="restart"/>
            <w:shd w:val="clear" w:color="auto" w:fill="auto"/>
            <w:vAlign w:val="center"/>
          </w:tcPr>
          <w:p w14:paraId="3D2BED3E" w14:textId="77777777" w:rsidR="00CB6A77" w:rsidRPr="00BC1306" w:rsidRDefault="00CB6A77" w:rsidP="00CB6A77">
            <w:pPr>
              <w:jc w:val="center"/>
              <w:rPr>
                <w:rFonts w:cs="Times New Roman"/>
              </w:rPr>
            </w:pPr>
            <w:r w:rsidRPr="00BC1306">
              <w:rPr>
                <w:rFonts w:cs="Times New Roman"/>
              </w:rPr>
              <w:t>Vyrai</w:t>
            </w:r>
          </w:p>
        </w:tc>
        <w:tc>
          <w:tcPr>
            <w:tcW w:w="1463" w:type="dxa"/>
            <w:shd w:val="clear" w:color="auto" w:fill="auto"/>
            <w:vAlign w:val="center"/>
          </w:tcPr>
          <w:p w14:paraId="3D2BED3F" w14:textId="77777777" w:rsidR="00CB6A77" w:rsidRPr="00BC1306" w:rsidRDefault="00CB6A77" w:rsidP="00CB6A77">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BC1306">
              <w:rPr>
                <w:rFonts w:cs="Times New Roman"/>
              </w:rPr>
              <w:t>Kauno m.</w:t>
            </w:r>
          </w:p>
        </w:tc>
        <w:tc>
          <w:tcPr>
            <w:tcW w:w="1391" w:type="dxa"/>
            <w:shd w:val="clear" w:color="auto" w:fill="auto"/>
            <w:vAlign w:val="center"/>
          </w:tcPr>
          <w:p w14:paraId="3D2BED40" w14:textId="06C48983" w:rsidR="00CB6A77" w:rsidRPr="00BC1306" w:rsidRDefault="00CB6A77" w:rsidP="00CB6A77">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BC1306">
              <w:rPr>
                <w:rFonts w:cs="Times New Roman"/>
              </w:rPr>
              <w:t>1498,77</w:t>
            </w:r>
          </w:p>
        </w:tc>
        <w:tc>
          <w:tcPr>
            <w:tcW w:w="1391" w:type="dxa"/>
            <w:shd w:val="clear" w:color="auto" w:fill="auto"/>
            <w:vAlign w:val="center"/>
          </w:tcPr>
          <w:p w14:paraId="3D2BED41" w14:textId="3CDC1D5D" w:rsidR="00CB6A77" w:rsidRPr="00BC1306" w:rsidRDefault="00CB6A77" w:rsidP="00CB6A77">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BC1306">
              <w:rPr>
                <w:rFonts w:cs="Times New Roman"/>
              </w:rPr>
              <w:t>1509,54</w:t>
            </w:r>
          </w:p>
        </w:tc>
        <w:tc>
          <w:tcPr>
            <w:tcW w:w="1391" w:type="dxa"/>
            <w:shd w:val="clear" w:color="auto" w:fill="auto"/>
            <w:vAlign w:val="center"/>
          </w:tcPr>
          <w:p w14:paraId="3D2BED42" w14:textId="635F4A28" w:rsidR="00CB6A77" w:rsidRPr="00BC1306" w:rsidRDefault="00CB6A77" w:rsidP="00CB6A77">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BC1306">
              <w:rPr>
                <w:rFonts w:cs="Times New Roman"/>
              </w:rPr>
              <w:t>1445,79</w:t>
            </w:r>
          </w:p>
        </w:tc>
        <w:tc>
          <w:tcPr>
            <w:tcW w:w="1391" w:type="dxa"/>
            <w:shd w:val="clear" w:color="auto" w:fill="auto"/>
            <w:vAlign w:val="center"/>
          </w:tcPr>
          <w:p w14:paraId="3D2BED43" w14:textId="59ACC469" w:rsidR="00CB6A77" w:rsidRPr="00BC1306" w:rsidRDefault="00CB6A77" w:rsidP="00CB6A77">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BC1306">
              <w:rPr>
                <w:rFonts w:cs="Times New Roman"/>
              </w:rPr>
              <w:t>1452,49</w:t>
            </w:r>
          </w:p>
        </w:tc>
        <w:tc>
          <w:tcPr>
            <w:tcW w:w="1391" w:type="dxa"/>
            <w:shd w:val="clear" w:color="auto" w:fill="auto"/>
            <w:vAlign w:val="center"/>
          </w:tcPr>
          <w:p w14:paraId="3D2BED44" w14:textId="7334CA8E" w:rsidR="00CB6A77" w:rsidRPr="00BC1306" w:rsidRDefault="00CB6A77" w:rsidP="00CB6A77">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1311,74</w:t>
            </w:r>
          </w:p>
        </w:tc>
      </w:tr>
      <w:tr w:rsidR="00CB6A77" w:rsidRPr="00BC1306" w14:paraId="3D2BED4D" w14:textId="77777777" w:rsidTr="00D851D0">
        <w:trPr>
          <w:trHeight w:val="20"/>
          <w:jc w:val="center"/>
        </w:trPr>
        <w:tc>
          <w:tcPr>
            <w:cnfStyle w:val="001000000000" w:firstRow="0" w:lastRow="0" w:firstColumn="1" w:lastColumn="0" w:oddVBand="0" w:evenVBand="0" w:oddHBand="0" w:evenHBand="0" w:firstRowFirstColumn="0" w:firstRowLastColumn="0" w:lastRowFirstColumn="0" w:lastRowLastColumn="0"/>
            <w:tcW w:w="1470" w:type="dxa"/>
            <w:vMerge/>
            <w:shd w:val="clear" w:color="auto" w:fill="auto"/>
            <w:vAlign w:val="center"/>
          </w:tcPr>
          <w:p w14:paraId="3D2BED46" w14:textId="77777777" w:rsidR="00CB6A77" w:rsidRPr="00BC1306" w:rsidRDefault="00CB6A77" w:rsidP="00CB6A77">
            <w:pPr>
              <w:jc w:val="center"/>
              <w:rPr>
                <w:rFonts w:cs="Times New Roman"/>
              </w:rPr>
            </w:pPr>
          </w:p>
        </w:tc>
        <w:tc>
          <w:tcPr>
            <w:tcW w:w="1463" w:type="dxa"/>
            <w:shd w:val="clear" w:color="auto" w:fill="auto"/>
            <w:vAlign w:val="center"/>
          </w:tcPr>
          <w:p w14:paraId="3D2BED47" w14:textId="77777777" w:rsidR="00CB6A77" w:rsidRPr="00BC1306" w:rsidRDefault="00CB6A77" w:rsidP="00CB6A77">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BC1306">
              <w:rPr>
                <w:rFonts w:cs="Times New Roman"/>
              </w:rPr>
              <w:t>Lietuva</w:t>
            </w:r>
          </w:p>
        </w:tc>
        <w:tc>
          <w:tcPr>
            <w:tcW w:w="1391" w:type="dxa"/>
            <w:shd w:val="clear" w:color="auto" w:fill="auto"/>
            <w:vAlign w:val="center"/>
          </w:tcPr>
          <w:p w14:paraId="3D2BED48" w14:textId="53F7CEDA" w:rsidR="00CB6A77" w:rsidRPr="00BC1306" w:rsidRDefault="00CB6A77" w:rsidP="00CB6A77">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BC1306">
              <w:rPr>
                <w:rFonts w:cs="Times New Roman"/>
              </w:rPr>
              <w:t>1534,38</w:t>
            </w:r>
          </w:p>
        </w:tc>
        <w:tc>
          <w:tcPr>
            <w:tcW w:w="1391" w:type="dxa"/>
            <w:shd w:val="clear" w:color="auto" w:fill="auto"/>
            <w:vAlign w:val="center"/>
          </w:tcPr>
          <w:p w14:paraId="3D2BED49" w14:textId="64C771D0" w:rsidR="00CB6A77" w:rsidRPr="00BC1306" w:rsidRDefault="00CB6A77" w:rsidP="00CB6A77">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BC1306">
              <w:rPr>
                <w:rFonts w:cs="Times New Roman"/>
              </w:rPr>
              <w:t>1538,95</w:t>
            </w:r>
          </w:p>
        </w:tc>
        <w:tc>
          <w:tcPr>
            <w:tcW w:w="1391" w:type="dxa"/>
            <w:shd w:val="clear" w:color="auto" w:fill="auto"/>
            <w:vAlign w:val="center"/>
          </w:tcPr>
          <w:p w14:paraId="3D2BED4A" w14:textId="526612A0" w:rsidR="00CB6A77" w:rsidRPr="00BC1306" w:rsidRDefault="00CB6A77" w:rsidP="00CB6A77">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BC1306">
              <w:rPr>
                <w:rFonts w:cs="Times New Roman"/>
              </w:rPr>
              <w:t>1478,15</w:t>
            </w:r>
          </w:p>
        </w:tc>
        <w:tc>
          <w:tcPr>
            <w:tcW w:w="1391" w:type="dxa"/>
            <w:shd w:val="clear" w:color="auto" w:fill="auto"/>
            <w:vAlign w:val="center"/>
          </w:tcPr>
          <w:p w14:paraId="3D2BED4B" w14:textId="30E56AB4" w:rsidR="00CB6A77" w:rsidRPr="00BC1306" w:rsidRDefault="00CB6A77" w:rsidP="00CB6A77">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BC1306">
              <w:rPr>
                <w:rFonts w:cs="Times New Roman"/>
              </w:rPr>
              <w:t>1467,40</w:t>
            </w:r>
          </w:p>
        </w:tc>
        <w:tc>
          <w:tcPr>
            <w:tcW w:w="1391" w:type="dxa"/>
            <w:shd w:val="clear" w:color="auto" w:fill="auto"/>
            <w:vAlign w:val="center"/>
          </w:tcPr>
          <w:p w14:paraId="3D2BED4C" w14:textId="031D87AE" w:rsidR="00CB6A77" w:rsidRPr="00BC1306" w:rsidRDefault="00042C22" w:rsidP="00CB6A77">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1422,57</w:t>
            </w:r>
          </w:p>
        </w:tc>
      </w:tr>
      <w:tr w:rsidR="00CB6A77" w:rsidRPr="00BC1306" w14:paraId="3D2BED55" w14:textId="77777777" w:rsidTr="00D851D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470" w:type="dxa"/>
            <w:vMerge w:val="restart"/>
            <w:shd w:val="clear" w:color="auto" w:fill="auto"/>
            <w:vAlign w:val="center"/>
          </w:tcPr>
          <w:p w14:paraId="3D2BED4E" w14:textId="77777777" w:rsidR="00CB6A77" w:rsidRPr="00BC1306" w:rsidRDefault="00CB6A77" w:rsidP="00CB6A77">
            <w:pPr>
              <w:jc w:val="center"/>
              <w:rPr>
                <w:rFonts w:cs="Times New Roman"/>
              </w:rPr>
            </w:pPr>
            <w:r w:rsidRPr="00BC1306">
              <w:rPr>
                <w:rFonts w:cs="Times New Roman"/>
              </w:rPr>
              <w:t>Moterys</w:t>
            </w:r>
          </w:p>
        </w:tc>
        <w:tc>
          <w:tcPr>
            <w:tcW w:w="1463" w:type="dxa"/>
            <w:shd w:val="clear" w:color="auto" w:fill="auto"/>
            <w:vAlign w:val="center"/>
          </w:tcPr>
          <w:p w14:paraId="3D2BED4F" w14:textId="77777777" w:rsidR="00CB6A77" w:rsidRPr="00BC1306" w:rsidRDefault="00CB6A77" w:rsidP="00CB6A77">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BC1306">
              <w:rPr>
                <w:rFonts w:cs="Times New Roman"/>
              </w:rPr>
              <w:t>Kauno m.</w:t>
            </w:r>
          </w:p>
        </w:tc>
        <w:tc>
          <w:tcPr>
            <w:tcW w:w="1391" w:type="dxa"/>
            <w:shd w:val="clear" w:color="auto" w:fill="auto"/>
            <w:vAlign w:val="center"/>
          </w:tcPr>
          <w:p w14:paraId="3D2BED50" w14:textId="6C3B486A" w:rsidR="00CB6A77" w:rsidRPr="00BC1306" w:rsidRDefault="00CB6A77" w:rsidP="00CB6A77">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BC1306">
              <w:rPr>
                <w:rFonts w:cs="Times New Roman"/>
              </w:rPr>
              <w:t>1301,13</w:t>
            </w:r>
          </w:p>
        </w:tc>
        <w:tc>
          <w:tcPr>
            <w:tcW w:w="1391" w:type="dxa"/>
            <w:shd w:val="clear" w:color="auto" w:fill="auto"/>
            <w:vAlign w:val="center"/>
          </w:tcPr>
          <w:p w14:paraId="3D2BED51" w14:textId="39560039" w:rsidR="00CB6A77" w:rsidRPr="00BC1306" w:rsidRDefault="00CB6A77" w:rsidP="00CB6A77">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BC1306">
              <w:rPr>
                <w:rFonts w:cs="Times New Roman"/>
              </w:rPr>
              <w:t>1270,80</w:t>
            </w:r>
          </w:p>
        </w:tc>
        <w:tc>
          <w:tcPr>
            <w:tcW w:w="1391" w:type="dxa"/>
            <w:shd w:val="clear" w:color="auto" w:fill="auto"/>
            <w:vAlign w:val="center"/>
          </w:tcPr>
          <w:p w14:paraId="3D2BED52" w14:textId="33534BF8" w:rsidR="00CB6A77" w:rsidRPr="00BC1306" w:rsidRDefault="00CB6A77" w:rsidP="00CB6A77">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BC1306">
              <w:rPr>
                <w:rFonts w:cs="Times New Roman"/>
              </w:rPr>
              <w:t>1303,43</w:t>
            </w:r>
          </w:p>
        </w:tc>
        <w:tc>
          <w:tcPr>
            <w:tcW w:w="1391" w:type="dxa"/>
            <w:shd w:val="clear" w:color="auto" w:fill="auto"/>
            <w:vAlign w:val="center"/>
          </w:tcPr>
          <w:p w14:paraId="3D2BED53" w14:textId="1D964AF4" w:rsidR="00CB6A77" w:rsidRPr="00BC1306" w:rsidRDefault="00CB6A77" w:rsidP="00CB6A77">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BC1306">
              <w:rPr>
                <w:rFonts w:cs="Times New Roman"/>
              </w:rPr>
              <w:t>1364,63</w:t>
            </w:r>
          </w:p>
        </w:tc>
        <w:tc>
          <w:tcPr>
            <w:tcW w:w="1391" w:type="dxa"/>
            <w:shd w:val="clear" w:color="auto" w:fill="auto"/>
            <w:vAlign w:val="center"/>
          </w:tcPr>
          <w:p w14:paraId="3D2BED54" w14:textId="2BC979DD" w:rsidR="00CB6A77" w:rsidRPr="00BC1306" w:rsidRDefault="005F220E" w:rsidP="00CB6A77">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1277,19</w:t>
            </w:r>
          </w:p>
        </w:tc>
      </w:tr>
      <w:tr w:rsidR="00CB6A77" w:rsidRPr="00BC1306" w14:paraId="3D2BED5D" w14:textId="77777777" w:rsidTr="00D851D0">
        <w:trPr>
          <w:trHeight w:val="20"/>
          <w:jc w:val="center"/>
        </w:trPr>
        <w:tc>
          <w:tcPr>
            <w:cnfStyle w:val="001000000000" w:firstRow="0" w:lastRow="0" w:firstColumn="1" w:lastColumn="0" w:oddVBand="0" w:evenVBand="0" w:oddHBand="0" w:evenHBand="0" w:firstRowFirstColumn="0" w:firstRowLastColumn="0" w:lastRowFirstColumn="0" w:lastRowLastColumn="0"/>
            <w:tcW w:w="1470" w:type="dxa"/>
            <w:vMerge/>
            <w:shd w:val="clear" w:color="auto" w:fill="auto"/>
            <w:vAlign w:val="center"/>
          </w:tcPr>
          <w:p w14:paraId="3D2BED56" w14:textId="77777777" w:rsidR="00CB6A77" w:rsidRPr="00BC1306" w:rsidRDefault="00CB6A77" w:rsidP="00CB6A77">
            <w:pPr>
              <w:jc w:val="center"/>
              <w:rPr>
                <w:rFonts w:cs="Times New Roman"/>
              </w:rPr>
            </w:pPr>
          </w:p>
        </w:tc>
        <w:tc>
          <w:tcPr>
            <w:tcW w:w="1463" w:type="dxa"/>
            <w:shd w:val="clear" w:color="auto" w:fill="auto"/>
            <w:vAlign w:val="center"/>
          </w:tcPr>
          <w:p w14:paraId="3D2BED57" w14:textId="77777777" w:rsidR="00CB6A77" w:rsidRPr="00BC1306" w:rsidRDefault="00CB6A77" w:rsidP="00CB6A77">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BC1306">
              <w:rPr>
                <w:rFonts w:cs="Times New Roman"/>
              </w:rPr>
              <w:t>Lietuva</w:t>
            </w:r>
          </w:p>
        </w:tc>
        <w:tc>
          <w:tcPr>
            <w:tcW w:w="1391" w:type="dxa"/>
            <w:shd w:val="clear" w:color="auto" w:fill="auto"/>
            <w:vAlign w:val="center"/>
          </w:tcPr>
          <w:p w14:paraId="3D2BED58" w14:textId="29C62EA9" w:rsidR="00CB6A77" w:rsidRPr="00BC1306" w:rsidRDefault="00CB6A77" w:rsidP="00CB6A77">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BC1306">
              <w:rPr>
                <w:rFonts w:cs="Times New Roman"/>
              </w:rPr>
              <w:t>1355,92</w:t>
            </w:r>
          </w:p>
        </w:tc>
        <w:tc>
          <w:tcPr>
            <w:tcW w:w="1391" w:type="dxa"/>
            <w:shd w:val="clear" w:color="auto" w:fill="auto"/>
            <w:vAlign w:val="center"/>
          </w:tcPr>
          <w:p w14:paraId="3D2BED59" w14:textId="32F8CFD4" w:rsidR="00CB6A77" w:rsidRPr="00BC1306" w:rsidRDefault="00CB6A77" w:rsidP="00CB6A77">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BC1306">
              <w:rPr>
                <w:rFonts w:cs="Times New Roman"/>
              </w:rPr>
              <w:t>1342,82</w:t>
            </w:r>
          </w:p>
        </w:tc>
        <w:tc>
          <w:tcPr>
            <w:tcW w:w="1391" w:type="dxa"/>
            <w:shd w:val="clear" w:color="auto" w:fill="auto"/>
            <w:vAlign w:val="center"/>
          </w:tcPr>
          <w:p w14:paraId="3D2BED5A" w14:textId="0E49C7F8" w:rsidR="00CB6A77" w:rsidRPr="00BC1306" w:rsidRDefault="00CB6A77" w:rsidP="00CB6A77">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BC1306">
              <w:rPr>
                <w:rFonts w:cs="Times New Roman"/>
              </w:rPr>
              <w:t>1368,81</w:t>
            </w:r>
          </w:p>
        </w:tc>
        <w:tc>
          <w:tcPr>
            <w:tcW w:w="1391" w:type="dxa"/>
            <w:shd w:val="clear" w:color="auto" w:fill="auto"/>
            <w:vAlign w:val="center"/>
          </w:tcPr>
          <w:p w14:paraId="3D2BED5B" w14:textId="67403556" w:rsidR="00CB6A77" w:rsidRPr="00BC1306" w:rsidRDefault="00CB6A77" w:rsidP="00CB6A77">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BC1306">
              <w:rPr>
                <w:rFonts w:cs="Times New Roman"/>
              </w:rPr>
              <w:t>136</w:t>
            </w:r>
            <w:r w:rsidR="00EA3DC5">
              <w:rPr>
                <w:rFonts w:cs="Times New Roman"/>
              </w:rPr>
              <w:t>4</w:t>
            </w:r>
            <w:r w:rsidRPr="00BC1306">
              <w:rPr>
                <w:rFonts w:cs="Times New Roman"/>
              </w:rPr>
              <w:t>,36</w:t>
            </w:r>
          </w:p>
        </w:tc>
        <w:tc>
          <w:tcPr>
            <w:tcW w:w="1391" w:type="dxa"/>
            <w:shd w:val="clear" w:color="auto" w:fill="auto"/>
            <w:vAlign w:val="center"/>
          </w:tcPr>
          <w:p w14:paraId="3D2BED5C" w14:textId="21D0F4F1" w:rsidR="00CB6A77" w:rsidRPr="00BC1306" w:rsidRDefault="00AA709F" w:rsidP="00CB6A77">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1324,35</w:t>
            </w:r>
          </w:p>
        </w:tc>
      </w:tr>
    </w:tbl>
    <w:p w14:paraId="3D2BED5E" w14:textId="77777777" w:rsidR="00550982" w:rsidRPr="00BC1306" w:rsidRDefault="00550982" w:rsidP="00BC1306">
      <w:pPr>
        <w:spacing w:after="0"/>
        <w:jc w:val="right"/>
        <w:rPr>
          <w:rFonts w:cs="Times New Roman"/>
          <w:i/>
        </w:rPr>
      </w:pPr>
      <w:r w:rsidRPr="00BC1306">
        <w:rPr>
          <w:rFonts w:cs="Times New Roman"/>
          <w:i/>
        </w:rPr>
        <w:t>Šaltinis: Higienos instituto sveikatos informacijos centras</w:t>
      </w:r>
    </w:p>
    <w:p w14:paraId="3D2BED5F" w14:textId="77777777" w:rsidR="00573637" w:rsidRPr="00E92E3B" w:rsidRDefault="00573637" w:rsidP="00BC1306">
      <w:pPr>
        <w:spacing w:after="0"/>
        <w:ind w:firstLine="720"/>
        <w:jc w:val="both"/>
        <w:rPr>
          <w:rFonts w:cs="Times New Roman"/>
        </w:rPr>
      </w:pPr>
    </w:p>
    <w:p w14:paraId="3D2BED60" w14:textId="7C24925F" w:rsidR="00A46942" w:rsidRPr="004E1316" w:rsidRDefault="00550982" w:rsidP="00C93DF0">
      <w:pPr>
        <w:spacing w:after="0"/>
        <w:ind w:firstLine="720"/>
        <w:jc w:val="both"/>
        <w:rPr>
          <w:rFonts w:cs="Times New Roman"/>
          <w:color w:val="FF0000"/>
        </w:rPr>
      </w:pPr>
      <w:r w:rsidRPr="00325BF6">
        <w:rPr>
          <w:rFonts w:cs="Times New Roman"/>
        </w:rPr>
        <w:t>Lietuvoje pagrindinės mirties priežastys 201</w:t>
      </w:r>
      <w:r w:rsidR="004E1316" w:rsidRPr="00325BF6">
        <w:rPr>
          <w:rFonts w:cs="Times New Roman"/>
        </w:rPr>
        <w:t>9</w:t>
      </w:r>
      <w:r w:rsidRPr="00325BF6">
        <w:rPr>
          <w:rFonts w:cs="Times New Roman"/>
        </w:rPr>
        <w:t xml:space="preserve"> m. buvo kraujotakos sistemos ligos, piktybiniai navikai ir išorinės mirties priežastys. Pagrindinės mirties priežastys </w:t>
      </w:r>
      <w:r w:rsidR="00A46942" w:rsidRPr="00325BF6">
        <w:rPr>
          <w:rFonts w:cs="Times New Roman"/>
        </w:rPr>
        <w:t xml:space="preserve">Higienos instituto </w:t>
      </w:r>
      <w:r w:rsidR="001A6648" w:rsidRPr="00325BF6">
        <w:rPr>
          <w:rFonts w:cs="Times New Roman"/>
        </w:rPr>
        <w:t xml:space="preserve">sveikatos informacijos centro </w:t>
      </w:r>
      <w:r w:rsidR="00A46942" w:rsidRPr="00325BF6">
        <w:rPr>
          <w:rFonts w:cs="Times New Roman"/>
        </w:rPr>
        <w:t xml:space="preserve">duomenimis, </w:t>
      </w:r>
      <w:r w:rsidR="001A6648" w:rsidRPr="00325BF6">
        <w:rPr>
          <w:rFonts w:cs="Times New Roman"/>
        </w:rPr>
        <w:t>Kaune</w:t>
      </w:r>
      <w:r w:rsidRPr="00325BF6">
        <w:rPr>
          <w:rFonts w:cs="Times New Roman"/>
        </w:rPr>
        <w:t xml:space="preserve"> 201</w:t>
      </w:r>
      <w:r w:rsidR="00325BF6">
        <w:rPr>
          <w:rFonts w:cs="Times New Roman"/>
        </w:rPr>
        <w:t>9</w:t>
      </w:r>
      <w:r w:rsidRPr="00325BF6">
        <w:rPr>
          <w:rFonts w:cs="Times New Roman"/>
        </w:rPr>
        <w:t xml:space="preserve"> m</w:t>
      </w:r>
      <w:r w:rsidRPr="00092BFA">
        <w:rPr>
          <w:rFonts w:cs="Times New Roman"/>
        </w:rPr>
        <w:t>.</w:t>
      </w:r>
      <w:r w:rsidR="003638AD">
        <w:rPr>
          <w:rFonts w:cs="Times New Roman"/>
        </w:rPr>
        <w:t>,</w:t>
      </w:r>
      <w:r w:rsidRPr="00092BFA">
        <w:rPr>
          <w:rFonts w:cs="Times New Roman"/>
        </w:rPr>
        <w:t xml:space="preserve"> kaip ir Lietuvoje</w:t>
      </w:r>
      <w:r w:rsidR="003638AD">
        <w:rPr>
          <w:rFonts w:cs="Times New Roman"/>
        </w:rPr>
        <w:t>,</w:t>
      </w:r>
      <w:r w:rsidRPr="00092BFA">
        <w:rPr>
          <w:rFonts w:cs="Times New Roman"/>
        </w:rPr>
        <w:t xml:space="preserve"> buvo kraujotakos sistemos ligos, nuo kurių mirė </w:t>
      </w:r>
      <w:r w:rsidR="00A031CA" w:rsidRPr="00092BFA">
        <w:rPr>
          <w:rFonts w:cs="Times New Roman"/>
        </w:rPr>
        <w:t>55</w:t>
      </w:r>
      <w:r w:rsidR="00092BFA" w:rsidRPr="00092BFA">
        <w:rPr>
          <w:rFonts w:cs="Times New Roman"/>
        </w:rPr>
        <w:t>,8</w:t>
      </w:r>
      <w:r w:rsidRPr="00092BFA">
        <w:rPr>
          <w:rFonts w:cs="Times New Roman"/>
        </w:rPr>
        <w:t xml:space="preserve"> proc. gyventojų, piktybiniai navikai, nuo kurių mirė </w:t>
      </w:r>
      <w:r w:rsidR="00092BFA" w:rsidRPr="00092BFA">
        <w:rPr>
          <w:rFonts w:cs="Times New Roman"/>
        </w:rPr>
        <w:t>21,7</w:t>
      </w:r>
      <w:r w:rsidRPr="00092BFA">
        <w:rPr>
          <w:rFonts w:cs="Times New Roman"/>
        </w:rPr>
        <w:t xml:space="preserve"> proc. gyventojai bei išorinės mirties priežastys, kurios mirties priežastimi tapo </w:t>
      </w:r>
      <w:r w:rsidR="00092BFA" w:rsidRPr="00092BFA">
        <w:rPr>
          <w:rFonts w:cs="Times New Roman"/>
        </w:rPr>
        <w:t>5,8</w:t>
      </w:r>
      <w:r w:rsidRPr="00092BFA">
        <w:rPr>
          <w:rFonts w:cs="Times New Roman"/>
        </w:rPr>
        <w:t xml:space="preserve"> proc. Kauno miesto gyventojų. </w:t>
      </w:r>
    </w:p>
    <w:p w14:paraId="3D2BED61" w14:textId="52E21861" w:rsidR="00550982" w:rsidRDefault="00550982" w:rsidP="00BC1306">
      <w:pPr>
        <w:keepLines/>
        <w:spacing w:after="0"/>
        <w:ind w:firstLine="720"/>
        <w:jc w:val="both"/>
        <w:rPr>
          <w:rFonts w:cs="Times New Roman"/>
        </w:rPr>
      </w:pPr>
      <w:r w:rsidRPr="00BC1306">
        <w:rPr>
          <w:rFonts w:cs="Times New Roman"/>
        </w:rPr>
        <w:t>Higienos instituto sveikatos informacijos centro duomenimis, santuokų skaičius, t</w:t>
      </w:r>
      <w:r w:rsidR="001A6648">
        <w:rPr>
          <w:rFonts w:cs="Times New Roman"/>
        </w:rPr>
        <w:t>enkantis 1000 gyventojų, Kaune</w:t>
      </w:r>
      <w:r w:rsidRPr="00BC1306">
        <w:rPr>
          <w:rFonts w:cs="Times New Roman"/>
        </w:rPr>
        <w:t xml:space="preserve"> 201</w:t>
      </w:r>
      <w:r w:rsidR="001D1706">
        <w:rPr>
          <w:rFonts w:cs="Times New Roman"/>
        </w:rPr>
        <w:t>9</w:t>
      </w:r>
      <w:r w:rsidRPr="00BC1306">
        <w:rPr>
          <w:rFonts w:cs="Times New Roman"/>
        </w:rPr>
        <w:t xml:space="preserve"> m. lyginant su 201</w:t>
      </w:r>
      <w:r w:rsidR="001D1706">
        <w:rPr>
          <w:rFonts w:cs="Times New Roman"/>
        </w:rPr>
        <w:t>8</w:t>
      </w:r>
      <w:r w:rsidRPr="00BC1306">
        <w:rPr>
          <w:rFonts w:cs="Times New Roman"/>
        </w:rPr>
        <w:t xml:space="preserve"> m. sumažėjo ir siekė  6,</w:t>
      </w:r>
      <w:r w:rsidR="001D1706">
        <w:rPr>
          <w:rFonts w:cs="Times New Roman"/>
        </w:rPr>
        <w:t>3</w:t>
      </w:r>
      <w:r w:rsidRPr="00BC1306">
        <w:rPr>
          <w:rFonts w:cs="Times New Roman"/>
        </w:rPr>
        <w:t xml:space="preserve">/1000 gyv. (4 pav.). </w:t>
      </w:r>
    </w:p>
    <w:p w14:paraId="3D2BED62" w14:textId="77777777" w:rsidR="003A1DFF" w:rsidRPr="00BC1306" w:rsidRDefault="003A1DFF" w:rsidP="00BC1306">
      <w:pPr>
        <w:keepLines/>
        <w:spacing w:after="0"/>
        <w:ind w:firstLine="720"/>
        <w:jc w:val="both"/>
        <w:rPr>
          <w:rFonts w:cs="Times New Roman"/>
        </w:rPr>
      </w:pPr>
    </w:p>
    <w:p w14:paraId="3D2BED63" w14:textId="77777777" w:rsidR="00550982" w:rsidRPr="00BC1306" w:rsidRDefault="00550982" w:rsidP="00BC1306">
      <w:pPr>
        <w:spacing w:after="0"/>
        <w:jc w:val="center"/>
        <w:rPr>
          <w:rFonts w:cs="Times New Roman"/>
        </w:rPr>
      </w:pPr>
      <w:r w:rsidRPr="00BC1306">
        <w:rPr>
          <w:rFonts w:cs="Times New Roman"/>
          <w:noProof/>
          <w:lang w:eastAsia="lt-LT"/>
        </w:rPr>
        <w:drawing>
          <wp:inline distT="0" distB="0" distL="0" distR="0" wp14:anchorId="3D2BF0A7" wp14:editId="2D0CA425">
            <wp:extent cx="5486400" cy="1440000"/>
            <wp:effectExtent l="0" t="0" r="0" b="8255"/>
            <wp:docPr id="14" name="Diagrama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D2BED64" w14:textId="6FD0344D" w:rsidR="00550982" w:rsidRPr="00BC1306" w:rsidRDefault="00550982" w:rsidP="00BC1306">
      <w:pPr>
        <w:spacing w:after="0"/>
        <w:jc w:val="center"/>
        <w:rPr>
          <w:rFonts w:cs="Times New Roman"/>
        </w:rPr>
      </w:pPr>
      <w:r w:rsidRPr="00BC1306">
        <w:rPr>
          <w:rFonts w:cs="Times New Roman"/>
        </w:rPr>
        <w:t xml:space="preserve">4 pav. Bendras santuokų ir ištuokų </w:t>
      </w:r>
      <w:r w:rsidR="001A6648">
        <w:rPr>
          <w:rFonts w:cs="Times New Roman"/>
        </w:rPr>
        <w:t>skaičius 1000 gyventojų Kauno mieste</w:t>
      </w:r>
      <w:r w:rsidRPr="00BC1306">
        <w:rPr>
          <w:rFonts w:cs="Times New Roman"/>
        </w:rPr>
        <w:t xml:space="preserve"> 2015–201</w:t>
      </w:r>
      <w:r w:rsidR="001D1706">
        <w:rPr>
          <w:rFonts w:cs="Times New Roman"/>
        </w:rPr>
        <w:t>9</w:t>
      </w:r>
      <w:r w:rsidRPr="00BC1306">
        <w:rPr>
          <w:rFonts w:cs="Times New Roman"/>
        </w:rPr>
        <w:t xml:space="preserve"> m.</w:t>
      </w:r>
    </w:p>
    <w:p w14:paraId="3D2BED65" w14:textId="77777777" w:rsidR="00573637" w:rsidRPr="00BC1306" w:rsidRDefault="00550982" w:rsidP="00BC1306">
      <w:pPr>
        <w:jc w:val="right"/>
        <w:rPr>
          <w:rFonts w:cs="Times New Roman"/>
          <w:i/>
        </w:rPr>
      </w:pPr>
      <w:r w:rsidRPr="00BC1306">
        <w:rPr>
          <w:rFonts w:cs="Times New Roman"/>
          <w:i/>
        </w:rPr>
        <w:t>Šaltinis: Higienos instituto sveikatos informacijos centras</w:t>
      </w:r>
      <w:r w:rsidR="005B118A" w:rsidRPr="00BC1306">
        <w:rPr>
          <w:rFonts w:cs="Times New Roman"/>
          <w:i/>
        </w:rPr>
        <w:br/>
      </w:r>
    </w:p>
    <w:p w14:paraId="3D2BED66" w14:textId="77777777" w:rsidR="00C93DF0" w:rsidRDefault="00C93DF0">
      <w:pPr>
        <w:rPr>
          <w:rFonts w:eastAsiaTheme="majorEastAsia" w:cstheme="majorBidi"/>
          <w:b/>
          <w:bCs/>
          <w:caps/>
          <w:color w:val="000000" w:themeColor="text1"/>
          <w:szCs w:val="28"/>
        </w:rPr>
      </w:pPr>
      <w:r>
        <w:br w:type="page"/>
      </w:r>
    </w:p>
    <w:p w14:paraId="3D2BED67" w14:textId="77777777" w:rsidR="00550982" w:rsidRDefault="00B66D82" w:rsidP="00C93DF0">
      <w:pPr>
        <w:pStyle w:val="Antrat1"/>
        <w:spacing w:before="0"/>
        <w:ind w:firstLine="0"/>
        <w:jc w:val="center"/>
      </w:pPr>
      <w:bookmarkStart w:id="8" w:name="_Toc26535196"/>
      <w:r>
        <w:rPr>
          <w:caps w:val="0"/>
        </w:rPr>
        <w:lastRenderedPageBreak/>
        <w:t>KAUNO MIESTO SAVIVALDYBĖS SVEIKATOS IR SU SVEIKATA SUSIJUSIŲ RODIKLIŲ PROFILIS</w:t>
      </w:r>
      <w:bookmarkEnd w:id="8"/>
    </w:p>
    <w:p w14:paraId="3D2BED68" w14:textId="77777777" w:rsidR="00C93DF0" w:rsidRPr="00BC1306" w:rsidRDefault="00C93DF0" w:rsidP="00BC1306">
      <w:pPr>
        <w:spacing w:after="0"/>
        <w:rPr>
          <w:rFonts w:cs="Times New Roman"/>
        </w:rPr>
      </w:pPr>
    </w:p>
    <w:p w14:paraId="3D2BED69" w14:textId="77777777" w:rsidR="005B118A" w:rsidRPr="00BC1306" w:rsidRDefault="005B118A" w:rsidP="00BC1306">
      <w:pPr>
        <w:spacing w:after="0"/>
        <w:ind w:firstLine="720"/>
        <w:jc w:val="both"/>
        <w:rPr>
          <w:rFonts w:cs="Times New Roman"/>
        </w:rPr>
      </w:pPr>
      <w:r w:rsidRPr="00BC1306">
        <w:rPr>
          <w:rFonts w:cs="Times New Roman"/>
        </w:rPr>
        <w:t>Rutininiais metodais ir per atrankinę apklausą surinktų savivaldybės pagrindinių rodiklių reikšmės vaizduojamos taikant „šviesoforo“ principą (nuo geriausiojo žalio, per geltoną prie blogiausiojo raudono). Vadovaujantis šiuo principu, visos 60 Lietuvos savivaldybių suskirstytos į 5 grupes (po 12 savivaldybių kiekvienoje grupėje).</w:t>
      </w:r>
    </w:p>
    <w:p w14:paraId="3D2BED6A" w14:textId="77777777" w:rsidR="005B118A" w:rsidRPr="00BC1306" w:rsidRDefault="005B118A" w:rsidP="00BC1306">
      <w:pPr>
        <w:spacing w:after="0"/>
        <w:ind w:firstLine="720"/>
        <w:jc w:val="both"/>
        <w:rPr>
          <w:rFonts w:cs="Times New Roman"/>
        </w:rPr>
      </w:pPr>
      <w:r w:rsidRPr="00BC1306">
        <w:rPr>
          <w:rFonts w:cs="Times New Roman"/>
        </w:rPr>
        <w:t xml:space="preserve">Rodiklių reikšmės stulpelinėse diagramose suskirstytos į grupes, pagal kurias savivaldybės yra vertinamos: </w:t>
      </w:r>
    </w:p>
    <w:p w14:paraId="3D2BED6B" w14:textId="77777777" w:rsidR="005B118A" w:rsidRPr="00BC1306" w:rsidRDefault="00AB1A6D" w:rsidP="00AB1A6D">
      <w:pPr>
        <w:spacing w:after="0"/>
        <w:jc w:val="both"/>
        <w:rPr>
          <w:rFonts w:cs="Times New Roman"/>
        </w:rPr>
      </w:pPr>
      <w:r w:rsidRPr="00AB1A6D">
        <w:rPr>
          <w:rFonts w:cs="Times New Roman"/>
          <w:shd w:val="clear" w:color="auto" w:fill="00B050"/>
        </w:rPr>
        <w:t xml:space="preserve">     </w:t>
      </w:r>
      <w:r w:rsidR="009F59BE" w:rsidRPr="00BC1306">
        <w:rPr>
          <w:rFonts w:cs="Times New Roman"/>
        </w:rPr>
        <w:t xml:space="preserve"> </w:t>
      </w:r>
      <w:r w:rsidR="00737B06">
        <w:rPr>
          <w:rFonts w:cs="Times New Roman"/>
        </w:rPr>
        <w:t>– 12</w:t>
      </w:r>
      <w:r w:rsidR="005B118A" w:rsidRPr="00BC1306">
        <w:rPr>
          <w:rFonts w:cs="Times New Roman"/>
        </w:rPr>
        <w:t xml:space="preserve"> savivaldybių, kuriose stebimas rodiklis atspindi geriausią situaciją, žymimos </w:t>
      </w:r>
      <w:r w:rsidR="005B118A" w:rsidRPr="00F75FD2">
        <w:rPr>
          <w:rFonts w:cs="Times New Roman"/>
          <w:color w:val="00B050"/>
        </w:rPr>
        <w:t xml:space="preserve">žalia </w:t>
      </w:r>
      <w:r w:rsidR="009F59BE" w:rsidRPr="00F75FD2">
        <w:rPr>
          <w:rFonts w:cs="Times New Roman"/>
          <w:color w:val="00B050"/>
        </w:rPr>
        <w:t>s</w:t>
      </w:r>
      <w:r w:rsidR="005B118A" w:rsidRPr="00F75FD2">
        <w:rPr>
          <w:rFonts w:cs="Times New Roman"/>
          <w:color w:val="00B050"/>
        </w:rPr>
        <w:t>palva</w:t>
      </w:r>
      <w:r w:rsidR="005B118A" w:rsidRPr="00BC1306">
        <w:rPr>
          <w:rFonts w:cs="Times New Roman"/>
        </w:rPr>
        <w:t xml:space="preserve">; </w:t>
      </w:r>
    </w:p>
    <w:p w14:paraId="3D2BED6C" w14:textId="77777777" w:rsidR="00AB1A6D" w:rsidRDefault="00AB1A6D" w:rsidP="00AB1A6D">
      <w:pPr>
        <w:spacing w:after="0"/>
        <w:jc w:val="both"/>
        <w:rPr>
          <w:rFonts w:cs="Times New Roman"/>
        </w:rPr>
      </w:pPr>
      <w:r w:rsidRPr="00AB1A6D">
        <w:rPr>
          <w:rFonts w:cs="Times New Roman"/>
          <w:shd w:val="clear" w:color="auto" w:fill="FF0000"/>
        </w:rPr>
        <w:t xml:space="preserve">     </w:t>
      </w:r>
      <w:r>
        <w:rPr>
          <w:rFonts w:cs="Times New Roman"/>
        </w:rPr>
        <w:t xml:space="preserve"> </w:t>
      </w:r>
      <w:r w:rsidR="00737B06">
        <w:rPr>
          <w:rFonts w:cs="Times New Roman"/>
        </w:rPr>
        <w:t>– 12</w:t>
      </w:r>
      <w:r w:rsidR="005B118A" w:rsidRPr="00BC1306">
        <w:rPr>
          <w:rFonts w:cs="Times New Roman"/>
        </w:rPr>
        <w:t xml:space="preserve"> savivaldybių, kuriose stebimas rodiklis rodo prasčiausią situaciją, žymimos </w:t>
      </w:r>
      <w:r w:rsidR="005B118A" w:rsidRPr="00BC1306">
        <w:rPr>
          <w:rFonts w:cs="Times New Roman"/>
          <w:color w:val="FF0000"/>
        </w:rPr>
        <w:t>raudona spalva</w:t>
      </w:r>
      <w:r w:rsidR="005B118A" w:rsidRPr="00BC1306">
        <w:rPr>
          <w:rFonts w:cs="Times New Roman"/>
        </w:rPr>
        <w:t xml:space="preserve">; </w:t>
      </w:r>
    </w:p>
    <w:p w14:paraId="3D2BED6D" w14:textId="77777777" w:rsidR="005B118A" w:rsidRPr="00BC1306" w:rsidRDefault="00AB1A6D" w:rsidP="00AB1A6D">
      <w:pPr>
        <w:spacing w:after="0"/>
        <w:jc w:val="both"/>
        <w:rPr>
          <w:rFonts w:cs="Times New Roman"/>
        </w:rPr>
      </w:pPr>
      <w:r w:rsidRPr="00AB1A6D">
        <w:rPr>
          <w:rFonts w:cs="Times New Roman"/>
          <w:shd w:val="clear" w:color="auto" w:fill="FFFF00"/>
        </w:rPr>
        <w:t xml:space="preserve">     </w:t>
      </w:r>
      <w:r>
        <w:rPr>
          <w:rFonts w:cs="Times New Roman"/>
        </w:rPr>
        <w:t xml:space="preserve"> </w:t>
      </w:r>
      <w:r w:rsidR="00737B06">
        <w:rPr>
          <w:rFonts w:cs="Times New Roman"/>
        </w:rPr>
        <w:t>– likusių 36</w:t>
      </w:r>
      <w:r w:rsidR="005B118A" w:rsidRPr="00BC1306">
        <w:rPr>
          <w:rFonts w:cs="Times New Roman"/>
        </w:rPr>
        <w:t xml:space="preserve"> savivaldybių rodiklio reikšmės žymimos </w:t>
      </w:r>
      <w:r w:rsidR="005B118A" w:rsidRPr="00BC1306">
        <w:rPr>
          <w:rFonts w:cs="Times New Roman"/>
          <w:color w:val="FFFF00"/>
        </w:rPr>
        <w:t>geltona spalva</w:t>
      </w:r>
      <w:r w:rsidR="005B118A" w:rsidRPr="00BC1306">
        <w:rPr>
          <w:rFonts w:cs="Times New Roman"/>
        </w:rPr>
        <w:t xml:space="preserve">.  </w:t>
      </w:r>
    </w:p>
    <w:p w14:paraId="3D2BED6E" w14:textId="77777777" w:rsidR="0061026B" w:rsidRDefault="005B118A" w:rsidP="00BC1306">
      <w:pPr>
        <w:spacing w:after="0"/>
        <w:ind w:firstLine="720"/>
        <w:jc w:val="both"/>
        <w:rPr>
          <w:rFonts w:cs="Times New Roman"/>
        </w:rPr>
      </w:pPr>
      <w:r w:rsidRPr="00BC1306">
        <w:rPr>
          <w:rFonts w:cs="Times New Roman"/>
        </w:rPr>
        <w:t xml:space="preserve">Savivaldybes žymint spalvomis, vertinamas ne rodiklio dydis, bet reikšmė, kadangi mažas rodiklis ne visada atspindi gerą situaciją ir atvirkščiai, didelis rodiklis ne visada rodo blogą situaciją. </w:t>
      </w:r>
      <w:r w:rsidR="00FF42D6">
        <w:rPr>
          <w:rFonts w:cs="Times New Roman"/>
        </w:rPr>
        <w:t>Pagrindinių rodiklių savivaldybėje</w:t>
      </w:r>
      <w:r w:rsidRPr="00BC1306">
        <w:rPr>
          <w:rFonts w:cs="Times New Roman"/>
        </w:rPr>
        <w:t xml:space="preserve"> analizės ir interpretavimo tikslas – įvertinti, kokia esama gyventojų sveikatos ir sveikatą lemiančių veiksnių situacija savivaldybėje, įvertinant Lietuvos sveikatos programos tikslų ir uždavinių įgyvendinimo kontekste, ir kokių intervencijų/priemonių reikia imtis, siekiant stiprinti savivaldybės gyventojų sveikatą ir mažinti sveikatos netolygumus. </w:t>
      </w:r>
    </w:p>
    <w:p w14:paraId="3D2BED6F" w14:textId="5201A3A0" w:rsidR="00550982" w:rsidRPr="00BC1306" w:rsidRDefault="00550982" w:rsidP="00BC1306">
      <w:pPr>
        <w:spacing w:after="0"/>
        <w:ind w:firstLine="720"/>
        <w:jc w:val="both"/>
        <w:rPr>
          <w:rFonts w:cs="Times New Roman"/>
        </w:rPr>
      </w:pPr>
      <w:r w:rsidRPr="00BC1306">
        <w:rPr>
          <w:rFonts w:cs="Times New Roman"/>
        </w:rPr>
        <w:t>Pirmame lentelės stulpelyje pateikiami pagrindinio sąrašo rodikliai</w:t>
      </w:r>
      <w:r w:rsidR="00E47063">
        <w:rPr>
          <w:rFonts w:cs="Times New Roman"/>
        </w:rPr>
        <w:t>,</w:t>
      </w:r>
      <w:r w:rsidRPr="00BC1306">
        <w:rPr>
          <w:rFonts w:cs="Times New Roman"/>
        </w:rPr>
        <w:t xml:space="preserve"> suskirstyti pagal Lietuvos sveikatos programoje numatomus įgyvendinti tikslus ir uždavinius. Antrajame stulpelyje pateikiamas savivaldybės rodiklis 201</w:t>
      </w:r>
      <w:r w:rsidR="00102BC9">
        <w:rPr>
          <w:rFonts w:cs="Times New Roman"/>
        </w:rPr>
        <w:t>8</w:t>
      </w:r>
      <w:r w:rsidRPr="00BC1306">
        <w:rPr>
          <w:rFonts w:cs="Times New Roman"/>
        </w:rPr>
        <w:t xml:space="preserve"> m., trečiajame – 201</w:t>
      </w:r>
      <w:r w:rsidR="00102BC9">
        <w:rPr>
          <w:rFonts w:cs="Times New Roman"/>
        </w:rPr>
        <w:t>9</w:t>
      </w:r>
      <w:r w:rsidRPr="00BC1306">
        <w:rPr>
          <w:rFonts w:cs="Times New Roman"/>
        </w:rPr>
        <w:t xml:space="preserve"> metų reikšmė su rodyklėmis, kurios nurodo 201</w:t>
      </w:r>
      <w:r w:rsidR="00AC4A6B">
        <w:rPr>
          <w:rFonts w:cs="Times New Roman"/>
        </w:rPr>
        <w:t>8</w:t>
      </w:r>
      <w:r w:rsidRPr="00BC1306">
        <w:rPr>
          <w:rFonts w:cs="Times New Roman"/>
        </w:rPr>
        <w:t>–201</w:t>
      </w:r>
      <w:r w:rsidR="00AC4A6B">
        <w:rPr>
          <w:rFonts w:cs="Times New Roman"/>
        </w:rPr>
        <w:t>9</w:t>
      </w:r>
      <w:r w:rsidRPr="00BC1306">
        <w:rPr>
          <w:rFonts w:cs="Times New Roman"/>
        </w:rPr>
        <w:t xml:space="preserve"> metų laikotarpio rodiklio teigiamą arba neigiamą kitimą, ketvirtajame – rodiklio reikšmė Lietuvoje, penktajame – minimali reikšmė nagrinėj</w:t>
      </w:r>
      <w:r w:rsidR="00583F48">
        <w:rPr>
          <w:rFonts w:cs="Times New Roman"/>
        </w:rPr>
        <w:t>amose Lietuvos savivaldybėse, še</w:t>
      </w:r>
      <w:r w:rsidRPr="00BC1306">
        <w:rPr>
          <w:rFonts w:cs="Times New Roman"/>
        </w:rPr>
        <w:t>štajame – maksimali reikšmė nagrinėjamose Lietuvos savivaldybėse, septintajame – savivaldybės rodiklio interpretavimas (reikšmės savivaldybėje santykis su Lietuvos vidurkio reikšme ir savivaldybės rodiklio vietos tarpe visų savivaldybių pavaizdavimas pagal „šviesoforo“ principą).</w:t>
      </w:r>
    </w:p>
    <w:p w14:paraId="3D2BED70" w14:textId="77777777" w:rsidR="00627F17" w:rsidRDefault="00627F17" w:rsidP="00627F17">
      <w:pPr>
        <w:spacing w:after="0" w:line="360" w:lineRule="auto"/>
        <w:jc w:val="both"/>
      </w:pPr>
    </w:p>
    <w:p w14:paraId="3D2BED71" w14:textId="77777777" w:rsidR="00627F17" w:rsidRDefault="00627F17" w:rsidP="00627F17">
      <w:pPr>
        <w:spacing w:after="0" w:line="360" w:lineRule="auto"/>
        <w:jc w:val="both"/>
        <w:sectPr w:rsidR="00627F17" w:rsidSect="00644ADE">
          <w:footerReference w:type="default" r:id="rId13"/>
          <w:footerReference w:type="first" r:id="rId14"/>
          <w:type w:val="continuous"/>
          <w:pgSz w:w="11907" w:h="16839" w:code="9"/>
          <w:pgMar w:top="1134" w:right="567" w:bottom="1134" w:left="1418" w:header="720" w:footer="720" w:gutter="0"/>
          <w:cols w:space="720"/>
          <w:titlePg/>
          <w:docGrid w:linePitch="360"/>
        </w:sectPr>
      </w:pPr>
    </w:p>
    <w:p w14:paraId="3D2BED72" w14:textId="77777777" w:rsidR="00300B3C" w:rsidRPr="00073353" w:rsidRDefault="00300B3C" w:rsidP="00A1323E">
      <w:pPr>
        <w:spacing w:after="0" w:line="240" w:lineRule="auto"/>
        <w:jc w:val="center"/>
        <w:rPr>
          <w:rFonts w:cs="Times New Roman"/>
          <w:lang w:val="en-US"/>
        </w:rPr>
      </w:pPr>
      <w:r w:rsidRPr="00300B3C">
        <w:rPr>
          <w:rFonts w:cs="Times New Roman"/>
        </w:rPr>
        <w:lastRenderedPageBreak/>
        <w:t>5 lentelė. Kauno miesto savivaldybės visuomenės sveikatos stebėsenos rodiklių profilis</w:t>
      </w:r>
    </w:p>
    <w:tbl>
      <w:tblPr>
        <w:tblStyle w:val="Lentelstinklelis1"/>
        <w:tblW w:w="0" w:type="auto"/>
        <w:jc w:val="center"/>
        <w:tblLook w:val="04A0" w:firstRow="1" w:lastRow="0" w:firstColumn="1" w:lastColumn="0" w:noHBand="0" w:noVBand="1"/>
      </w:tblPr>
      <w:tblGrid>
        <w:gridCol w:w="601"/>
        <w:gridCol w:w="4945"/>
        <w:gridCol w:w="1787"/>
        <w:gridCol w:w="1787"/>
        <w:gridCol w:w="1257"/>
        <w:gridCol w:w="1257"/>
        <w:gridCol w:w="1259"/>
        <w:gridCol w:w="1885"/>
      </w:tblGrid>
      <w:tr w:rsidR="00300B3C" w:rsidRPr="00300B3C" w14:paraId="3D2BED74" w14:textId="77777777" w:rsidTr="00431208">
        <w:trPr>
          <w:jc w:val="center"/>
        </w:trPr>
        <w:tc>
          <w:tcPr>
            <w:tcW w:w="14778" w:type="dxa"/>
            <w:gridSpan w:val="8"/>
            <w:shd w:val="clear" w:color="auto" w:fill="D6E3BC" w:themeFill="accent3" w:themeFillTint="66"/>
          </w:tcPr>
          <w:p w14:paraId="3D2BED73" w14:textId="77777777" w:rsidR="00300B3C" w:rsidRPr="00300B3C" w:rsidRDefault="00300B3C" w:rsidP="00300B3C">
            <w:pPr>
              <w:jc w:val="center"/>
              <w:rPr>
                <w:rFonts w:cs="Times New Roman"/>
                <w:sz w:val="22"/>
              </w:rPr>
            </w:pPr>
            <w:r w:rsidRPr="00300B3C">
              <w:rPr>
                <w:rFonts w:cs="Times New Roman"/>
                <w:sz w:val="22"/>
              </w:rPr>
              <w:t>Strateginis tikslas – pasiekti, kad 2025 metais šalies gyventojai būtų sveikesni ir gyventų ilgiau, pagerėtų gyventojų sveikata ir sumažėtų sveikatos netolygumai</w:t>
            </w:r>
          </w:p>
        </w:tc>
      </w:tr>
      <w:tr w:rsidR="001B6EB6" w:rsidRPr="00300B3C" w14:paraId="3D2BED7C" w14:textId="77777777" w:rsidTr="00EC5E0B">
        <w:trPr>
          <w:trHeight w:val="446"/>
          <w:jc w:val="center"/>
        </w:trPr>
        <w:tc>
          <w:tcPr>
            <w:tcW w:w="5546" w:type="dxa"/>
            <w:gridSpan w:val="2"/>
            <w:shd w:val="clear" w:color="auto" w:fill="D6E3BC" w:themeFill="accent3" w:themeFillTint="66"/>
          </w:tcPr>
          <w:p w14:paraId="3D2BED75" w14:textId="77777777" w:rsidR="00300B3C" w:rsidRPr="00300B3C" w:rsidRDefault="00300B3C" w:rsidP="00300B3C">
            <w:pPr>
              <w:jc w:val="center"/>
              <w:rPr>
                <w:rFonts w:cs="Times New Roman"/>
                <w:sz w:val="22"/>
              </w:rPr>
            </w:pPr>
            <w:r w:rsidRPr="00300B3C">
              <w:rPr>
                <w:rFonts w:cs="Times New Roman"/>
                <w:sz w:val="22"/>
              </w:rPr>
              <w:t>Rodiklis</w:t>
            </w:r>
          </w:p>
        </w:tc>
        <w:tc>
          <w:tcPr>
            <w:tcW w:w="1787" w:type="dxa"/>
            <w:shd w:val="clear" w:color="auto" w:fill="D6E3BC" w:themeFill="accent3" w:themeFillTint="66"/>
          </w:tcPr>
          <w:p w14:paraId="3D2BED76" w14:textId="594D2AA8" w:rsidR="00300B3C" w:rsidRPr="00300B3C" w:rsidRDefault="00300B3C" w:rsidP="00300B3C">
            <w:pPr>
              <w:jc w:val="center"/>
              <w:rPr>
                <w:rFonts w:cs="Times New Roman"/>
                <w:sz w:val="22"/>
              </w:rPr>
            </w:pPr>
            <w:r w:rsidRPr="00300B3C">
              <w:rPr>
                <w:rFonts w:cs="Times New Roman"/>
                <w:sz w:val="22"/>
              </w:rPr>
              <w:t>Kauno miesto rodiklis 201</w:t>
            </w:r>
            <w:r w:rsidR="001D248D">
              <w:rPr>
                <w:rFonts w:cs="Times New Roman"/>
                <w:sz w:val="22"/>
              </w:rPr>
              <w:t>8</w:t>
            </w:r>
            <w:r w:rsidRPr="00300B3C">
              <w:rPr>
                <w:rFonts w:cs="Times New Roman"/>
                <w:sz w:val="22"/>
              </w:rPr>
              <w:t xml:space="preserve"> m.</w:t>
            </w:r>
          </w:p>
        </w:tc>
        <w:tc>
          <w:tcPr>
            <w:tcW w:w="1787" w:type="dxa"/>
            <w:shd w:val="clear" w:color="auto" w:fill="D6E3BC" w:themeFill="accent3" w:themeFillTint="66"/>
          </w:tcPr>
          <w:p w14:paraId="3D2BED77" w14:textId="0BCD3E68" w:rsidR="00300B3C" w:rsidRPr="00300B3C" w:rsidRDefault="00300B3C" w:rsidP="00300B3C">
            <w:pPr>
              <w:jc w:val="center"/>
              <w:rPr>
                <w:rFonts w:cs="Times New Roman"/>
                <w:sz w:val="22"/>
              </w:rPr>
            </w:pPr>
            <w:r w:rsidRPr="00300B3C">
              <w:rPr>
                <w:rFonts w:cs="Times New Roman"/>
                <w:sz w:val="22"/>
              </w:rPr>
              <w:t>Kauno miesto rodiklis 201</w:t>
            </w:r>
            <w:r w:rsidR="001D248D">
              <w:rPr>
                <w:rFonts w:cs="Times New Roman"/>
                <w:sz w:val="22"/>
              </w:rPr>
              <w:t>9</w:t>
            </w:r>
            <w:r w:rsidRPr="00300B3C">
              <w:rPr>
                <w:rFonts w:cs="Times New Roman"/>
                <w:sz w:val="22"/>
              </w:rPr>
              <w:t xml:space="preserve"> m.</w:t>
            </w:r>
          </w:p>
        </w:tc>
        <w:tc>
          <w:tcPr>
            <w:tcW w:w="1257" w:type="dxa"/>
            <w:shd w:val="clear" w:color="auto" w:fill="D6E3BC" w:themeFill="accent3" w:themeFillTint="66"/>
          </w:tcPr>
          <w:p w14:paraId="3D2BED78" w14:textId="77777777" w:rsidR="00300B3C" w:rsidRPr="00300B3C" w:rsidRDefault="00300B3C" w:rsidP="00300B3C">
            <w:pPr>
              <w:jc w:val="center"/>
              <w:rPr>
                <w:rFonts w:cs="Times New Roman"/>
                <w:sz w:val="22"/>
              </w:rPr>
            </w:pPr>
            <w:r w:rsidRPr="00300B3C">
              <w:rPr>
                <w:rFonts w:cs="Times New Roman"/>
                <w:sz w:val="22"/>
              </w:rPr>
              <w:t>Lietuvos rodiklis</w:t>
            </w:r>
          </w:p>
        </w:tc>
        <w:tc>
          <w:tcPr>
            <w:tcW w:w="1257" w:type="dxa"/>
            <w:shd w:val="clear" w:color="auto" w:fill="D6E3BC" w:themeFill="accent3" w:themeFillTint="66"/>
          </w:tcPr>
          <w:p w14:paraId="3D2BED79" w14:textId="77777777" w:rsidR="00300B3C" w:rsidRPr="00300B3C" w:rsidRDefault="00300B3C" w:rsidP="00300B3C">
            <w:pPr>
              <w:jc w:val="center"/>
              <w:rPr>
                <w:rFonts w:cs="Times New Roman"/>
                <w:sz w:val="22"/>
              </w:rPr>
            </w:pPr>
            <w:r w:rsidRPr="00300B3C">
              <w:rPr>
                <w:rFonts w:cs="Times New Roman"/>
                <w:sz w:val="22"/>
              </w:rPr>
              <w:t>Minimali reikšmė</w:t>
            </w:r>
          </w:p>
        </w:tc>
        <w:tc>
          <w:tcPr>
            <w:tcW w:w="1259" w:type="dxa"/>
            <w:shd w:val="clear" w:color="auto" w:fill="D6E3BC" w:themeFill="accent3" w:themeFillTint="66"/>
          </w:tcPr>
          <w:p w14:paraId="3D2BED7A" w14:textId="77777777" w:rsidR="00300B3C" w:rsidRPr="00300B3C" w:rsidRDefault="00300B3C" w:rsidP="00300B3C">
            <w:pPr>
              <w:jc w:val="center"/>
              <w:rPr>
                <w:rFonts w:cs="Times New Roman"/>
                <w:sz w:val="22"/>
              </w:rPr>
            </w:pPr>
            <w:r w:rsidRPr="00300B3C">
              <w:rPr>
                <w:rFonts w:cs="Times New Roman"/>
                <w:sz w:val="22"/>
              </w:rPr>
              <w:t>Maksimali reikšmė</w:t>
            </w:r>
          </w:p>
        </w:tc>
        <w:tc>
          <w:tcPr>
            <w:tcW w:w="1885" w:type="dxa"/>
            <w:shd w:val="clear" w:color="auto" w:fill="D6E3BC" w:themeFill="accent3" w:themeFillTint="66"/>
          </w:tcPr>
          <w:p w14:paraId="3D2BED7B" w14:textId="77777777" w:rsidR="00300B3C" w:rsidRPr="00300B3C" w:rsidRDefault="00300B3C" w:rsidP="00300B3C">
            <w:pPr>
              <w:jc w:val="center"/>
              <w:rPr>
                <w:rFonts w:cs="Times New Roman"/>
                <w:sz w:val="22"/>
              </w:rPr>
            </w:pPr>
            <w:r w:rsidRPr="00300B3C">
              <w:rPr>
                <w:rFonts w:cs="Times New Roman"/>
                <w:sz w:val="22"/>
              </w:rPr>
              <w:t>Kauno miesto ir Lietuvos rodiklio santykis</w:t>
            </w:r>
          </w:p>
        </w:tc>
      </w:tr>
      <w:tr w:rsidR="006E1850" w:rsidRPr="00300B3C" w14:paraId="3D2BED85" w14:textId="77777777" w:rsidTr="00E5407B">
        <w:trPr>
          <w:jc w:val="center"/>
        </w:trPr>
        <w:tc>
          <w:tcPr>
            <w:tcW w:w="601" w:type="dxa"/>
          </w:tcPr>
          <w:p w14:paraId="3D2BED7D" w14:textId="77777777" w:rsidR="006E1850" w:rsidRPr="00300B3C" w:rsidRDefault="006E1850" w:rsidP="006E1850">
            <w:pPr>
              <w:rPr>
                <w:rFonts w:cs="Times New Roman"/>
                <w:sz w:val="22"/>
              </w:rPr>
            </w:pPr>
            <w:r w:rsidRPr="00300B3C">
              <w:rPr>
                <w:rFonts w:cs="Times New Roman"/>
                <w:sz w:val="22"/>
              </w:rPr>
              <w:t>1.</w:t>
            </w:r>
          </w:p>
        </w:tc>
        <w:tc>
          <w:tcPr>
            <w:tcW w:w="4945" w:type="dxa"/>
          </w:tcPr>
          <w:p w14:paraId="3D2BED7E" w14:textId="77777777" w:rsidR="006E1850" w:rsidRPr="00300B3C" w:rsidRDefault="006E1850" w:rsidP="006E1850">
            <w:pPr>
              <w:rPr>
                <w:rFonts w:cs="Times New Roman"/>
                <w:sz w:val="22"/>
              </w:rPr>
            </w:pPr>
            <w:r w:rsidRPr="00300B3C">
              <w:rPr>
                <w:rFonts w:cs="Times New Roman"/>
                <w:sz w:val="22"/>
              </w:rPr>
              <w:t>Vidutinė tikėtina gyvenimo trukmė</w:t>
            </w:r>
          </w:p>
        </w:tc>
        <w:tc>
          <w:tcPr>
            <w:tcW w:w="1787" w:type="dxa"/>
            <w:vAlign w:val="center"/>
          </w:tcPr>
          <w:p w14:paraId="3D2BED7F" w14:textId="1B4FCA86" w:rsidR="006E1850" w:rsidRPr="00300B3C" w:rsidRDefault="006E1850" w:rsidP="006E1850">
            <w:pPr>
              <w:jc w:val="center"/>
              <w:rPr>
                <w:rFonts w:cs="Times New Roman"/>
                <w:sz w:val="22"/>
              </w:rPr>
            </w:pPr>
            <w:r w:rsidRPr="00300B3C">
              <w:rPr>
                <w:rFonts w:cs="Times New Roman"/>
                <w:sz w:val="22"/>
              </w:rPr>
              <w:t>76,</w:t>
            </w:r>
            <w:r w:rsidR="00F91BF1">
              <w:rPr>
                <w:rFonts w:cs="Times New Roman"/>
                <w:sz w:val="22"/>
              </w:rPr>
              <w:t>8</w:t>
            </w:r>
          </w:p>
        </w:tc>
        <w:tc>
          <w:tcPr>
            <w:tcW w:w="1787" w:type="dxa"/>
            <w:vAlign w:val="center"/>
          </w:tcPr>
          <w:p w14:paraId="3D2BED80" w14:textId="369E637E" w:rsidR="006E1850" w:rsidRPr="00255F2E" w:rsidRDefault="00E80C45" w:rsidP="006E1850">
            <w:pPr>
              <w:jc w:val="center"/>
              <w:rPr>
                <w:rFonts w:cs="Times New Roman"/>
                <w:color w:val="FF0000"/>
                <w:sz w:val="22"/>
              </w:rPr>
            </w:pPr>
            <w:r w:rsidRPr="003C623E">
              <w:rPr>
                <w:rFonts w:cs="Times New Roman"/>
                <w:sz w:val="22"/>
              </w:rPr>
              <w:t>7</w:t>
            </w:r>
            <w:r w:rsidR="00F91BF1" w:rsidRPr="003C623E">
              <w:rPr>
                <w:rFonts w:cs="Times New Roman"/>
                <w:sz w:val="22"/>
              </w:rPr>
              <w:t>8,1</w:t>
            </w:r>
            <w:r w:rsidR="00CB69D9">
              <w:rPr>
                <w:rFonts w:cs="Times New Roman"/>
                <w:sz w:val="22"/>
              </w:rPr>
              <w:t xml:space="preserve"> </w:t>
            </w:r>
            <w:r w:rsidR="00CB69D9" w:rsidRPr="008002E0">
              <w:rPr>
                <w:rFonts w:cs="Times New Roman"/>
                <w:b/>
                <w:bCs/>
                <w:color w:val="00B050"/>
                <w:sz w:val="22"/>
              </w:rPr>
              <w:t>↑</w:t>
            </w:r>
          </w:p>
        </w:tc>
        <w:tc>
          <w:tcPr>
            <w:tcW w:w="1257" w:type="dxa"/>
            <w:vAlign w:val="center"/>
          </w:tcPr>
          <w:p w14:paraId="3D2BED81" w14:textId="5BFA3227" w:rsidR="006E1850" w:rsidRPr="00300B3C" w:rsidRDefault="005552E8" w:rsidP="006E1850">
            <w:pPr>
              <w:jc w:val="center"/>
              <w:rPr>
                <w:rFonts w:cs="Times New Roman"/>
                <w:sz w:val="22"/>
              </w:rPr>
            </w:pPr>
            <w:r>
              <w:rPr>
                <w:rFonts w:cs="Times New Roman"/>
                <w:sz w:val="22"/>
              </w:rPr>
              <w:t>76,5</w:t>
            </w:r>
          </w:p>
        </w:tc>
        <w:tc>
          <w:tcPr>
            <w:tcW w:w="1257" w:type="dxa"/>
            <w:vAlign w:val="center"/>
          </w:tcPr>
          <w:p w14:paraId="3D2BED82" w14:textId="7AA482AC" w:rsidR="006E1850" w:rsidRPr="00300B3C" w:rsidRDefault="006E1850" w:rsidP="006E1850">
            <w:pPr>
              <w:jc w:val="center"/>
              <w:rPr>
                <w:rFonts w:cs="Times New Roman"/>
                <w:sz w:val="22"/>
              </w:rPr>
            </w:pPr>
            <w:r>
              <w:rPr>
                <w:rFonts w:cs="Times New Roman"/>
                <w:sz w:val="22"/>
              </w:rPr>
              <w:t>70,7</w:t>
            </w:r>
          </w:p>
        </w:tc>
        <w:tc>
          <w:tcPr>
            <w:tcW w:w="1259" w:type="dxa"/>
            <w:vAlign w:val="center"/>
          </w:tcPr>
          <w:p w14:paraId="3D2BED83" w14:textId="1435FA65" w:rsidR="006E1850" w:rsidRPr="00300B3C" w:rsidRDefault="006E1850" w:rsidP="006E1850">
            <w:pPr>
              <w:jc w:val="center"/>
              <w:rPr>
                <w:rFonts w:cs="Times New Roman"/>
                <w:sz w:val="22"/>
              </w:rPr>
            </w:pPr>
            <w:r>
              <w:rPr>
                <w:rFonts w:cs="Times New Roman"/>
                <w:sz w:val="22"/>
              </w:rPr>
              <w:t>79,1</w:t>
            </w:r>
          </w:p>
        </w:tc>
        <w:tc>
          <w:tcPr>
            <w:tcW w:w="1885" w:type="dxa"/>
            <w:shd w:val="clear" w:color="auto" w:fill="00B050"/>
            <w:vAlign w:val="center"/>
          </w:tcPr>
          <w:p w14:paraId="3D2BED84" w14:textId="388F4437" w:rsidR="006E1850" w:rsidRPr="00300B3C" w:rsidRDefault="008F6068" w:rsidP="006E1850">
            <w:pPr>
              <w:jc w:val="center"/>
              <w:rPr>
                <w:rFonts w:cs="Times New Roman"/>
                <w:sz w:val="22"/>
              </w:rPr>
            </w:pPr>
            <w:r>
              <w:rPr>
                <w:rFonts w:cs="Times New Roman"/>
                <w:sz w:val="22"/>
              </w:rPr>
              <w:t>1,02</w:t>
            </w:r>
          </w:p>
        </w:tc>
      </w:tr>
      <w:tr w:rsidR="006E1850" w:rsidRPr="00300B3C" w14:paraId="3D2BED8E" w14:textId="77777777" w:rsidTr="00EC5E0B">
        <w:trPr>
          <w:trHeight w:val="70"/>
          <w:jc w:val="center"/>
        </w:trPr>
        <w:tc>
          <w:tcPr>
            <w:tcW w:w="601" w:type="dxa"/>
          </w:tcPr>
          <w:p w14:paraId="3D2BED86" w14:textId="77777777" w:rsidR="006E1850" w:rsidRPr="00300B3C" w:rsidRDefault="006E1850" w:rsidP="006E1850">
            <w:pPr>
              <w:rPr>
                <w:rFonts w:cs="Times New Roman"/>
                <w:sz w:val="22"/>
              </w:rPr>
            </w:pPr>
            <w:r w:rsidRPr="00300B3C">
              <w:rPr>
                <w:rFonts w:cs="Times New Roman"/>
                <w:sz w:val="22"/>
              </w:rPr>
              <w:t>2.</w:t>
            </w:r>
          </w:p>
        </w:tc>
        <w:tc>
          <w:tcPr>
            <w:tcW w:w="4945" w:type="dxa"/>
          </w:tcPr>
          <w:p w14:paraId="3D2BED87" w14:textId="77777777" w:rsidR="006E1850" w:rsidRPr="00300B3C" w:rsidRDefault="006E1850" w:rsidP="006E1850">
            <w:pPr>
              <w:rPr>
                <w:rFonts w:cs="Times New Roman"/>
                <w:sz w:val="22"/>
              </w:rPr>
            </w:pPr>
            <w:r w:rsidRPr="00300B3C">
              <w:rPr>
                <w:rFonts w:cs="Times New Roman"/>
                <w:sz w:val="22"/>
              </w:rPr>
              <w:t>Išvengiamas mirtingumas (proc.)</w:t>
            </w:r>
          </w:p>
        </w:tc>
        <w:tc>
          <w:tcPr>
            <w:tcW w:w="1787" w:type="dxa"/>
            <w:vAlign w:val="center"/>
          </w:tcPr>
          <w:p w14:paraId="3D2BED88" w14:textId="18BD384C" w:rsidR="006E1850" w:rsidRPr="00300B3C" w:rsidRDefault="006E1850" w:rsidP="006E1850">
            <w:pPr>
              <w:jc w:val="center"/>
              <w:rPr>
                <w:rFonts w:cs="Times New Roman"/>
                <w:sz w:val="22"/>
              </w:rPr>
            </w:pPr>
            <w:r w:rsidRPr="00300B3C">
              <w:rPr>
                <w:rFonts w:cs="Times New Roman"/>
                <w:sz w:val="22"/>
              </w:rPr>
              <w:t>27,6</w:t>
            </w:r>
          </w:p>
        </w:tc>
        <w:tc>
          <w:tcPr>
            <w:tcW w:w="1787" w:type="dxa"/>
            <w:vAlign w:val="center"/>
          </w:tcPr>
          <w:p w14:paraId="3D2BED89" w14:textId="51AB309B" w:rsidR="006E1850" w:rsidRPr="00300B3C" w:rsidRDefault="00B15F37" w:rsidP="006E1850">
            <w:pPr>
              <w:jc w:val="center"/>
              <w:rPr>
                <w:rFonts w:cs="Times New Roman"/>
                <w:sz w:val="22"/>
              </w:rPr>
            </w:pPr>
            <w:r>
              <w:rPr>
                <w:rFonts w:cs="Times New Roman"/>
                <w:sz w:val="22"/>
              </w:rPr>
              <w:t>27,5</w:t>
            </w:r>
            <w:r w:rsidR="00854860">
              <w:rPr>
                <w:rFonts w:cs="Times New Roman"/>
                <w:sz w:val="22"/>
              </w:rPr>
              <w:t xml:space="preserve"> </w:t>
            </w:r>
            <w:r w:rsidR="00854860" w:rsidRPr="008002E0">
              <w:rPr>
                <w:rFonts w:cs="Times New Roman"/>
                <w:b/>
                <w:bCs/>
                <w:color w:val="00B050"/>
                <w:sz w:val="22"/>
              </w:rPr>
              <w:t>↑</w:t>
            </w:r>
          </w:p>
        </w:tc>
        <w:tc>
          <w:tcPr>
            <w:tcW w:w="1257" w:type="dxa"/>
            <w:vAlign w:val="center"/>
          </w:tcPr>
          <w:p w14:paraId="3D2BED8A" w14:textId="53F9C2FD" w:rsidR="006E1850" w:rsidRPr="00300B3C" w:rsidRDefault="00E32EF3" w:rsidP="006E1850">
            <w:pPr>
              <w:jc w:val="center"/>
              <w:rPr>
                <w:rFonts w:cs="Times New Roman"/>
                <w:sz w:val="22"/>
              </w:rPr>
            </w:pPr>
            <w:r>
              <w:rPr>
                <w:rFonts w:cs="Times New Roman"/>
                <w:sz w:val="22"/>
              </w:rPr>
              <w:t>31,7</w:t>
            </w:r>
          </w:p>
        </w:tc>
        <w:tc>
          <w:tcPr>
            <w:tcW w:w="1257" w:type="dxa"/>
            <w:vAlign w:val="center"/>
          </w:tcPr>
          <w:p w14:paraId="3D2BED8B" w14:textId="4F361A7D" w:rsidR="006E1850" w:rsidRPr="00300B3C" w:rsidRDefault="00E32EF3" w:rsidP="006E1850">
            <w:pPr>
              <w:jc w:val="center"/>
              <w:rPr>
                <w:rFonts w:cs="Times New Roman"/>
                <w:sz w:val="22"/>
              </w:rPr>
            </w:pPr>
            <w:r>
              <w:rPr>
                <w:rFonts w:cs="Times New Roman"/>
                <w:sz w:val="22"/>
              </w:rPr>
              <w:t>24,3</w:t>
            </w:r>
          </w:p>
        </w:tc>
        <w:tc>
          <w:tcPr>
            <w:tcW w:w="1259" w:type="dxa"/>
            <w:vAlign w:val="center"/>
          </w:tcPr>
          <w:p w14:paraId="3D2BED8C" w14:textId="06554451" w:rsidR="006E1850" w:rsidRPr="00300B3C" w:rsidRDefault="00E32EF3" w:rsidP="006E1850">
            <w:pPr>
              <w:jc w:val="center"/>
              <w:rPr>
                <w:rFonts w:cs="Times New Roman"/>
                <w:sz w:val="22"/>
              </w:rPr>
            </w:pPr>
            <w:r>
              <w:rPr>
                <w:rFonts w:cs="Times New Roman"/>
                <w:sz w:val="22"/>
              </w:rPr>
              <w:t>39,7</w:t>
            </w:r>
          </w:p>
        </w:tc>
        <w:tc>
          <w:tcPr>
            <w:tcW w:w="1885" w:type="dxa"/>
            <w:shd w:val="clear" w:color="auto" w:fill="00B050"/>
            <w:vAlign w:val="center"/>
          </w:tcPr>
          <w:p w14:paraId="3D2BED8D" w14:textId="0470F33F" w:rsidR="006E1850" w:rsidRPr="00300B3C" w:rsidRDefault="00557B28" w:rsidP="006E1850">
            <w:pPr>
              <w:jc w:val="center"/>
              <w:rPr>
                <w:rFonts w:cs="Times New Roman"/>
                <w:sz w:val="22"/>
              </w:rPr>
            </w:pPr>
            <w:r>
              <w:rPr>
                <w:rFonts w:cs="Times New Roman"/>
                <w:sz w:val="22"/>
              </w:rPr>
              <w:t>0,87</w:t>
            </w:r>
          </w:p>
        </w:tc>
      </w:tr>
      <w:tr w:rsidR="006E1850" w:rsidRPr="00300B3C" w14:paraId="3D2BED90" w14:textId="77777777" w:rsidTr="00431208">
        <w:trPr>
          <w:jc w:val="center"/>
        </w:trPr>
        <w:tc>
          <w:tcPr>
            <w:tcW w:w="14778" w:type="dxa"/>
            <w:gridSpan w:val="8"/>
            <w:shd w:val="clear" w:color="auto" w:fill="D6E3BC" w:themeFill="accent3" w:themeFillTint="66"/>
          </w:tcPr>
          <w:p w14:paraId="3D2BED8F" w14:textId="77777777" w:rsidR="006E1850" w:rsidRPr="00300B3C" w:rsidRDefault="006E1850" w:rsidP="006E1850">
            <w:pPr>
              <w:ind w:left="720"/>
              <w:jc w:val="center"/>
              <w:rPr>
                <w:rFonts w:cs="Times New Roman"/>
                <w:sz w:val="22"/>
              </w:rPr>
            </w:pPr>
            <w:r w:rsidRPr="00300B3C">
              <w:rPr>
                <w:rFonts w:cs="Times New Roman"/>
                <w:sz w:val="22"/>
              </w:rPr>
              <w:t>1 TIKSLAS. SUKURTI SAUGESNĘ SOCIALINĘ APLINKĄ, MAŽINTI SVEIKATOS NETOLYGUMUS IR SOCIALINĘ ATSKIRTĮ</w:t>
            </w:r>
          </w:p>
        </w:tc>
      </w:tr>
      <w:tr w:rsidR="006E1850" w:rsidRPr="00300B3C" w14:paraId="3D2BED92" w14:textId="77777777" w:rsidTr="00EC5E0B">
        <w:trPr>
          <w:trHeight w:val="70"/>
          <w:jc w:val="center"/>
        </w:trPr>
        <w:tc>
          <w:tcPr>
            <w:tcW w:w="14778" w:type="dxa"/>
            <w:gridSpan w:val="8"/>
            <w:shd w:val="clear" w:color="auto" w:fill="D6E3BC" w:themeFill="accent3" w:themeFillTint="66"/>
          </w:tcPr>
          <w:p w14:paraId="3D2BED91" w14:textId="77777777" w:rsidR="006E1850" w:rsidRPr="00300B3C" w:rsidRDefault="006E1850" w:rsidP="006E1850">
            <w:pPr>
              <w:jc w:val="center"/>
              <w:rPr>
                <w:rFonts w:cs="Times New Roman"/>
                <w:sz w:val="22"/>
              </w:rPr>
            </w:pPr>
            <w:r w:rsidRPr="00300B3C">
              <w:rPr>
                <w:rFonts w:cs="Times New Roman"/>
                <w:sz w:val="22"/>
              </w:rPr>
              <w:t>1.1 Sumažinti skurdo lygį ir nedarbą</w:t>
            </w:r>
          </w:p>
        </w:tc>
      </w:tr>
      <w:tr w:rsidR="006E1850" w:rsidRPr="00300B3C" w14:paraId="3D2BED9B" w14:textId="77777777" w:rsidTr="001C607E">
        <w:trPr>
          <w:jc w:val="center"/>
        </w:trPr>
        <w:tc>
          <w:tcPr>
            <w:tcW w:w="601" w:type="dxa"/>
          </w:tcPr>
          <w:p w14:paraId="3D2BED93" w14:textId="77777777" w:rsidR="006E1850" w:rsidRPr="00300B3C" w:rsidRDefault="006E1850" w:rsidP="006E1850">
            <w:pPr>
              <w:rPr>
                <w:rFonts w:cs="Times New Roman"/>
                <w:sz w:val="22"/>
              </w:rPr>
            </w:pPr>
            <w:r w:rsidRPr="00300B3C">
              <w:rPr>
                <w:rFonts w:cs="Times New Roman"/>
                <w:sz w:val="22"/>
              </w:rPr>
              <w:t>3.</w:t>
            </w:r>
          </w:p>
        </w:tc>
        <w:tc>
          <w:tcPr>
            <w:tcW w:w="4945" w:type="dxa"/>
          </w:tcPr>
          <w:p w14:paraId="3D2BED94" w14:textId="19AD6325" w:rsidR="006E1850" w:rsidRPr="00300B3C" w:rsidRDefault="006E1850" w:rsidP="006E1850">
            <w:pPr>
              <w:rPr>
                <w:rFonts w:cs="Times New Roman"/>
                <w:sz w:val="22"/>
              </w:rPr>
            </w:pPr>
            <w:r w:rsidRPr="00300B3C">
              <w:rPr>
                <w:rFonts w:cs="Times New Roman"/>
                <w:sz w:val="22"/>
              </w:rPr>
              <w:t>Mirtingumas dėl savižudybių (X60-X84) 100</w:t>
            </w:r>
            <w:r w:rsidR="00C6005C">
              <w:rPr>
                <w:rFonts w:cs="Times New Roman"/>
                <w:sz w:val="22"/>
              </w:rPr>
              <w:t xml:space="preserve"> </w:t>
            </w:r>
            <w:r w:rsidRPr="00300B3C">
              <w:rPr>
                <w:rFonts w:cs="Times New Roman"/>
                <w:sz w:val="22"/>
              </w:rPr>
              <w:t>000 gyv.</w:t>
            </w:r>
          </w:p>
        </w:tc>
        <w:tc>
          <w:tcPr>
            <w:tcW w:w="1787" w:type="dxa"/>
            <w:vAlign w:val="center"/>
          </w:tcPr>
          <w:p w14:paraId="3D2BED95" w14:textId="66FE1B4B" w:rsidR="006E1850" w:rsidRPr="00300B3C" w:rsidRDefault="006E1850" w:rsidP="006E1850">
            <w:pPr>
              <w:jc w:val="center"/>
              <w:rPr>
                <w:rFonts w:cs="Times New Roman"/>
                <w:sz w:val="22"/>
              </w:rPr>
            </w:pPr>
            <w:r w:rsidRPr="00300B3C">
              <w:rPr>
                <w:rFonts w:cs="Times New Roman"/>
                <w:sz w:val="22"/>
              </w:rPr>
              <w:t>18,1</w:t>
            </w:r>
          </w:p>
        </w:tc>
        <w:tc>
          <w:tcPr>
            <w:tcW w:w="1787" w:type="dxa"/>
            <w:vAlign w:val="center"/>
          </w:tcPr>
          <w:p w14:paraId="3D2BED96" w14:textId="6D710ED8" w:rsidR="006E1850" w:rsidRPr="007F25EC" w:rsidRDefault="00862590" w:rsidP="006E1850">
            <w:pPr>
              <w:jc w:val="center"/>
              <w:rPr>
                <w:rFonts w:cs="Times New Roman"/>
                <w:sz w:val="22"/>
              </w:rPr>
            </w:pPr>
            <w:r w:rsidRPr="007F25EC">
              <w:rPr>
                <w:rFonts w:cs="Times New Roman"/>
                <w:sz w:val="22"/>
              </w:rPr>
              <w:t>22,2</w:t>
            </w:r>
            <w:r w:rsidR="00854860">
              <w:rPr>
                <w:rFonts w:cs="Times New Roman"/>
                <w:sz w:val="22"/>
              </w:rPr>
              <w:t xml:space="preserve"> </w:t>
            </w:r>
            <w:r w:rsidR="00500250" w:rsidRPr="00500250">
              <w:rPr>
                <w:rFonts w:cs="Times New Roman"/>
                <w:b/>
                <w:bCs/>
                <w:color w:val="FF0000"/>
                <w:sz w:val="22"/>
              </w:rPr>
              <w:t>↑</w:t>
            </w:r>
          </w:p>
        </w:tc>
        <w:tc>
          <w:tcPr>
            <w:tcW w:w="1257" w:type="dxa"/>
            <w:vAlign w:val="center"/>
          </w:tcPr>
          <w:p w14:paraId="3D2BED97" w14:textId="26C86311" w:rsidR="006E1850" w:rsidRPr="007F25EC" w:rsidRDefault="00E96784" w:rsidP="006E1850">
            <w:pPr>
              <w:jc w:val="center"/>
              <w:rPr>
                <w:rFonts w:cs="Times New Roman"/>
                <w:sz w:val="22"/>
              </w:rPr>
            </w:pPr>
            <w:r w:rsidRPr="007F25EC">
              <w:rPr>
                <w:rFonts w:cs="Times New Roman"/>
                <w:sz w:val="22"/>
              </w:rPr>
              <w:t>23,</w:t>
            </w:r>
            <w:r w:rsidR="00862590" w:rsidRPr="007F25EC">
              <w:rPr>
                <w:rFonts w:cs="Times New Roman"/>
                <w:sz w:val="22"/>
              </w:rPr>
              <w:t>5</w:t>
            </w:r>
          </w:p>
        </w:tc>
        <w:tc>
          <w:tcPr>
            <w:tcW w:w="1257" w:type="dxa"/>
            <w:vAlign w:val="center"/>
          </w:tcPr>
          <w:p w14:paraId="3D2BED98" w14:textId="55DFC7A5" w:rsidR="006E1850" w:rsidRPr="007F25EC" w:rsidRDefault="00E96784" w:rsidP="006E1850">
            <w:pPr>
              <w:jc w:val="center"/>
              <w:rPr>
                <w:rFonts w:cs="Times New Roman"/>
                <w:sz w:val="22"/>
              </w:rPr>
            </w:pPr>
            <w:r w:rsidRPr="007F25EC">
              <w:rPr>
                <w:rFonts w:cs="Times New Roman"/>
                <w:sz w:val="22"/>
              </w:rPr>
              <w:t>0,0</w:t>
            </w:r>
          </w:p>
        </w:tc>
        <w:tc>
          <w:tcPr>
            <w:tcW w:w="1259" w:type="dxa"/>
            <w:vAlign w:val="center"/>
          </w:tcPr>
          <w:p w14:paraId="3D2BED99" w14:textId="13AC67CA" w:rsidR="006E1850" w:rsidRPr="007F25EC" w:rsidRDefault="002837B2" w:rsidP="006E1850">
            <w:pPr>
              <w:jc w:val="center"/>
              <w:rPr>
                <w:rFonts w:cs="Times New Roman"/>
                <w:sz w:val="22"/>
              </w:rPr>
            </w:pPr>
            <w:r w:rsidRPr="007F25EC">
              <w:rPr>
                <w:rFonts w:cs="Times New Roman"/>
                <w:sz w:val="22"/>
              </w:rPr>
              <w:t>97,8</w:t>
            </w:r>
          </w:p>
        </w:tc>
        <w:tc>
          <w:tcPr>
            <w:tcW w:w="1885" w:type="dxa"/>
            <w:shd w:val="clear" w:color="auto" w:fill="FFFF00"/>
            <w:vAlign w:val="center"/>
          </w:tcPr>
          <w:p w14:paraId="3D2BED9A" w14:textId="52579D6B" w:rsidR="006E1850" w:rsidRPr="00300B3C" w:rsidRDefault="007F25EC" w:rsidP="006E1850">
            <w:pPr>
              <w:jc w:val="center"/>
              <w:rPr>
                <w:rFonts w:cs="Times New Roman"/>
                <w:sz w:val="22"/>
              </w:rPr>
            </w:pPr>
            <w:r>
              <w:rPr>
                <w:rFonts w:cs="Times New Roman"/>
                <w:sz w:val="22"/>
              </w:rPr>
              <w:t>0,94</w:t>
            </w:r>
          </w:p>
        </w:tc>
      </w:tr>
      <w:tr w:rsidR="006E1850" w:rsidRPr="00300B3C" w14:paraId="3D2BEDA4" w14:textId="77777777" w:rsidTr="00EC5E0B">
        <w:trPr>
          <w:trHeight w:val="70"/>
          <w:jc w:val="center"/>
        </w:trPr>
        <w:tc>
          <w:tcPr>
            <w:tcW w:w="601" w:type="dxa"/>
          </w:tcPr>
          <w:p w14:paraId="3D2BED9C" w14:textId="77777777" w:rsidR="006E1850" w:rsidRPr="00300B3C" w:rsidRDefault="006E1850" w:rsidP="006E1850">
            <w:pPr>
              <w:rPr>
                <w:rFonts w:cs="Times New Roman"/>
                <w:sz w:val="22"/>
              </w:rPr>
            </w:pPr>
            <w:r w:rsidRPr="00300B3C">
              <w:rPr>
                <w:rFonts w:cs="Times New Roman"/>
                <w:sz w:val="22"/>
              </w:rPr>
              <w:t>3.1</w:t>
            </w:r>
          </w:p>
        </w:tc>
        <w:tc>
          <w:tcPr>
            <w:tcW w:w="4945" w:type="dxa"/>
          </w:tcPr>
          <w:p w14:paraId="3D2BED9D" w14:textId="77777777" w:rsidR="006E1850" w:rsidRPr="00300B3C" w:rsidRDefault="006E1850" w:rsidP="006E1850">
            <w:pPr>
              <w:rPr>
                <w:rFonts w:cs="Times New Roman"/>
                <w:sz w:val="22"/>
              </w:rPr>
            </w:pPr>
            <w:r w:rsidRPr="00300B3C">
              <w:rPr>
                <w:rFonts w:cs="Times New Roman"/>
                <w:sz w:val="22"/>
              </w:rPr>
              <w:t>Standartizuotas mirtingumo dėl savižudybių rodiklis (X60-X84) 100 000 gyv.</w:t>
            </w:r>
          </w:p>
        </w:tc>
        <w:tc>
          <w:tcPr>
            <w:tcW w:w="1787" w:type="dxa"/>
            <w:vAlign w:val="center"/>
          </w:tcPr>
          <w:p w14:paraId="3D2BED9E" w14:textId="2416DB5F" w:rsidR="006E1850" w:rsidRPr="00300B3C" w:rsidRDefault="006E1850" w:rsidP="006E1850">
            <w:pPr>
              <w:jc w:val="center"/>
              <w:rPr>
                <w:rFonts w:cs="Times New Roman"/>
                <w:sz w:val="22"/>
              </w:rPr>
            </w:pPr>
            <w:r w:rsidRPr="00300B3C">
              <w:rPr>
                <w:rFonts w:cs="Times New Roman"/>
                <w:sz w:val="22"/>
              </w:rPr>
              <w:t>17,5</w:t>
            </w:r>
          </w:p>
        </w:tc>
        <w:tc>
          <w:tcPr>
            <w:tcW w:w="1787" w:type="dxa"/>
            <w:vAlign w:val="center"/>
          </w:tcPr>
          <w:p w14:paraId="3D2BED9F" w14:textId="4C8B24A7" w:rsidR="006E1850" w:rsidRPr="00F8713D" w:rsidRDefault="0098094B" w:rsidP="006E1850">
            <w:pPr>
              <w:jc w:val="center"/>
              <w:rPr>
                <w:rFonts w:cs="Times New Roman"/>
                <w:sz w:val="22"/>
              </w:rPr>
            </w:pPr>
            <w:r w:rsidRPr="00F8713D">
              <w:rPr>
                <w:rFonts w:cs="Times New Roman"/>
                <w:sz w:val="22"/>
              </w:rPr>
              <w:t>22,2</w:t>
            </w:r>
            <w:r w:rsidR="00500250">
              <w:rPr>
                <w:rFonts w:cs="Times New Roman"/>
                <w:sz w:val="22"/>
              </w:rPr>
              <w:t xml:space="preserve"> </w:t>
            </w:r>
            <w:r w:rsidR="00500250" w:rsidRPr="00500250">
              <w:rPr>
                <w:rFonts w:cs="Times New Roman"/>
                <w:b/>
                <w:bCs/>
                <w:color w:val="FF0000"/>
                <w:sz w:val="22"/>
              </w:rPr>
              <w:t>↑</w:t>
            </w:r>
          </w:p>
        </w:tc>
        <w:tc>
          <w:tcPr>
            <w:tcW w:w="1257" w:type="dxa"/>
            <w:vAlign w:val="center"/>
          </w:tcPr>
          <w:p w14:paraId="3D2BEDA0" w14:textId="5824B529" w:rsidR="006E1850" w:rsidRPr="00F8713D" w:rsidRDefault="009B1C76" w:rsidP="006E1850">
            <w:pPr>
              <w:jc w:val="center"/>
              <w:rPr>
                <w:rFonts w:cs="Times New Roman"/>
                <w:sz w:val="22"/>
              </w:rPr>
            </w:pPr>
            <w:r w:rsidRPr="00F8713D">
              <w:rPr>
                <w:rFonts w:cs="Times New Roman"/>
                <w:sz w:val="22"/>
              </w:rPr>
              <w:t>2</w:t>
            </w:r>
            <w:r w:rsidR="0098094B" w:rsidRPr="00F8713D">
              <w:rPr>
                <w:rFonts w:cs="Times New Roman"/>
                <w:sz w:val="22"/>
              </w:rPr>
              <w:t>3,0</w:t>
            </w:r>
          </w:p>
        </w:tc>
        <w:tc>
          <w:tcPr>
            <w:tcW w:w="1257" w:type="dxa"/>
            <w:vAlign w:val="center"/>
          </w:tcPr>
          <w:p w14:paraId="3D2BEDA1" w14:textId="03C8A77D" w:rsidR="006E1850" w:rsidRPr="00F8713D" w:rsidRDefault="007B6872" w:rsidP="006E1850">
            <w:pPr>
              <w:jc w:val="center"/>
              <w:rPr>
                <w:rFonts w:cs="Times New Roman"/>
                <w:sz w:val="22"/>
              </w:rPr>
            </w:pPr>
            <w:r w:rsidRPr="00F8713D">
              <w:rPr>
                <w:rFonts w:cs="Times New Roman"/>
                <w:sz w:val="22"/>
              </w:rPr>
              <w:t>0,0</w:t>
            </w:r>
          </w:p>
        </w:tc>
        <w:tc>
          <w:tcPr>
            <w:tcW w:w="1259" w:type="dxa"/>
            <w:vAlign w:val="center"/>
          </w:tcPr>
          <w:p w14:paraId="3D2BEDA2" w14:textId="296D054D" w:rsidR="006E1850" w:rsidRPr="00F8713D" w:rsidRDefault="00F8713D" w:rsidP="006E1850">
            <w:pPr>
              <w:jc w:val="center"/>
              <w:rPr>
                <w:rFonts w:cs="Times New Roman"/>
                <w:sz w:val="22"/>
              </w:rPr>
            </w:pPr>
            <w:r w:rsidRPr="00F8713D">
              <w:rPr>
                <w:rFonts w:cs="Times New Roman"/>
                <w:sz w:val="22"/>
              </w:rPr>
              <w:t>119,4</w:t>
            </w:r>
          </w:p>
        </w:tc>
        <w:tc>
          <w:tcPr>
            <w:tcW w:w="1885" w:type="dxa"/>
            <w:shd w:val="clear" w:color="auto" w:fill="FFFF00"/>
            <w:vAlign w:val="center"/>
          </w:tcPr>
          <w:p w14:paraId="3D2BEDA3" w14:textId="24B3420B" w:rsidR="006E1850" w:rsidRPr="00300B3C" w:rsidRDefault="00F8713D" w:rsidP="006E1850">
            <w:pPr>
              <w:jc w:val="center"/>
              <w:rPr>
                <w:rFonts w:cs="Times New Roman"/>
                <w:sz w:val="22"/>
              </w:rPr>
            </w:pPr>
            <w:r>
              <w:rPr>
                <w:rFonts w:cs="Times New Roman"/>
                <w:sz w:val="22"/>
              </w:rPr>
              <w:t>0,97</w:t>
            </w:r>
          </w:p>
        </w:tc>
      </w:tr>
      <w:tr w:rsidR="006E1850" w:rsidRPr="00300B3C" w14:paraId="3D2BEDAD" w14:textId="77777777" w:rsidTr="00EC5E0B">
        <w:trPr>
          <w:trHeight w:val="70"/>
          <w:jc w:val="center"/>
        </w:trPr>
        <w:tc>
          <w:tcPr>
            <w:tcW w:w="601" w:type="dxa"/>
          </w:tcPr>
          <w:p w14:paraId="3D2BEDA5" w14:textId="77777777" w:rsidR="006E1850" w:rsidRPr="00300B3C" w:rsidRDefault="006E1850" w:rsidP="006E1850">
            <w:pPr>
              <w:rPr>
                <w:rFonts w:cs="Times New Roman"/>
                <w:sz w:val="22"/>
              </w:rPr>
            </w:pPr>
            <w:r w:rsidRPr="00300B3C">
              <w:rPr>
                <w:rFonts w:cs="Times New Roman"/>
                <w:sz w:val="22"/>
              </w:rPr>
              <w:t>3.2</w:t>
            </w:r>
          </w:p>
        </w:tc>
        <w:tc>
          <w:tcPr>
            <w:tcW w:w="4945" w:type="dxa"/>
          </w:tcPr>
          <w:p w14:paraId="3D2BEDA6" w14:textId="77777777" w:rsidR="006E1850" w:rsidRPr="00300B3C" w:rsidRDefault="006E1850" w:rsidP="006E1850">
            <w:pPr>
              <w:rPr>
                <w:rFonts w:cs="Times New Roman"/>
                <w:sz w:val="22"/>
              </w:rPr>
            </w:pPr>
            <w:r w:rsidRPr="00300B3C">
              <w:rPr>
                <w:rFonts w:cs="Times New Roman"/>
                <w:sz w:val="22"/>
              </w:rPr>
              <w:t>Bandymų</w:t>
            </w:r>
            <w:r>
              <w:rPr>
                <w:rFonts w:cs="Times New Roman"/>
                <w:sz w:val="22"/>
              </w:rPr>
              <w:t xml:space="preserve"> </w:t>
            </w:r>
            <w:r w:rsidRPr="00300B3C">
              <w:rPr>
                <w:rFonts w:cs="Times New Roman"/>
                <w:sz w:val="22"/>
              </w:rPr>
              <w:t xml:space="preserve"> žudytis skaičius (X60-X64, X66-X84) 100 000 gyv.</w:t>
            </w:r>
          </w:p>
        </w:tc>
        <w:tc>
          <w:tcPr>
            <w:tcW w:w="1787" w:type="dxa"/>
            <w:vAlign w:val="center"/>
          </w:tcPr>
          <w:p w14:paraId="3D2BEDA7" w14:textId="3C5D9B2B" w:rsidR="006E1850" w:rsidRPr="00300B3C" w:rsidRDefault="006E1850" w:rsidP="006E1850">
            <w:pPr>
              <w:jc w:val="center"/>
              <w:rPr>
                <w:rFonts w:cs="Times New Roman"/>
                <w:sz w:val="22"/>
              </w:rPr>
            </w:pPr>
            <w:r w:rsidRPr="00300B3C">
              <w:rPr>
                <w:rFonts w:cs="Times New Roman"/>
                <w:sz w:val="22"/>
              </w:rPr>
              <w:t>25</w:t>
            </w:r>
            <w:r w:rsidR="00526C3C">
              <w:rPr>
                <w:rFonts w:cs="Times New Roman"/>
                <w:sz w:val="22"/>
              </w:rPr>
              <w:t>,</w:t>
            </w:r>
            <w:r w:rsidRPr="00300B3C">
              <w:rPr>
                <w:rFonts w:cs="Times New Roman"/>
                <w:sz w:val="22"/>
              </w:rPr>
              <w:t>7</w:t>
            </w:r>
          </w:p>
        </w:tc>
        <w:tc>
          <w:tcPr>
            <w:tcW w:w="1787" w:type="dxa"/>
            <w:vAlign w:val="center"/>
          </w:tcPr>
          <w:p w14:paraId="3D2BEDA8" w14:textId="4443B4FF" w:rsidR="006E1850" w:rsidRPr="001C607E" w:rsidRDefault="006B051D" w:rsidP="006E1850">
            <w:pPr>
              <w:jc w:val="center"/>
              <w:rPr>
                <w:rFonts w:cs="Times New Roman"/>
                <w:sz w:val="22"/>
              </w:rPr>
            </w:pPr>
            <w:r w:rsidRPr="001C607E">
              <w:rPr>
                <w:rFonts w:cs="Times New Roman"/>
                <w:sz w:val="22"/>
              </w:rPr>
              <w:t>2</w:t>
            </w:r>
            <w:r w:rsidR="007D2649" w:rsidRPr="001C607E">
              <w:rPr>
                <w:rFonts w:cs="Times New Roman"/>
                <w:sz w:val="22"/>
              </w:rPr>
              <w:t>7,1</w:t>
            </w:r>
            <w:r w:rsidR="00500250">
              <w:rPr>
                <w:rFonts w:cs="Times New Roman"/>
                <w:sz w:val="22"/>
              </w:rPr>
              <w:t xml:space="preserve"> </w:t>
            </w:r>
            <w:r w:rsidR="00500250" w:rsidRPr="00500250">
              <w:rPr>
                <w:rFonts w:cs="Times New Roman"/>
                <w:b/>
                <w:bCs/>
                <w:color w:val="FF0000"/>
                <w:sz w:val="22"/>
              </w:rPr>
              <w:t>↑</w:t>
            </w:r>
          </w:p>
        </w:tc>
        <w:tc>
          <w:tcPr>
            <w:tcW w:w="1257" w:type="dxa"/>
            <w:vAlign w:val="center"/>
          </w:tcPr>
          <w:p w14:paraId="3D2BEDA9" w14:textId="01A1520A" w:rsidR="006E1850" w:rsidRPr="001C607E" w:rsidRDefault="00526C3C" w:rsidP="006E1850">
            <w:pPr>
              <w:jc w:val="center"/>
              <w:rPr>
                <w:rFonts w:cs="Times New Roman"/>
                <w:sz w:val="22"/>
              </w:rPr>
            </w:pPr>
            <w:r w:rsidRPr="001C607E">
              <w:rPr>
                <w:rFonts w:cs="Times New Roman"/>
                <w:sz w:val="22"/>
              </w:rPr>
              <w:t>37,1</w:t>
            </w:r>
          </w:p>
        </w:tc>
        <w:tc>
          <w:tcPr>
            <w:tcW w:w="1257" w:type="dxa"/>
            <w:vAlign w:val="center"/>
          </w:tcPr>
          <w:p w14:paraId="3D2BEDAA" w14:textId="17C006B6" w:rsidR="006E1850" w:rsidRPr="001C607E" w:rsidRDefault="00526C3C" w:rsidP="006E1850">
            <w:pPr>
              <w:jc w:val="center"/>
              <w:rPr>
                <w:rFonts w:cs="Times New Roman"/>
                <w:sz w:val="22"/>
              </w:rPr>
            </w:pPr>
            <w:r w:rsidRPr="001C607E">
              <w:rPr>
                <w:rFonts w:cs="Times New Roman"/>
                <w:sz w:val="22"/>
              </w:rPr>
              <w:t>3</w:t>
            </w:r>
            <w:r w:rsidR="00E44935" w:rsidRPr="001C607E">
              <w:rPr>
                <w:rFonts w:cs="Times New Roman"/>
                <w:sz w:val="22"/>
              </w:rPr>
              <w:t>,0</w:t>
            </w:r>
          </w:p>
        </w:tc>
        <w:tc>
          <w:tcPr>
            <w:tcW w:w="1259" w:type="dxa"/>
            <w:vAlign w:val="center"/>
          </w:tcPr>
          <w:p w14:paraId="3D2BEDAB" w14:textId="40901854" w:rsidR="006E1850" w:rsidRPr="001C607E" w:rsidRDefault="007124C5" w:rsidP="006E1850">
            <w:pPr>
              <w:jc w:val="center"/>
              <w:rPr>
                <w:rFonts w:cs="Times New Roman"/>
                <w:sz w:val="22"/>
              </w:rPr>
            </w:pPr>
            <w:r w:rsidRPr="001C607E">
              <w:rPr>
                <w:rFonts w:cs="Times New Roman"/>
                <w:sz w:val="22"/>
              </w:rPr>
              <w:t>121,4</w:t>
            </w:r>
          </w:p>
        </w:tc>
        <w:tc>
          <w:tcPr>
            <w:tcW w:w="1885" w:type="dxa"/>
            <w:shd w:val="clear" w:color="auto" w:fill="FFFF00"/>
            <w:vAlign w:val="center"/>
          </w:tcPr>
          <w:p w14:paraId="3D2BEDAC" w14:textId="46AB07B1" w:rsidR="006E1850" w:rsidRPr="00300B3C" w:rsidRDefault="00B31B0B" w:rsidP="006E1850">
            <w:pPr>
              <w:jc w:val="center"/>
              <w:rPr>
                <w:rFonts w:cs="Times New Roman"/>
                <w:sz w:val="22"/>
              </w:rPr>
            </w:pPr>
            <w:r>
              <w:rPr>
                <w:rFonts w:cs="Times New Roman"/>
                <w:sz w:val="22"/>
              </w:rPr>
              <w:t>0,73</w:t>
            </w:r>
          </w:p>
        </w:tc>
      </w:tr>
      <w:tr w:rsidR="006E1850" w:rsidRPr="00300B3C" w14:paraId="3D2BEDB6" w14:textId="77777777" w:rsidTr="00EC5E0B">
        <w:trPr>
          <w:trHeight w:val="70"/>
          <w:jc w:val="center"/>
        </w:trPr>
        <w:tc>
          <w:tcPr>
            <w:tcW w:w="601" w:type="dxa"/>
          </w:tcPr>
          <w:p w14:paraId="3D2BEDAE" w14:textId="77777777" w:rsidR="006E1850" w:rsidRPr="00300B3C" w:rsidRDefault="006E1850" w:rsidP="006E1850">
            <w:pPr>
              <w:rPr>
                <w:rFonts w:cs="Times New Roman"/>
                <w:sz w:val="22"/>
              </w:rPr>
            </w:pPr>
            <w:r w:rsidRPr="00300B3C">
              <w:rPr>
                <w:rFonts w:cs="Times New Roman"/>
                <w:sz w:val="22"/>
              </w:rPr>
              <w:t>4.</w:t>
            </w:r>
          </w:p>
        </w:tc>
        <w:tc>
          <w:tcPr>
            <w:tcW w:w="4945" w:type="dxa"/>
          </w:tcPr>
          <w:p w14:paraId="3D2BEDAF" w14:textId="77777777" w:rsidR="006E1850" w:rsidRPr="00300B3C" w:rsidRDefault="006E1850" w:rsidP="006E1850">
            <w:pPr>
              <w:rPr>
                <w:rFonts w:cs="Times New Roman"/>
                <w:sz w:val="22"/>
              </w:rPr>
            </w:pPr>
            <w:r w:rsidRPr="00300B3C">
              <w:rPr>
                <w:rFonts w:cs="Times New Roman"/>
                <w:sz w:val="22"/>
              </w:rPr>
              <w:t>Mokyklinio amžiaus vaikų, nesimokančių mokyklose, skaičius 1000 gyv.</w:t>
            </w:r>
          </w:p>
        </w:tc>
        <w:tc>
          <w:tcPr>
            <w:tcW w:w="1787" w:type="dxa"/>
            <w:vAlign w:val="center"/>
          </w:tcPr>
          <w:p w14:paraId="3D2BEDB0" w14:textId="18A70D96" w:rsidR="006E1850" w:rsidRPr="00300B3C" w:rsidRDefault="006E1850" w:rsidP="006E1850">
            <w:pPr>
              <w:jc w:val="center"/>
              <w:rPr>
                <w:rFonts w:cs="Times New Roman"/>
                <w:sz w:val="22"/>
              </w:rPr>
            </w:pPr>
            <w:r w:rsidRPr="00300B3C">
              <w:rPr>
                <w:rFonts w:cs="Times New Roman"/>
                <w:sz w:val="22"/>
              </w:rPr>
              <w:t>70,8</w:t>
            </w:r>
          </w:p>
        </w:tc>
        <w:tc>
          <w:tcPr>
            <w:tcW w:w="1787" w:type="dxa"/>
            <w:vAlign w:val="center"/>
          </w:tcPr>
          <w:p w14:paraId="3D2BEDB1" w14:textId="70CCC76A" w:rsidR="006E1850" w:rsidRPr="00300B3C" w:rsidRDefault="00F07A15" w:rsidP="006E1850">
            <w:pPr>
              <w:jc w:val="center"/>
              <w:rPr>
                <w:rFonts w:cs="Times New Roman"/>
                <w:sz w:val="22"/>
              </w:rPr>
            </w:pPr>
            <w:r>
              <w:rPr>
                <w:rFonts w:cs="Times New Roman"/>
                <w:sz w:val="22"/>
              </w:rPr>
              <w:t>67,9</w:t>
            </w:r>
            <w:r w:rsidR="00880C89">
              <w:rPr>
                <w:rFonts w:cs="Times New Roman"/>
                <w:sz w:val="22"/>
              </w:rPr>
              <w:t xml:space="preserve"> </w:t>
            </w:r>
            <w:r w:rsidR="00880C89" w:rsidRPr="00880C89">
              <w:rPr>
                <w:rFonts w:cs="Times New Roman"/>
                <w:b/>
                <w:bCs/>
                <w:color w:val="00B050"/>
                <w:sz w:val="22"/>
              </w:rPr>
              <w:t>↓</w:t>
            </w:r>
          </w:p>
        </w:tc>
        <w:tc>
          <w:tcPr>
            <w:tcW w:w="1257" w:type="dxa"/>
            <w:vAlign w:val="center"/>
          </w:tcPr>
          <w:p w14:paraId="3D2BEDB2" w14:textId="4CDE3D7B" w:rsidR="006E1850" w:rsidRPr="00300B3C" w:rsidRDefault="007B4B80" w:rsidP="006E1850">
            <w:pPr>
              <w:jc w:val="center"/>
              <w:rPr>
                <w:rFonts w:cs="Times New Roman"/>
                <w:sz w:val="22"/>
              </w:rPr>
            </w:pPr>
            <w:r>
              <w:rPr>
                <w:rFonts w:cs="Times New Roman"/>
                <w:sz w:val="22"/>
              </w:rPr>
              <w:t>68,2</w:t>
            </w:r>
          </w:p>
        </w:tc>
        <w:tc>
          <w:tcPr>
            <w:tcW w:w="1257" w:type="dxa"/>
            <w:vAlign w:val="center"/>
          </w:tcPr>
          <w:p w14:paraId="3D2BEDB3" w14:textId="01EB98B2" w:rsidR="006E1850" w:rsidRPr="00300B3C" w:rsidRDefault="007B4B80" w:rsidP="006E1850">
            <w:pPr>
              <w:jc w:val="center"/>
              <w:rPr>
                <w:rFonts w:cs="Times New Roman"/>
                <w:sz w:val="22"/>
              </w:rPr>
            </w:pPr>
            <w:r>
              <w:rPr>
                <w:rFonts w:cs="Times New Roman"/>
                <w:sz w:val="22"/>
              </w:rPr>
              <w:t>35,2</w:t>
            </w:r>
          </w:p>
        </w:tc>
        <w:tc>
          <w:tcPr>
            <w:tcW w:w="1259" w:type="dxa"/>
            <w:vAlign w:val="center"/>
          </w:tcPr>
          <w:p w14:paraId="3D2BEDB4" w14:textId="20FA8D60" w:rsidR="006E1850" w:rsidRPr="00300B3C" w:rsidRDefault="00F07A15" w:rsidP="006E1850">
            <w:pPr>
              <w:jc w:val="center"/>
              <w:rPr>
                <w:rFonts w:cs="Times New Roman"/>
                <w:sz w:val="22"/>
              </w:rPr>
            </w:pPr>
            <w:r>
              <w:rPr>
                <w:rFonts w:cs="Times New Roman"/>
                <w:sz w:val="22"/>
              </w:rPr>
              <w:t>125,8</w:t>
            </w:r>
          </w:p>
        </w:tc>
        <w:tc>
          <w:tcPr>
            <w:tcW w:w="1885" w:type="dxa"/>
            <w:shd w:val="clear" w:color="auto" w:fill="FFFF00"/>
            <w:vAlign w:val="center"/>
          </w:tcPr>
          <w:p w14:paraId="3D2BEDB5" w14:textId="740D0E70" w:rsidR="006E1850" w:rsidRPr="00300B3C" w:rsidRDefault="001735FB" w:rsidP="006E1850">
            <w:pPr>
              <w:jc w:val="center"/>
              <w:rPr>
                <w:rFonts w:cs="Times New Roman"/>
                <w:sz w:val="22"/>
              </w:rPr>
            </w:pPr>
            <w:r>
              <w:rPr>
                <w:rFonts w:cs="Times New Roman"/>
                <w:sz w:val="22"/>
              </w:rPr>
              <w:t>1,00</w:t>
            </w:r>
          </w:p>
        </w:tc>
      </w:tr>
      <w:tr w:rsidR="006E1850" w:rsidRPr="00300B3C" w14:paraId="3D2BEDBF" w14:textId="77777777" w:rsidTr="001D248D">
        <w:trPr>
          <w:jc w:val="center"/>
        </w:trPr>
        <w:tc>
          <w:tcPr>
            <w:tcW w:w="601" w:type="dxa"/>
          </w:tcPr>
          <w:p w14:paraId="3D2BEDB7" w14:textId="77777777" w:rsidR="006E1850" w:rsidRPr="00300B3C" w:rsidRDefault="006E1850" w:rsidP="006E1850">
            <w:pPr>
              <w:rPr>
                <w:rFonts w:cs="Times New Roman"/>
                <w:sz w:val="22"/>
              </w:rPr>
            </w:pPr>
            <w:r w:rsidRPr="00300B3C">
              <w:rPr>
                <w:rFonts w:cs="Times New Roman"/>
                <w:sz w:val="22"/>
              </w:rPr>
              <w:t>5.</w:t>
            </w:r>
          </w:p>
        </w:tc>
        <w:tc>
          <w:tcPr>
            <w:tcW w:w="4945" w:type="dxa"/>
          </w:tcPr>
          <w:p w14:paraId="3D2BEDB8" w14:textId="3BA0F532" w:rsidR="006E1850" w:rsidRPr="00300B3C" w:rsidRDefault="006E1850" w:rsidP="006E1850">
            <w:pPr>
              <w:rPr>
                <w:rFonts w:cs="Times New Roman"/>
                <w:sz w:val="22"/>
              </w:rPr>
            </w:pPr>
            <w:r w:rsidRPr="00300B3C">
              <w:rPr>
                <w:rFonts w:cs="Times New Roman"/>
                <w:sz w:val="22"/>
              </w:rPr>
              <w:t>Socialinės rizikos šeimų skaičius 1000 gyv.</w:t>
            </w:r>
          </w:p>
        </w:tc>
        <w:tc>
          <w:tcPr>
            <w:tcW w:w="1787" w:type="dxa"/>
            <w:vAlign w:val="center"/>
          </w:tcPr>
          <w:p w14:paraId="3D2BEDB9" w14:textId="145801E4" w:rsidR="006E1850" w:rsidRPr="00300B3C" w:rsidRDefault="006E1850" w:rsidP="006E1850">
            <w:pPr>
              <w:jc w:val="center"/>
              <w:rPr>
                <w:rFonts w:cs="Times New Roman"/>
                <w:sz w:val="22"/>
              </w:rPr>
            </w:pPr>
            <w:r w:rsidRPr="00300B3C">
              <w:rPr>
                <w:rFonts w:cs="Times New Roman"/>
                <w:sz w:val="22"/>
              </w:rPr>
              <w:t>1,6</w:t>
            </w:r>
          </w:p>
        </w:tc>
        <w:tc>
          <w:tcPr>
            <w:tcW w:w="1787" w:type="dxa"/>
            <w:vAlign w:val="center"/>
          </w:tcPr>
          <w:p w14:paraId="3D2BEDBA" w14:textId="401197DE" w:rsidR="006E1850" w:rsidRPr="001B3917" w:rsidRDefault="000E38DC" w:rsidP="006E1850">
            <w:pPr>
              <w:jc w:val="center"/>
              <w:rPr>
                <w:rFonts w:cs="Times New Roman"/>
                <w:sz w:val="22"/>
                <w:lang w:val="en-US"/>
              </w:rPr>
            </w:pPr>
            <w:proofErr w:type="spellStart"/>
            <w:r>
              <w:rPr>
                <w:rFonts w:cs="Times New Roman"/>
                <w:sz w:val="22"/>
                <w:lang w:val="en-US"/>
              </w:rPr>
              <w:t>nepaskelbtas</w:t>
            </w:r>
            <w:proofErr w:type="spellEnd"/>
          </w:p>
        </w:tc>
        <w:tc>
          <w:tcPr>
            <w:tcW w:w="1257" w:type="dxa"/>
            <w:vAlign w:val="center"/>
          </w:tcPr>
          <w:p w14:paraId="3D2BEDBB" w14:textId="15121A38" w:rsidR="006E1850" w:rsidRPr="00300B3C" w:rsidRDefault="00EC5E0B" w:rsidP="006E1850">
            <w:pPr>
              <w:jc w:val="center"/>
              <w:rPr>
                <w:rFonts w:cs="Times New Roman"/>
                <w:sz w:val="22"/>
              </w:rPr>
            </w:pPr>
            <w:r>
              <w:rPr>
                <w:rFonts w:cs="Times New Roman"/>
                <w:sz w:val="22"/>
              </w:rPr>
              <w:t>-</w:t>
            </w:r>
          </w:p>
        </w:tc>
        <w:tc>
          <w:tcPr>
            <w:tcW w:w="1257" w:type="dxa"/>
            <w:vAlign w:val="center"/>
          </w:tcPr>
          <w:p w14:paraId="3D2BEDBC" w14:textId="7284A4F1" w:rsidR="006E1850" w:rsidRPr="00300B3C" w:rsidRDefault="00EC5E0B" w:rsidP="006E1850">
            <w:pPr>
              <w:jc w:val="center"/>
              <w:rPr>
                <w:rFonts w:cs="Times New Roman"/>
                <w:sz w:val="22"/>
              </w:rPr>
            </w:pPr>
            <w:r>
              <w:rPr>
                <w:rFonts w:cs="Times New Roman"/>
                <w:sz w:val="22"/>
              </w:rPr>
              <w:t>-</w:t>
            </w:r>
          </w:p>
        </w:tc>
        <w:tc>
          <w:tcPr>
            <w:tcW w:w="1259" w:type="dxa"/>
            <w:vAlign w:val="center"/>
          </w:tcPr>
          <w:p w14:paraId="3D2BEDBD" w14:textId="65B8A025" w:rsidR="006E1850" w:rsidRPr="00300B3C" w:rsidRDefault="00EC5E0B" w:rsidP="006E1850">
            <w:pPr>
              <w:jc w:val="center"/>
              <w:rPr>
                <w:rFonts w:cs="Times New Roman"/>
                <w:sz w:val="22"/>
              </w:rPr>
            </w:pPr>
            <w:r>
              <w:rPr>
                <w:rFonts w:cs="Times New Roman"/>
                <w:sz w:val="22"/>
              </w:rPr>
              <w:t>-</w:t>
            </w:r>
          </w:p>
        </w:tc>
        <w:tc>
          <w:tcPr>
            <w:tcW w:w="1885" w:type="dxa"/>
            <w:shd w:val="clear" w:color="auto" w:fill="auto"/>
            <w:vAlign w:val="center"/>
          </w:tcPr>
          <w:p w14:paraId="3D2BEDBE" w14:textId="76E4892C" w:rsidR="006E1850" w:rsidRPr="00300B3C" w:rsidRDefault="00EC5E0B" w:rsidP="006E1850">
            <w:pPr>
              <w:jc w:val="center"/>
              <w:rPr>
                <w:rFonts w:cs="Times New Roman"/>
                <w:color w:val="FF0000"/>
                <w:sz w:val="22"/>
              </w:rPr>
            </w:pPr>
            <w:r w:rsidRPr="00EC5E0B">
              <w:rPr>
                <w:rFonts w:cs="Times New Roman"/>
                <w:sz w:val="22"/>
              </w:rPr>
              <w:t>-</w:t>
            </w:r>
          </w:p>
        </w:tc>
      </w:tr>
      <w:tr w:rsidR="006E1850" w:rsidRPr="00300B3C" w14:paraId="3D2BEDC8" w14:textId="77777777" w:rsidTr="00870053">
        <w:trPr>
          <w:jc w:val="center"/>
        </w:trPr>
        <w:tc>
          <w:tcPr>
            <w:tcW w:w="601" w:type="dxa"/>
          </w:tcPr>
          <w:p w14:paraId="3D2BEDC0" w14:textId="77777777" w:rsidR="006E1850" w:rsidRPr="00300B3C" w:rsidRDefault="006E1850" w:rsidP="006E1850">
            <w:pPr>
              <w:rPr>
                <w:rFonts w:cs="Times New Roman"/>
                <w:sz w:val="22"/>
              </w:rPr>
            </w:pPr>
            <w:r w:rsidRPr="00300B3C">
              <w:rPr>
                <w:rFonts w:cs="Times New Roman"/>
                <w:sz w:val="22"/>
              </w:rPr>
              <w:t>6.</w:t>
            </w:r>
          </w:p>
        </w:tc>
        <w:tc>
          <w:tcPr>
            <w:tcW w:w="4945" w:type="dxa"/>
          </w:tcPr>
          <w:p w14:paraId="3D2BEDC1" w14:textId="77777777" w:rsidR="006E1850" w:rsidRPr="00300B3C" w:rsidRDefault="006E1850" w:rsidP="006E1850">
            <w:pPr>
              <w:rPr>
                <w:rFonts w:cs="Times New Roman"/>
                <w:sz w:val="22"/>
              </w:rPr>
            </w:pPr>
            <w:r w:rsidRPr="00300B3C">
              <w:rPr>
                <w:rFonts w:cs="Times New Roman"/>
                <w:sz w:val="22"/>
              </w:rPr>
              <w:t>Ilgalaikio nedarbo lygis</w:t>
            </w:r>
          </w:p>
        </w:tc>
        <w:tc>
          <w:tcPr>
            <w:tcW w:w="1787" w:type="dxa"/>
            <w:vAlign w:val="center"/>
          </w:tcPr>
          <w:p w14:paraId="3D2BEDC2" w14:textId="244FE9D3" w:rsidR="006E1850" w:rsidRPr="00300B3C" w:rsidRDefault="006E1850" w:rsidP="006E1850">
            <w:pPr>
              <w:jc w:val="center"/>
              <w:rPr>
                <w:rFonts w:cs="Times New Roman"/>
                <w:sz w:val="22"/>
              </w:rPr>
            </w:pPr>
            <w:r w:rsidRPr="00300B3C">
              <w:rPr>
                <w:rFonts w:cs="Times New Roman"/>
                <w:sz w:val="22"/>
              </w:rPr>
              <w:t>1,9</w:t>
            </w:r>
          </w:p>
        </w:tc>
        <w:tc>
          <w:tcPr>
            <w:tcW w:w="1787" w:type="dxa"/>
            <w:vAlign w:val="center"/>
          </w:tcPr>
          <w:p w14:paraId="3D2BEDC3" w14:textId="76C8C0F3" w:rsidR="006E1850" w:rsidRPr="00300B3C" w:rsidRDefault="00811FC2" w:rsidP="006E1850">
            <w:pPr>
              <w:jc w:val="center"/>
              <w:rPr>
                <w:rFonts w:cs="Times New Roman"/>
                <w:sz w:val="22"/>
              </w:rPr>
            </w:pPr>
            <w:r>
              <w:rPr>
                <w:rFonts w:cs="Times New Roman"/>
                <w:sz w:val="22"/>
              </w:rPr>
              <w:t>2,0</w:t>
            </w:r>
            <w:r w:rsidR="00880C89">
              <w:rPr>
                <w:rFonts w:cs="Times New Roman"/>
                <w:sz w:val="22"/>
              </w:rPr>
              <w:t xml:space="preserve"> </w:t>
            </w:r>
            <w:r w:rsidR="00880C89" w:rsidRPr="00500250">
              <w:rPr>
                <w:rFonts w:cs="Times New Roman"/>
                <w:b/>
                <w:bCs/>
                <w:color w:val="FF0000"/>
                <w:sz w:val="22"/>
              </w:rPr>
              <w:t>↑</w:t>
            </w:r>
          </w:p>
        </w:tc>
        <w:tc>
          <w:tcPr>
            <w:tcW w:w="1257" w:type="dxa"/>
            <w:vAlign w:val="center"/>
          </w:tcPr>
          <w:p w14:paraId="3D2BEDC4" w14:textId="71F2F794" w:rsidR="006E1850" w:rsidRPr="00300B3C" w:rsidRDefault="001C607E" w:rsidP="006E1850">
            <w:pPr>
              <w:jc w:val="center"/>
              <w:rPr>
                <w:rFonts w:cs="Times New Roman"/>
                <w:sz w:val="22"/>
              </w:rPr>
            </w:pPr>
            <w:r>
              <w:rPr>
                <w:rFonts w:cs="Times New Roman"/>
                <w:sz w:val="22"/>
              </w:rPr>
              <w:t>1,9</w:t>
            </w:r>
          </w:p>
        </w:tc>
        <w:tc>
          <w:tcPr>
            <w:tcW w:w="1257" w:type="dxa"/>
            <w:vAlign w:val="center"/>
          </w:tcPr>
          <w:p w14:paraId="3D2BEDC5" w14:textId="5CB2CAC0" w:rsidR="006E1850" w:rsidRPr="00300B3C" w:rsidRDefault="003E7E34" w:rsidP="006E1850">
            <w:pPr>
              <w:jc w:val="center"/>
              <w:rPr>
                <w:rFonts w:cs="Times New Roman"/>
                <w:sz w:val="22"/>
              </w:rPr>
            </w:pPr>
            <w:r>
              <w:rPr>
                <w:rFonts w:cs="Times New Roman"/>
                <w:sz w:val="22"/>
              </w:rPr>
              <w:t>0,3</w:t>
            </w:r>
          </w:p>
        </w:tc>
        <w:tc>
          <w:tcPr>
            <w:tcW w:w="1259" w:type="dxa"/>
            <w:vAlign w:val="center"/>
          </w:tcPr>
          <w:p w14:paraId="3D2BEDC6" w14:textId="5030FEAB" w:rsidR="006E1850" w:rsidRPr="00300B3C" w:rsidRDefault="00870053" w:rsidP="006E1850">
            <w:pPr>
              <w:jc w:val="center"/>
              <w:rPr>
                <w:rFonts w:cs="Times New Roman"/>
                <w:sz w:val="22"/>
              </w:rPr>
            </w:pPr>
            <w:r>
              <w:rPr>
                <w:rFonts w:cs="Times New Roman"/>
                <w:sz w:val="22"/>
              </w:rPr>
              <w:t>7,7</w:t>
            </w:r>
          </w:p>
        </w:tc>
        <w:tc>
          <w:tcPr>
            <w:tcW w:w="1885" w:type="dxa"/>
            <w:shd w:val="clear" w:color="auto" w:fill="FFFF00"/>
            <w:vAlign w:val="center"/>
          </w:tcPr>
          <w:p w14:paraId="3D2BEDC7" w14:textId="115D3CC1" w:rsidR="006E1850" w:rsidRPr="00300B3C" w:rsidRDefault="00870053" w:rsidP="006E1850">
            <w:pPr>
              <w:jc w:val="center"/>
              <w:rPr>
                <w:rFonts w:cs="Times New Roman"/>
                <w:sz w:val="22"/>
              </w:rPr>
            </w:pPr>
            <w:r>
              <w:rPr>
                <w:rFonts w:cs="Times New Roman"/>
                <w:sz w:val="22"/>
              </w:rPr>
              <w:t>1,05</w:t>
            </w:r>
          </w:p>
        </w:tc>
      </w:tr>
      <w:tr w:rsidR="006E1850" w:rsidRPr="00300B3C" w14:paraId="3D2BEDD1" w14:textId="77777777" w:rsidTr="00E5407B">
        <w:trPr>
          <w:jc w:val="center"/>
        </w:trPr>
        <w:tc>
          <w:tcPr>
            <w:tcW w:w="601" w:type="dxa"/>
          </w:tcPr>
          <w:p w14:paraId="3D2BEDC9" w14:textId="77777777" w:rsidR="006E1850" w:rsidRPr="00300B3C" w:rsidRDefault="006E1850" w:rsidP="006E1850">
            <w:pPr>
              <w:rPr>
                <w:rFonts w:cs="Times New Roman"/>
                <w:sz w:val="22"/>
              </w:rPr>
            </w:pPr>
            <w:r w:rsidRPr="00300B3C">
              <w:rPr>
                <w:rFonts w:cs="Times New Roman"/>
                <w:sz w:val="22"/>
              </w:rPr>
              <w:t>7.</w:t>
            </w:r>
          </w:p>
        </w:tc>
        <w:tc>
          <w:tcPr>
            <w:tcW w:w="4945" w:type="dxa"/>
          </w:tcPr>
          <w:p w14:paraId="3D2BEDCA" w14:textId="77777777" w:rsidR="006E1850" w:rsidRPr="00300B3C" w:rsidRDefault="006E1850" w:rsidP="006E1850">
            <w:pPr>
              <w:rPr>
                <w:rFonts w:cs="Times New Roman"/>
                <w:sz w:val="22"/>
              </w:rPr>
            </w:pPr>
            <w:r w:rsidRPr="00300B3C">
              <w:rPr>
                <w:rFonts w:cs="Times New Roman"/>
                <w:sz w:val="22"/>
              </w:rPr>
              <w:t>Gyventojų skaičiaus pokytis 1000 gyv.</w:t>
            </w:r>
          </w:p>
        </w:tc>
        <w:tc>
          <w:tcPr>
            <w:tcW w:w="1787" w:type="dxa"/>
            <w:vAlign w:val="center"/>
          </w:tcPr>
          <w:p w14:paraId="3D2BEDCB" w14:textId="69A1418F" w:rsidR="006E1850" w:rsidRPr="00300B3C" w:rsidRDefault="006E1850" w:rsidP="006E1850">
            <w:pPr>
              <w:jc w:val="center"/>
              <w:rPr>
                <w:rFonts w:cs="Times New Roman"/>
                <w:sz w:val="22"/>
                <w:lang w:val="en-US"/>
              </w:rPr>
            </w:pPr>
            <w:r w:rsidRPr="00300B3C">
              <w:rPr>
                <w:rFonts w:cs="Times New Roman"/>
                <w:sz w:val="22"/>
                <w:lang w:val="en-US"/>
              </w:rPr>
              <w:t>-4,3</w:t>
            </w:r>
          </w:p>
        </w:tc>
        <w:tc>
          <w:tcPr>
            <w:tcW w:w="1787" w:type="dxa"/>
            <w:vAlign w:val="center"/>
          </w:tcPr>
          <w:p w14:paraId="3D2BEDCC" w14:textId="180109B6" w:rsidR="006E1850" w:rsidRPr="00300B3C" w:rsidRDefault="00F30071" w:rsidP="006E1850">
            <w:pPr>
              <w:jc w:val="center"/>
              <w:rPr>
                <w:rFonts w:cs="Times New Roman"/>
                <w:sz w:val="22"/>
                <w:lang w:val="en-US"/>
              </w:rPr>
            </w:pPr>
            <w:r>
              <w:rPr>
                <w:rFonts w:cs="Times New Roman"/>
                <w:sz w:val="22"/>
                <w:lang w:val="en-US"/>
              </w:rPr>
              <w:t>9,1</w:t>
            </w:r>
            <w:r w:rsidR="00880C89">
              <w:rPr>
                <w:rFonts w:cs="Times New Roman"/>
                <w:sz w:val="22"/>
                <w:lang w:val="en-US"/>
              </w:rPr>
              <w:t xml:space="preserve"> </w:t>
            </w:r>
            <w:r w:rsidR="00880C89" w:rsidRPr="008002E0">
              <w:rPr>
                <w:rFonts w:cs="Times New Roman"/>
                <w:b/>
                <w:bCs/>
                <w:color w:val="00B050"/>
                <w:sz w:val="22"/>
              </w:rPr>
              <w:t>↑</w:t>
            </w:r>
          </w:p>
        </w:tc>
        <w:tc>
          <w:tcPr>
            <w:tcW w:w="1257" w:type="dxa"/>
            <w:vAlign w:val="center"/>
          </w:tcPr>
          <w:p w14:paraId="3D2BEDCD" w14:textId="7F423E2D" w:rsidR="006E1850" w:rsidRPr="00300B3C" w:rsidRDefault="00F30071" w:rsidP="006E1850">
            <w:pPr>
              <w:jc w:val="center"/>
              <w:rPr>
                <w:rFonts w:cs="Times New Roman"/>
                <w:sz w:val="22"/>
              </w:rPr>
            </w:pPr>
            <w:r>
              <w:rPr>
                <w:rFonts w:cs="Times New Roman"/>
                <w:sz w:val="22"/>
              </w:rPr>
              <w:t>0,0</w:t>
            </w:r>
          </w:p>
        </w:tc>
        <w:tc>
          <w:tcPr>
            <w:tcW w:w="1257" w:type="dxa"/>
            <w:vAlign w:val="center"/>
          </w:tcPr>
          <w:p w14:paraId="3D2BEDCE" w14:textId="4C02930E" w:rsidR="006E1850" w:rsidRPr="00300B3C" w:rsidRDefault="00171BBC" w:rsidP="006E1850">
            <w:pPr>
              <w:jc w:val="center"/>
              <w:rPr>
                <w:rFonts w:cs="Times New Roman"/>
                <w:sz w:val="22"/>
              </w:rPr>
            </w:pPr>
            <w:r>
              <w:rPr>
                <w:rFonts w:cs="Times New Roman"/>
                <w:sz w:val="22"/>
              </w:rPr>
              <w:t>-35,1</w:t>
            </w:r>
          </w:p>
        </w:tc>
        <w:tc>
          <w:tcPr>
            <w:tcW w:w="1259" w:type="dxa"/>
            <w:vAlign w:val="center"/>
          </w:tcPr>
          <w:p w14:paraId="3D2BEDCF" w14:textId="64682E21" w:rsidR="006E1850" w:rsidRPr="00300B3C" w:rsidRDefault="00171BBC" w:rsidP="006E1850">
            <w:pPr>
              <w:jc w:val="center"/>
              <w:rPr>
                <w:rFonts w:cs="Times New Roman"/>
                <w:sz w:val="22"/>
              </w:rPr>
            </w:pPr>
            <w:r>
              <w:rPr>
                <w:rFonts w:cs="Times New Roman"/>
                <w:sz w:val="22"/>
              </w:rPr>
              <w:t>43,3</w:t>
            </w:r>
          </w:p>
        </w:tc>
        <w:tc>
          <w:tcPr>
            <w:tcW w:w="1885" w:type="dxa"/>
            <w:shd w:val="clear" w:color="auto" w:fill="00B050"/>
            <w:vAlign w:val="center"/>
          </w:tcPr>
          <w:p w14:paraId="3D2BEDD0" w14:textId="74D4F08F" w:rsidR="006E1850" w:rsidRPr="00300B3C" w:rsidRDefault="00F30071" w:rsidP="006E1850">
            <w:pPr>
              <w:jc w:val="center"/>
              <w:rPr>
                <w:rFonts w:cs="Times New Roman"/>
                <w:sz w:val="22"/>
              </w:rPr>
            </w:pPr>
            <w:r>
              <w:rPr>
                <w:rFonts w:cs="Times New Roman"/>
                <w:sz w:val="22"/>
              </w:rPr>
              <w:t>9,10</w:t>
            </w:r>
          </w:p>
        </w:tc>
      </w:tr>
      <w:tr w:rsidR="006E1850" w:rsidRPr="00300B3C" w14:paraId="3D2BEDD3" w14:textId="77777777" w:rsidTr="00431208">
        <w:trPr>
          <w:jc w:val="center"/>
        </w:trPr>
        <w:tc>
          <w:tcPr>
            <w:tcW w:w="14778" w:type="dxa"/>
            <w:gridSpan w:val="8"/>
            <w:shd w:val="clear" w:color="auto" w:fill="D6E3BC" w:themeFill="accent3" w:themeFillTint="66"/>
          </w:tcPr>
          <w:p w14:paraId="3D2BEDD2" w14:textId="77777777" w:rsidR="006E1850" w:rsidRPr="00300B3C" w:rsidRDefault="006E1850" w:rsidP="006E1850">
            <w:pPr>
              <w:jc w:val="center"/>
              <w:rPr>
                <w:rFonts w:cs="Times New Roman"/>
                <w:sz w:val="22"/>
              </w:rPr>
            </w:pPr>
            <w:r w:rsidRPr="00300B3C">
              <w:rPr>
                <w:rFonts w:cs="Times New Roman"/>
                <w:sz w:val="22"/>
              </w:rPr>
              <w:t>1.2 Sumažinti socialinę ir ekonominę gyventojų diferenciaciją šalies ir bendruomenių lygmeniu</w:t>
            </w:r>
          </w:p>
        </w:tc>
      </w:tr>
      <w:tr w:rsidR="006E1850" w:rsidRPr="00300B3C" w14:paraId="3D2BEDDC" w14:textId="77777777" w:rsidTr="00EC5E0B">
        <w:trPr>
          <w:trHeight w:val="70"/>
          <w:jc w:val="center"/>
        </w:trPr>
        <w:tc>
          <w:tcPr>
            <w:tcW w:w="601" w:type="dxa"/>
          </w:tcPr>
          <w:p w14:paraId="3D2BEDD4" w14:textId="77777777" w:rsidR="006E1850" w:rsidRPr="00300B3C" w:rsidRDefault="006E1850" w:rsidP="006E1850">
            <w:pPr>
              <w:rPr>
                <w:rFonts w:cs="Times New Roman"/>
                <w:sz w:val="22"/>
              </w:rPr>
            </w:pPr>
            <w:r w:rsidRPr="00300B3C">
              <w:rPr>
                <w:rFonts w:cs="Times New Roman"/>
                <w:sz w:val="22"/>
              </w:rPr>
              <w:t>8.</w:t>
            </w:r>
          </w:p>
        </w:tc>
        <w:tc>
          <w:tcPr>
            <w:tcW w:w="4945" w:type="dxa"/>
          </w:tcPr>
          <w:p w14:paraId="3D2BEDD5" w14:textId="77777777" w:rsidR="006E1850" w:rsidRPr="00300B3C" w:rsidRDefault="006E1850" w:rsidP="006E1850">
            <w:pPr>
              <w:rPr>
                <w:rFonts w:cs="Times New Roman"/>
                <w:sz w:val="22"/>
              </w:rPr>
            </w:pPr>
            <w:r>
              <w:rPr>
                <w:rFonts w:cs="Times New Roman"/>
                <w:sz w:val="22"/>
              </w:rPr>
              <w:t>Mirtingumas dėl išorinių</w:t>
            </w:r>
            <w:r w:rsidRPr="00300B3C">
              <w:rPr>
                <w:rFonts w:cs="Times New Roman"/>
                <w:sz w:val="22"/>
              </w:rPr>
              <w:t xml:space="preserve"> priežasčių (V01-Y98) 100 000 gyv.</w:t>
            </w:r>
          </w:p>
        </w:tc>
        <w:tc>
          <w:tcPr>
            <w:tcW w:w="1787" w:type="dxa"/>
            <w:vAlign w:val="center"/>
          </w:tcPr>
          <w:p w14:paraId="3D2BEDD6" w14:textId="0D7C64FD" w:rsidR="006E1850" w:rsidRPr="00300B3C" w:rsidRDefault="006E1850" w:rsidP="006E1850">
            <w:pPr>
              <w:jc w:val="center"/>
              <w:rPr>
                <w:rFonts w:cs="Times New Roman"/>
                <w:sz w:val="22"/>
              </w:rPr>
            </w:pPr>
            <w:r w:rsidRPr="00300B3C">
              <w:rPr>
                <w:rFonts w:cs="Times New Roman"/>
                <w:sz w:val="22"/>
              </w:rPr>
              <w:t>76,2</w:t>
            </w:r>
          </w:p>
        </w:tc>
        <w:tc>
          <w:tcPr>
            <w:tcW w:w="1787" w:type="dxa"/>
            <w:vAlign w:val="center"/>
          </w:tcPr>
          <w:p w14:paraId="3D2BEDD7" w14:textId="34E5C5E6" w:rsidR="006E1850" w:rsidRPr="00300B3C" w:rsidRDefault="0002400C" w:rsidP="006E1850">
            <w:pPr>
              <w:jc w:val="center"/>
              <w:rPr>
                <w:rFonts w:cs="Times New Roman"/>
                <w:sz w:val="22"/>
              </w:rPr>
            </w:pPr>
            <w:r>
              <w:rPr>
                <w:rFonts w:cs="Times New Roman"/>
                <w:sz w:val="22"/>
              </w:rPr>
              <w:t>75,3</w:t>
            </w:r>
            <w:r w:rsidR="00880C89">
              <w:rPr>
                <w:rFonts w:cs="Times New Roman"/>
                <w:sz w:val="22"/>
              </w:rPr>
              <w:t xml:space="preserve"> </w:t>
            </w:r>
            <w:r w:rsidR="00880C89" w:rsidRPr="00880C89">
              <w:rPr>
                <w:rFonts w:cs="Times New Roman"/>
                <w:b/>
                <w:bCs/>
                <w:color w:val="00B050"/>
                <w:sz w:val="22"/>
              </w:rPr>
              <w:t>↓</w:t>
            </w:r>
          </w:p>
        </w:tc>
        <w:tc>
          <w:tcPr>
            <w:tcW w:w="1257" w:type="dxa"/>
            <w:vAlign w:val="center"/>
          </w:tcPr>
          <w:p w14:paraId="3D2BEDD8" w14:textId="1C6A269F" w:rsidR="006E1850" w:rsidRPr="00300B3C" w:rsidRDefault="0002400C" w:rsidP="006E1850">
            <w:pPr>
              <w:jc w:val="center"/>
              <w:rPr>
                <w:rFonts w:cs="Times New Roman"/>
                <w:sz w:val="22"/>
              </w:rPr>
            </w:pPr>
            <w:r>
              <w:rPr>
                <w:rFonts w:cs="Times New Roman"/>
                <w:sz w:val="22"/>
              </w:rPr>
              <w:t>85,7</w:t>
            </w:r>
          </w:p>
        </w:tc>
        <w:tc>
          <w:tcPr>
            <w:tcW w:w="1257" w:type="dxa"/>
            <w:vAlign w:val="center"/>
          </w:tcPr>
          <w:p w14:paraId="3D2BEDD9" w14:textId="2B3C1FA5" w:rsidR="006E1850" w:rsidRPr="00300B3C" w:rsidRDefault="002D3314" w:rsidP="006E1850">
            <w:pPr>
              <w:jc w:val="center"/>
              <w:rPr>
                <w:rFonts w:cs="Times New Roman"/>
                <w:sz w:val="22"/>
              </w:rPr>
            </w:pPr>
            <w:r>
              <w:rPr>
                <w:rFonts w:cs="Times New Roman"/>
                <w:sz w:val="22"/>
              </w:rPr>
              <w:t>32,8</w:t>
            </w:r>
          </w:p>
        </w:tc>
        <w:tc>
          <w:tcPr>
            <w:tcW w:w="1259" w:type="dxa"/>
            <w:vAlign w:val="center"/>
          </w:tcPr>
          <w:p w14:paraId="3D2BEDDA" w14:textId="6C386C49" w:rsidR="006E1850" w:rsidRPr="00300B3C" w:rsidRDefault="002D3314" w:rsidP="006E1850">
            <w:pPr>
              <w:jc w:val="center"/>
              <w:rPr>
                <w:rFonts w:cs="Times New Roman"/>
                <w:sz w:val="22"/>
              </w:rPr>
            </w:pPr>
            <w:r>
              <w:rPr>
                <w:rFonts w:cs="Times New Roman"/>
                <w:sz w:val="22"/>
              </w:rPr>
              <w:t>192,5</w:t>
            </w:r>
          </w:p>
        </w:tc>
        <w:tc>
          <w:tcPr>
            <w:tcW w:w="1885" w:type="dxa"/>
            <w:shd w:val="clear" w:color="auto" w:fill="00B050"/>
            <w:vAlign w:val="center"/>
          </w:tcPr>
          <w:p w14:paraId="3D2BEDDB" w14:textId="79DDC9C6" w:rsidR="006E1850" w:rsidRPr="00300B3C" w:rsidRDefault="002D3314" w:rsidP="006E1850">
            <w:pPr>
              <w:jc w:val="center"/>
              <w:rPr>
                <w:rFonts w:cs="Times New Roman"/>
                <w:sz w:val="22"/>
              </w:rPr>
            </w:pPr>
            <w:r>
              <w:rPr>
                <w:rFonts w:cs="Times New Roman"/>
                <w:sz w:val="22"/>
              </w:rPr>
              <w:t>0,88</w:t>
            </w:r>
          </w:p>
        </w:tc>
      </w:tr>
      <w:tr w:rsidR="006E1850" w:rsidRPr="00300B3C" w14:paraId="3D2BEDE5" w14:textId="77777777" w:rsidTr="00EC5E0B">
        <w:trPr>
          <w:trHeight w:val="70"/>
          <w:jc w:val="center"/>
        </w:trPr>
        <w:tc>
          <w:tcPr>
            <w:tcW w:w="601" w:type="dxa"/>
          </w:tcPr>
          <w:p w14:paraId="3D2BEDDD" w14:textId="77777777" w:rsidR="006E1850" w:rsidRPr="00300B3C" w:rsidRDefault="006E1850" w:rsidP="006E1850">
            <w:pPr>
              <w:rPr>
                <w:rFonts w:cs="Times New Roman"/>
                <w:sz w:val="22"/>
              </w:rPr>
            </w:pPr>
            <w:r w:rsidRPr="00300B3C">
              <w:rPr>
                <w:rFonts w:cs="Times New Roman"/>
                <w:sz w:val="22"/>
              </w:rPr>
              <w:t>8.1</w:t>
            </w:r>
          </w:p>
        </w:tc>
        <w:tc>
          <w:tcPr>
            <w:tcW w:w="4945" w:type="dxa"/>
          </w:tcPr>
          <w:p w14:paraId="3D2BEDDE" w14:textId="648C76D2" w:rsidR="006E1850" w:rsidRPr="00300B3C" w:rsidRDefault="006E1850" w:rsidP="006E1850">
            <w:pPr>
              <w:rPr>
                <w:rFonts w:cs="Times New Roman"/>
                <w:sz w:val="22"/>
              </w:rPr>
            </w:pPr>
            <w:r w:rsidRPr="00300B3C">
              <w:rPr>
                <w:rFonts w:cs="Times New Roman"/>
                <w:sz w:val="22"/>
              </w:rPr>
              <w:t xml:space="preserve">Standartizuotas mirtingumo </w:t>
            </w:r>
            <w:r>
              <w:rPr>
                <w:rFonts w:cs="Times New Roman"/>
                <w:sz w:val="22"/>
              </w:rPr>
              <w:t>dėl išorinių</w:t>
            </w:r>
            <w:r w:rsidRPr="00300B3C">
              <w:rPr>
                <w:rFonts w:cs="Times New Roman"/>
                <w:sz w:val="22"/>
              </w:rPr>
              <w:t xml:space="preserve"> priežasčių</w:t>
            </w:r>
            <w:r w:rsidR="004F72ED">
              <w:rPr>
                <w:rFonts w:cs="Times New Roman"/>
                <w:sz w:val="22"/>
              </w:rPr>
              <w:t xml:space="preserve"> </w:t>
            </w:r>
            <w:r w:rsidRPr="00300B3C">
              <w:rPr>
                <w:rFonts w:cs="Times New Roman"/>
                <w:sz w:val="22"/>
              </w:rPr>
              <w:t>(V00-Y89)</w:t>
            </w:r>
            <w:r w:rsidR="004F72ED">
              <w:rPr>
                <w:rFonts w:cs="Times New Roman"/>
                <w:sz w:val="22"/>
              </w:rPr>
              <w:t xml:space="preserve"> rodiklis</w:t>
            </w:r>
            <w:r w:rsidRPr="00300B3C">
              <w:rPr>
                <w:rFonts w:cs="Times New Roman"/>
                <w:sz w:val="22"/>
              </w:rPr>
              <w:t xml:space="preserve"> 100 000 gyv.</w:t>
            </w:r>
          </w:p>
        </w:tc>
        <w:tc>
          <w:tcPr>
            <w:tcW w:w="1787" w:type="dxa"/>
            <w:vAlign w:val="center"/>
          </w:tcPr>
          <w:p w14:paraId="3D2BEDDF" w14:textId="07A47C24" w:rsidR="006E1850" w:rsidRPr="00300B3C" w:rsidRDefault="006E1850" w:rsidP="006E1850">
            <w:pPr>
              <w:jc w:val="center"/>
              <w:rPr>
                <w:rFonts w:cs="Times New Roman"/>
                <w:sz w:val="22"/>
              </w:rPr>
            </w:pPr>
            <w:r w:rsidRPr="00300B3C">
              <w:rPr>
                <w:rFonts w:cs="Times New Roman"/>
                <w:sz w:val="22"/>
              </w:rPr>
              <w:t>74,2</w:t>
            </w:r>
          </w:p>
        </w:tc>
        <w:tc>
          <w:tcPr>
            <w:tcW w:w="1787" w:type="dxa"/>
            <w:vAlign w:val="center"/>
          </w:tcPr>
          <w:p w14:paraId="3D2BEDE0" w14:textId="2398F77E" w:rsidR="006E1850" w:rsidRPr="00300B3C" w:rsidRDefault="00877F0F" w:rsidP="006E1850">
            <w:pPr>
              <w:jc w:val="center"/>
              <w:rPr>
                <w:rFonts w:cs="Times New Roman"/>
                <w:sz w:val="22"/>
              </w:rPr>
            </w:pPr>
            <w:r>
              <w:rPr>
                <w:rFonts w:cs="Times New Roman"/>
                <w:sz w:val="22"/>
              </w:rPr>
              <w:t>73,3</w:t>
            </w:r>
            <w:r w:rsidR="00880C89">
              <w:rPr>
                <w:rFonts w:cs="Times New Roman"/>
                <w:sz w:val="22"/>
              </w:rPr>
              <w:t xml:space="preserve"> </w:t>
            </w:r>
            <w:r w:rsidR="00880C89" w:rsidRPr="00880C89">
              <w:rPr>
                <w:rFonts w:cs="Times New Roman"/>
                <w:b/>
                <w:bCs/>
                <w:color w:val="00B050"/>
                <w:sz w:val="22"/>
              </w:rPr>
              <w:t>↓</w:t>
            </w:r>
          </w:p>
        </w:tc>
        <w:tc>
          <w:tcPr>
            <w:tcW w:w="1257" w:type="dxa"/>
            <w:vAlign w:val="center"/>
          </w:tcPr>
          <w:p w14:paraId="3D2BEDE1" w14:textId="7C0A5270" w:rsidR="006E1850" w:rsidRPr="00300B3C" w:rsidRDefault="00877F0F" w:rsidP="006E1850">
            <w:pPr>
              <w:jc w:val="center"/>
              <w:rPr>
                <w:rFonts w:cs="Times New Roman"/>
                <w:sz w:val="22"/>
              </w:rPr>
            </w:pPr>
            <w:r>
              <w:rPr>
                <w:rFonts w:cs="Times New Roman"/>
                <w:sz w:val="22"/>
              </w:rPr>
              <w:t>83,6</w:t>
            </w:r>
          </w:p>
        </w:tc>
        <w:tc>
          <w:tcPr>
            <w:tcW w:w="1257" w:type="dxa"/>
            <w:vAlign w:val="center"/>
          </w:tcPr>
          <w:p w14:paraId="3D2BEDE2" w14:textId="29492987" w:rsidR="006E1850" w:rsidRPr="00300B3C" w:rsidRDefault="00E944C7" w:rsidP="006E1850">
            <w:pPr>
              <w:jc w:val="center"/>
              <w:rPr>
                <w:rFonts w:cs="Times New Roman"/>
                <w:sz w:val="22"/>
              </w:rPr>
            </w:pPr>
            <w:r>
              <w:rPr>
                <w:rFonts w:cs="Times New Roman"/>
                <w:sz w:val="22"/>
              </w:rPr>
              <w:t>20,9</w:t>
            </w:r>
          </w:p>
        </w:tc>
        <w:tc>
          <w:tcPr>
            <w:tcW w:w="1259" w:type="dxa"/>
            <w:vAlign w:val="center"/>
          </w:tcPr>
          <w:p w14:paraId="3D2BEDE3" w14:textId="442FC841" w:rsidR="006E1850" w:rsidRPr="00300B3C" w:rsidRDefault="00E944C7" w:rsidP="006E1850">
            <w:pPr>
              <w:jc w:val="center"/>
              <w:rPr>
                <w:rFonts w:cs="Times New Roman"/>
                <w:sz w:val="22"/>
              </w:rPr>
            </w:pPr>
            <w:r>
              <w:rPr>
                <w:rFonts w:cs="Times New Roman"/>
                <w:sz w:val="22"/>
              </w:rPr>
              <w:t>215,7</w:t>
            </w:r>
          </w:p>
        </w:tc>
        <w:tc>
          <w:tcPr>
            <w:tcW w:w="1885" w:type="dxa"/>
            <w:shd w:val="clear" w:color="auto" w:fill="00B050"/>
            <w:vAlign w:val="center"/>
          </w:tcPr>
          <w:p w14:paraId="3D2BEDE4" w14:textId="0EBA1CB8" w:rsidR="006E1850" w:rsidRPr="00300B3C" w:rsidRDefault="00F74EE8" w:rsidP="006E1850">
            <w:pPr>
              <w:jc w:val="center"/>
              <w:rPr>
                <w:rFonts w:cs="Times New Roman"/>
                <w:sz w:val="22"/>
              </w:rPr>
            </w:pPr>
            <w:r>
              <w:rPr>
                <w:rFonts w:cs="Times New Roman"/>
                <w:sz w:val="22"/>
              </w:rPr>
              <w:t>0,88</w:t>
            </w:r>
          </w:p>
        </w:tc>
      </w:tr>
      <w:tr w:rsidR="006E1850" w:rsidRPr="00300B3C" w14:paraId="3D2BEDEE" w14:textId="77777777" w:rsidTr="00EC5E0B">
        <w:trPr>
          <w:trHeight w:val="70"/>
          <w:jc w:val="center"/>
        </w:trPr>
        <w:tc>
          <w:tcPr>
            <w:tcW w:w="601" w:type="dxa"/>
          </w:tcPr>
          <w:p w14:paraId="3D2BEDE6" w14:textId="77777777" w:rsidR="006E1850" w:rsidRPr="00300B3C" w:rsidRDefault="006E1850" w:rsidP="006E1850">
            <w:pPr>
              <w:rPr>
                <w:rFonts w:cs="Times New Roman"/>
                <w:sz w:val="22"/>
              </w:rPr>
            </w:pPr>
            <w:r w:rsidRPr="00300B3C">
              <w:rPr>
                <w:rFonts w:cs="Times New Roman"/>
                <w:sz w:val="22"/>
              </w:rPr>
              <w:t>9.</w:t>
            </w:r>
          </w:p>
        </w:tc>
        <w:tc>
          <w:tcPr>
            <w:tcW w:w="4945" w:type="dxa"/>
          </w:tcPr>
          <w:p w14:paraId="3D2BEDE7" w14:textId="77777777" w:rsidR="006E1850" w:rsidRPr="00300B3C" w:rsidRDefault="006E1850" w:rsidP="006E1850">
            <w:pPr>
              <w:rPr>
                <w:rFonts w:cs="Times New Roman"/>
                <w:sz w:val="22"/>
              </w:rPr>
            </w:pPr>
            <w:r w:rsidRPr="00300B3C">
              <w:rPr>
                <w:rFonts w:cs="Times New Roman"/>
                <w:sz w:val="22"/>
              </w:rPr>
              <w:t>Mokinių, gaunančių nemokamą maitinimą mokyklose, skaičius 1000 vaikų</w:t>
            </w:r>
          </w:p>
        </w:tc>
        <w:tc>
          <w:tcPr>
            <w:tcW w:w="1787" w:type="dxa"/>
            <w:vAlign w:val="center"/>
          </w:tcPr>
          <w:p w14:paraId="3D2BEDE8" w14:textId="15381EC7" w:rsidR="006E1850" w:rsidRPr="00300B3C" w:rsidRDefault="006E1850" w:rsidP="006E1850">
            <w:pPr>
              <w:jc w:val="center"/>
              <w:rPr>
                <w:rFonts w:cs="Times New Roman"/>
                <w:sz w:val="22"/>
              </w:rPr>
            </w:pPr>
            <w:r w:rsidRPr="00300B3C">
              <w:rPr>
                <w:rFonts w:cs="Times New Roman"/>
                <w:sz w:val="22"/>
              </w:rPr>
              <w:t>83,9</w:t>
            </w:r>
          </w:p>
        </w:tc>
        <w:tc>
          <w:tcPr>
            <w:tcW w:w="1787" w:type="dxa"/>
            <w:vAlign w:val="center"/>
          </w:tcPr>
          <w:p w14:paraId="3D2BEDE9" w14:textId="106628A5" w:rsidR="006E1850" w:rsidRPr="00300B3C" w:rsidRDefault="00206AC1" w:rsidP="006E1850">
            <w:pPr>
              <w:jc w:val="center"/>
              <w:rPr>
                <w:rFonts w:cs="Times New Roman"/>
                <w:sz w:val="22"/>
              </w:rPr>
            </w:pPr>
            <w:r>
              <w:rPr>
                <w:rFonts w:cs="Times New Roman"/>
                <w:sz w:val="22"/>
              </w:rPr>
              <w:t>84,0</w:t>
            </w:r>
            <w:r w:rsidR="00880C89">
              <w:rPr>
                <w:rFonts w:cs="Times New Roman"/>
                <w:sz w:val="22"/>
              </w:rPr>
              <w:t xml:space="preserve"> </w:t>
            </w:r>
            <w:r w:rsidR="00842716" w:rsidRPr="00500250">
              <w:rPr>
                <w:rFonts w:cs="Times New Roman"/>
                <w:b/>
                <w:bCs/>
                <w:color w:val="FF0000"/>
                <w:sz w:val="22"/>
              </w:rPr>
              <w:t>↑</w:t>
            </w:r>
          </w:p>
        </w:tc>
        <w:tc>
          <w:tcPr>
            <w:tcW w:w="1257" w:type="dxa"/>
            <w:vAlign w:val="center"/>
          </w:tcPr>
          <w:p w14:paraId="3D2BEDEA" w14:textId="3501828A" w:rsidR="006E1850" w:rsidRPr="00300B3C" w:rsidRDefault="00B82B73" w:rsidP="006E1850">
            <w:pPr>
              <w:jc w:val="center"/>
              <w:rPr>
                <w:rFonts w:cs="Times New Roman"/>
                <w:sz w:val="22"/>
              </w:rPr>
            </w:pPr>
            <w:r>
              <w:rPr>
                <w:rFonts w:cs="Times New Roman"/>
                <w:sz w:val="22"/>
              </w:rPr>
              <w:t>146,6</w:t>
            </w:r>
          </w:p>
        </w:tc>
        <w:tc>
          <w:tcPr>
            <w:tcW w:w="1257" w:type="dxa"/>
            <w:vAlign w:val="center"/>
          </w:tcPr>
          <w:p w14:paraId="3D2BEDEB" w14:textId="1EA02836" w:rsidR="006E1850" w:rsidRPr="00300B3C" w:rsidRDefault="00B82B73" w:rsidP="006E1850">
            <w:pPr>
              <w:jc w:val="center"/>
              <w:rPr>
                <w:rFonts w:cs="Times New Roman"/>
                <w:sz w:val="22"/>
              </w:rPr>
            </w:pPr>
            <w:r>
              <w:rPr>
                <w:rFonts w:cs="Times New Roman"/>
                <w:sz w:val="22"/>
              </w:rPr>
              <w:t>53,4</w:t>
            </w:r>
          </w:p>
        </w:tc>
        <w:tc>
          <w:tcPr>
            <w:tcW w:w="1259" w:type="dxa"/>
            <w:vAlign w:val="center"/>
          </w:tcPr>
          <w:p w14:paraId="3D2BEDEC" w14:textId="1F4DA992" w:rsidR="006E1850" w:rsidRPr="00300B3C" w:rsidRDefault="00B82B73" w:rsidP="006E1850">
            <w:pPr>
              <w:jc w:val="center"/>
              <w:rPr>
                <w:rFonts w:cs="Times New Roman"/>
                <w:sz w:val="22"/>
              </w:rPr>
            </w:pPr>
            <w:r>
              <w:rPr>
                <w:rFonts w:cs="Times New Roman"/>
                <w:sz w:val="22"/>
              </w:rPr>
              <w:t>350,4</w:t>
            </w:r>
          </w:p>
        </w:tc>
        <w:tc>
          <w:tcPr>
            <w:tcW w:w="1885" w:type="dxa"/>
            <w:shd w:val="clear" w:color="auto" w:fill="00B050"/>
            <w:vAlign w:val="center"/>
          </w:tcPr>
          <w:p w14:paraId="3D2BEDED" w14:textId="22A579C3" w:rsidR="006E1850" w:rsidRPr="00300B3C" w:rsidRDefault="00B82B73" w:rsidP="006E1850">
            <w:pPr>
              <w:jc w:val="center"/>
              <w:rPr>
                <w:rFonts w:cs="Times New Roman"/>
                <w:sz w:val="22"/>
              </w:rPr>
            </w:pPr>
            <w:r>
              <w:rPr>
                <w:rFonts w:cs="Times New Roman"/>
                <w:sz w:val="22"/>
              </w:rPr>
              <w:t>0,57</w:t>
            </w:r>
          </w:p>
        </w:tc>
      </w:tr>
      <w:tr w:rsidR="006E1850" w:rsidRPr="00300B3C" w14:paraId="3D2BEDF7" w14:textId="77777777" w:rsidTr="00E5407B">
        <w:trPr>
          <w:jc w:val="center"/>
        </w:trPr>
        <w:tc>
          <w:tcPr>
            <w:tcW w:w="601" w:type="dxa"/>
          </w:tcPr>
          <w:p w14:paraId="3D2BEDEF" w14:textId="77777777" w:rsidR="006E1850" w:rsidRPr="00300B3C" w:rsidRDefault="006E1850" w:rsidP="006E1850">
            <w:pPr>
              <w:rPr>
                <w:rFonts w:cs="Times New Roman"/>
                <w:sz w:val="22"/>
              </w:rPr>
            </w:pPr>
            <w:r w:rsidRPr="00300B3C">
              <w:rPr>
                <w:rFonts w:cs="Times New Roman"/>
                <w:sz w:val="22"/>
              </w:rPr>
              <w:t>10.</w:t>
            </w:r>
          </w:p>
        </w:tc>
        <w:tc>
          <w:tcPr>
            <w:tcW w:w="4945" w:type="dxa"/>
          </w:tcPr>
          <w:p w14:paraId="3D2BEDF0" w14:textId="77777777" w:rsidR="006E1850" w:rsidRPr="00300B3C" w:rsidRDefault="006E1850" w:rsidP="006E1850">
            <w:pPr>
              <w:rPr>
                <w:rFonts w:cs="Times New Roman"/>
                <w:sz w:val="22"/>
              </w:rPr>
            </w:pPr>
            <w:r w:rsidRPr="00300B3C">
              <w:rPr>
                <w:rFonts w:cs="Times New Roman"/>
                <w:sz w:val="22"/>
              </w:rPr>
              <w:t>Socialinės pašalpos gavėjų skaičius 1000 gyv.</w:t>
            </w:r>
          </w:p>
        </w:tc>
        <w:tc>
          <w:tcPr>
            <w:tcW w:w="1787" w:type="dxa"/>
            <w:vAlign w:val="center"/>
          </w:tcPr>
          <w:p w14:paraId="3D2BEDF1" w14:textId="4250F915" w:rsidR="006E1850" w:rsidRPr="00300B3C" w:rsidRDefault="006E1850" w:rsidP="006E1850">
            <w:pPr>
              <w:jc w:val="center"/>
              <w:rPr>
                <w:rFonts w:cs="Times New Roman"/>
                <w:sz w:val="22"/>
              </w:rPr>
            </w:pPr>
            <w:r w:rsidRPr="00300B3C">
              <w:rPr>
                <w:rFonts w:cs="Times New Roman"/>
                <w:sz w:val="22"/>
              </w:rPr>
              <w:t>18,9</w:t>
            </w:r>
          </w:p>
        </w:tc>
        <w:tc>
          <w:tcPr>
            <w:tcW w:w="1787" w:type="dxa"/>
            <w:vAlign w:val="center"/>
          </w:tcPr>
          <w:p w14:paraId="3D2BEDF2" w14:textId="0384BA3C" w:rsidR="006E1850" w:rsidRPr="00300B3C" w:rsidRDefault="00AC63E1" w:rsidP="006E1850">
            <w:pPr>
              <w:jc w:val="center"/>
              <w:rPr>
                <w:rFonts w:cs="Times New Roman"/>
                <w:sz w:val="22"/>
              </w:rPr>
            </w:pPr>
            <w:r>
              <w:rPr>
                <w:rFonts w:cs="Times New Roman"/>
                <w:sz w:val="22"/>
              </w:rPr>
              <w:t>16,8</w:t>
            </w:r>
            <w:r w:rsidR="00842716">
              <w:rPr>
                <w:rFonts w:cs="Times New Roman"/>
                <w:sz w:val="22"/>
              </w:rPr>
              <w:t xml:space="preserve"> </w:t>
            </w:r>
            <w:r w:rsidR="00842716" w:rsidRPr="00880C89">
              <w:rPr>
                <w:rFonts w:cs="Times New Roman"/>
                <w:b/>
                <w:bCs/>
                <w:color w:val="00B050"/>
                <w:sz w:val="22"/>
              </w:rPr>
              <w:t>↓</w:t>
            </w:r>
          </w:p>
        </w:tc>
        <w:tc>
          <w:tcPr>
            <w:tcW w:w="1257" w:type="dxa"/>
            <w:vAlign w:val="center"/>
          </w:tcPr>
          <w:p w14:paraId="3D2BEDF3" w14:textId="16E7D33C" w:rsidR="006E1850" w:rsidRPr="00300B3C" w:rsidRDefault="00AC63E1" w:rsidP="006E1850">
            <w:pPr>
              <w:jc w:val="center"/>
              <w:rPr>
                <w:rFonts w:cs="Times New Roman"/>
                <w:sz w:val="22"/>
              </w:rPr>
            </w:pPr>
            <w:r>
              <w:rPr>
                <w:rFonts w:cs="Times New Roman"/>
                <w:sz w:val="22"/>
              </w:rPr>
              <w:t>23,1</w:t>
            </w:r>
          </w:p>
        </w:tc>
        <w:tc>
          <w:tcPr>
            <w:tcW w:w="1257" w:type="dxa"/>
            <w:vAlign w:val="center"/>
          </w:tcPr>
          <w:p w14:paraId="3D2BEDF4" w14:textId="785B7BF1" w:rsidR="006E1850" w:rsidRPr="00300B3C" w:rsidRDefault="007A0E48" w:rsidP="006E1850">
            <w:pPr>
              <w:jc w:val="center"/>
              <w:rPr>
                <w:rFonts w:cs="Times New Roman"/>
                <w:sz w:val="22"/>
              </w:rPr>
            </w:pPr>
            <w:r>
              <w:rPr>
                <w:rFonts w:cs="Times New Roman"/>
                <w:sz w:val="22"/>
              </w:rPr>
              <w:t>2,5</w:t>
            </w:r>
          </w:p>
        </w:tc>
        <w:tc>
          <w:tcPr>
            <w:tcW w:w="1259" w:type="dxa"/>
            <w:vAlign w:val="center"/>
          </w:tcPr>
          <w:p w14:paraId="3D2BEDF5" w14:textId="38575EA0" w:rsidR="006E1850" w:rsidRPr="00300B3C" w:rsidRDefault="007A0E48" w:rsidP="006E1850">
            <w:pPr>
              <w:jc w:val="center"/>
              <w:rPr>
                <w:rFonts w:cs="Times New Roman"/>
                <w:sz w:val="22"/>
              </w:rPr>
            </w:pPr>
            <w:r>
              <w:rPr>
                <w:rFonts w:cs="Times New Roman"/>
                <w:sz w:val="22"/>
              </w:rPr>
              <w:t>87,2</w:t>
            </w:r>
          </w:p>
        </w:tc>
        <w:tc>
          <w:tcPr>
            <w:tcW w:w="1885" w:type="dxa"/>
            <w:shd w:val="clear" w:color="auto" w:fill="00B050"/>
            <w:vAlign w:val="center"/>
          </w:tcPr>
          <w:p w14:paraId="3D2BEDF6" w14:textId="35F5EC14" w:rsidR="006E1850" w:rsidRPr="00300B3C" w:rsidRDefault="007A0E48" w:rsidP="006E1850">
            <w:pPr>
              <w:jc w:val="center"/>
              <w:rPr>
                <w:rFonts w:cs="Times New Roman"/>
                <w:sz w:val="22"/>
              </w:rPr>
            </w:pPr>
            <w:r>
              <w:rPr>
                <w:rFonts w:cs="Times New Roman"/>
                <w:sz w:val="22"/>
              </w:rPr>
              <w:t>0,73</w:t>
            </w:r>
          </w:p>
        </w:tc>
      </w:tr>
      <w:tr w:rsidR="006E1850" w:rsidRPr="00300B3C" w14:paraId="3D2BEE00" w14:textId="77777777" w:rsidTr="00EC5E0B">
        <w:trPr>
          <w:trHeight w:val="70"/>
          <w:jc w:val="center"/>
        </w:trPr>
        <w:tc>
          <w:tcPr>
            <w:tcW w:w="601" w:type="dxa"/>
          </w:tcPr>
          <w:p w14:paraId="3D2BEDF8" w14:textId="77777777" w:rsidR="006E1850" w:rsidRPr="00300B3C" w:rsidRDefault="006E1850" w:rsidP="006E1850">
            <w:pPr>
              <w:rPr>
                <w:rFonts w:cs="Times New Roman"/>
                <w:sz w:val="22"/>
              </w:rPr>
            </w:pPr>
            <w:r w:rsidRPr="00300B3C">
              <w:rPr>
                <w:rFonts w:cs="Times New Roman"/>
                <w:sz w:val="22"/>
              </w:rPr>
              <w:t>11.</w:t>
            </w:r>
          </w:p>
        </w:tc>
        <w:tc>
          <w:tcPr>
            <w:tcW w:w="4945" w:type="dxa"/>
          </w:tcPr>
          <w:p w14:paraId="3D2BEDF9" w14:textId="77777777" w:rsidR="006E1850" w:rsidRPr="00300B3C" w:rsidRDefault="006E1850" w:rsidP="006E1850">
            <w:pPr>
              <w:rPr>
                <w:rFonts w:cs="Times New Roman"/>
                <w:sz w:val="22"/>
              </w:rPr>
            </w:pPr>
            <w:r w:rsidRPr="00300B3C">
              <w:rPr>
                <w:rFonts w:cs="Times New Roman"/>
                <w:sz w:val="22"/>
              </w:rPr>
              <w:t>Sergamumas tuberkulioze (A15-A19) 100 000 gyv. (</w:t>
            </w:r>
            <w:proofErr w:type="spellStart"/>
            <w:r w:rsidRPr="00300B3C">
              <w:rPr>
                <w:rFonts w:cs="Times New Roman"/>
                <w:sz w:val="22"/>
              </w:rPr>
              <w:t>nauji+recidyvai</w:t>
            </w:r>
            <w:proofErr w:type="spellEnd"/>
            <w:r w:rsidRPr="00300B3C">
              <w:rPr>
                <w:rFonts w:cs="Times New Roman"/>
                <w:sz w:val="22"/>
              </w:rPr>
              <w:t>)</w:t>
            </w:r>
          </w:p>
        </w:tc>
        <w:tc>
          <w:tcPr>
            <w:tcW w:w="1787" w:type="dxa"/>
            <w:vAlign w:val="center"/>
          </w:tcPr>
          <w:p w14:paraId="3D2BEDFA" w14:textId="723659FC" w:rsidR="006E1850" w:rsidRPr="00300B3C" w:rsidRDefault="006E1850" w:rsidP="006E1850">
            <w:pPr>
              <w:jc w:val="center"/>
              <w:rPr>
                <w:rFonts w:cs="Times New Roman"/>
                <w:sz w:val="22"/>
              </w:rPr>
            </w:pPr>
            <w:r w:rsidRPr="00300B3C">
              <w:rPr>
                <w:rFonts w:cs="Times New Roman"/>
                <w:sz w:val="22"/>
              </w:rPr>
              <w:t>29,2</w:t>
            </w:r>
          </w:p>
        </w:tc>
        <w:tc>
          <w:tcPr>
            <w:tcW w:w="1787" w:type="dxa"/>
            <w:vAlign w:val="center"/>
          </w:tcPr>
          <w:p w14:paraId="3D2BEDFB" w14:textId="6FEC77DF" w:rsidR="006E1850" w:rsidRPr="00300B3C" w:rsidRDefault="00AA4A7F" w:rsidP="006E1850">
            <w:pPr>
              <w:jc w:val="center"/>
              <w:rPr>
                <w:rFonts w:cs="Times New Roman"/>
                <w:sz w:val="22"/>
              </w:rPr>
            </w:pPr>
            <w:r>
              <w:rPr>
                <w:rFonts w:cs="Times New Roman"/>
                <w:sz w:val="22"/>
              </w:rPr>
              <w:t>26,7</w:t>
            </w:r>
            <w:r w:rsidR="00842716">
              <w:rPr>
                <w:rFonts w:cs="Times New Roman"/>
                <w:sz w:val="22"/>
              </w:rPr>
              <w:t xml:space="preserve"> </w:t>
            </w:r>
            <w:r w:rsidR="00842716" w:rsidRPr="00880C89">
              <w:rPr>
                <w:rFonts w:cs="Times New Roman"/>
                <w:b/>
                <w:bCs/>
                <w:color w:val="00B050"/>
                <w:sz w:val="22"/>
              </w:rPr>
              <w:t>↓</w:t>
            </w:r>
          </w:p>
        </w:tc>
        <w:tc>
          <w:tcPr>
            <w:tcW w:w="1257" w:type="dxa"/>
            <w:vAlign w:val="center"/>
          </w:tcPr>
          <w:p w14:paraId="3D2BEDFC" w14:textId="065535B7" w:rsidR="006E1850" w:rsidRPr="00300B3C" w:rsidRDefault="00A002B7" w:rsidP="006E1850">
            <w:pPr>
              <w:jc w:val="center"/>
              <w:rPr>
                <w:rFonts w:cs="Times New Roman"/>
                <w:sz w:val="22"/>
              </w:rPr>
            </w:pPr>
            <w:r>
              <w:rPr>
                <w:rFonts w:cs="Times New Roman"/>
                <w:sz w:val="22"/>
              </w:rPr>
              <w:t>36,0</w:t>
            </w:r>
          </w:p>
        </w:tc>
        <w:tc>
          <w:tcPr>
            <w:tcW w:w="1257" w:type="dxa"/>
            <w:vAlign w:val="center"/>
          </w:tcPr>
          <w:p w14:paraId="3D2BEDFD" w14:textId="700824CA" w:rsidR="006E1850" w:rsidRPr="00300B3C" w:rsidRDefault="00A002B7" w:rsidP="006E1850">
            <w:pPr>
              <w:jc w:val="center"/>
              <w:rPr>
                <w:rFonts w:cs="Times New Roman"/>
                <w:sz w:val="22"/>
              </w:rPr>
            </w:pPr>
            <w:r>
              <w:rPr>
                <w:rFonts w:cs="Times New Roman"/>
                <w:sz w:val="22"/>
              </w:rPr>
              <w:t>10,0</w:t>
            </w:r>
          </w:p>
        </w:tc>
        <w:tc>
          <w:tcPr>
            <w:tcW w:w="1259" w:type="dxa"/>
            <w:vAlign w:val="center"/>
          </w:tcPr>
          <w:p w14:paraId="3D2BEDFE" w14:textId="0DDB7E73" w:rsidR="006E1850" w:rsidRPr="00300B3C" w:rsidRDefault="00A002B7" w:rsidP="006E1850">
            <w:pPr>
              <w:jc w:val="center"/>
              <w:rPr>
                <w:rFonts w:cs="Times New Roman"/>
                <w:sz w:val="22"/>
              </w:rPr>
            </w:pPr>
            <w:r>
              <w:rPr>
                <w:rFonts w:cs="Times New Roman"/>
                <w:sz w:val="22"/>
              </w:rPr>
              <w:t>93,0</w:t>
            </w:r>
          </w:p>
        </w:tc>
        <w:tc>
          <w:tcPr>
            <w:tcW w:w="1885" w:type="dxa"/>
            <w:shd w:val="clear" w:color="auto" w:fill="FFFF00"/>
            <w:vAlign w:val="center"/>
          </w:tcPr>
          <w:p w14:paraId="3D2BEDFF" w14:textId="64D3F3A3" w:rsidR="006E1850" w:rsidRPr="00300B3C" w:rsidRDefault="00796D60" w:rsidP="006E1850">
            <w:pPr>
              <w:jc w:val="center"/>
              <w:rPr>
                <w:rFonts w:cs="Times New Roman"/>
                <w:sz w:val="22"/>
              </w:rPr>
            </w:pPr>
            <w:r>
              <w:rPr>
                <w:rFonts w:cs="Times New Roman"/>
                <w:sz w:val="22"/>
              </w:rPr>
              <w:t>0,74</w:t>
            </w:r>
          </w:p>
        </w:tc>
      </w:tr>
      <w:tr w:rsidR="006E1850" w:rsidRPr="00300B3C" w14:paraId="3D2BEE09" w14:textId="77777777" w:rsidTr="00EC5E0B">
        <w:trPr>
          <w:trHeight w:val="70"/>
          <w:jc w:val="center"/>
        </w:trPr>
        <w:tc>
          <w:tcPr>
            <w:tcW w:w="601" w:type="dxa"/>
          </w:tcPr>
          <w:p w14:paraId="3D2BEE01" w14:textId="77777777" w:rsidR="006E1850" w:rsidRPr="00300B3C" w:rsidRDefault="006E1850" w:rsidP="006E1850">
            <w:pPr>
              <w:rPr>
                <w:rFonts w:cs="Times New Roman"/>
                <w:sz w:val="22"/>
              </w:rPr>
            </w:pPr>
            <w:r w:rsidRPr="00300B3C">
              <w:rPr>
                <w:rFonts w:cs="Times New Roman"/>
                <w:sz w:val="22"/>
              </w:rPr>
              <w:t>11.1</w:t>
            </w:r>
          </w:p>
        </w:tc>
        <w:tc>
          <w:tcPr>
            <w:tcW w:w="4945" w:type="dxa"/>
          </w:tcPr>
          <w:p w14:paraId="3D2BEE02" w14:textId="77777777" w:rsidR="006E1850" w:rsidRPr="00300B3C" w:rsidRDefault="006E1850" w:rsidP="006E1850">
            <w:pPr>
              <w:rPr>
                <w:rFonts w:cs="Times New Roman"/>
                <w:sz w:val="22"/>
              </w:rPr>
            </w:pPr>
            <w:r w:rsidRPr="00300B3C">
              <w:rPr>
                <w:rFonts w:cs="Times New Roman"/>
                <w:sz w:val="22"/>
              </w:rPr>
              <w:t>Sergamumas tuberkulioze (A15-A19) 100 000 gyv. (tik nauji atvejai)</w:t>
            </w:r>
          </w:p>
        </w:tc>
        <w:tc>
          <w:tcPr>
            <w:tcW w:w="1787" w:type="dxa"/>
            <w:vAlign w:val="center"/>
          </w:tcPr>
          <w:p w14:paraId="3D2BEE03" w14:textId="36EDA685" w:rsidR="006E1850" w:rsidRPr="00300B3C" w:rsidRDefault="006E1850" w:rsidP="006E1850">
            <w:pPr>
              <w:jc w:val="center"/>
              <w:rPr>
                <w:rFonts w:cs="Times New Roman"/>
                <w:sz w:val="22"/>
              </w:rPr>
            </w:pPr>
            <w:r w:rsidRPr="00300B3C">
              <w:rPr>
                <w:rFonts w:cs="Times New Roman"/>
                <w:sz w:val="22"/>
              </w:rPr>
              <w:t>26,8</w:t>
            </w:r>
          </w:p>
        </w:tc>
        <w:tc>
          <w:tcPr>
            <w:tcW w:w="1787" w:type="dxa"/>
            <w:vAlign w:val="center"/>
          </w:tcPr>
          <w:p w14:paraId="3D2BEE04" w14:textId="1C301F8A" w:rsidR="006E1850" w:rsidRPr="00300B3C" w:rsidRDefault="007C68AF" w:rsidP="006E1850">
            <w:pPr>
              <w:jc w:val="center"/>
              <w:rPr>
                <w:rFonts w:cs="Times New Roman"/>
                <w:sz w:val="22"/>
              </w:rPr>
            </w:pPr>
            <w:r>
              <w:rPr>
                <w:rFonts w:cs="Times New Roman"/>
                <w:sz w:val="22"/>
              </w:rPr>
              <w:t>22,6</w:t>
            </w:r>
            <w:r w:rsidR="00842716">
              <w:rPr>
                <w:rFonts w:cs="Times New Roman"/>
                <w:sz w:val="22"/>
              </w:rPr>
              <w:t xml:space="preserve"> </w:t>
            </w:r>
            <w:r w:rsidR="00842716" w:rsidRPr="00880C89">
              <w:rPr>
                <w:rFonts w:cs="Times New Roman"/>
                <w:b/>
                <w:bCs/>
                <w:color w:val="00B050"/>
                <w:sz w:val="22"/>
              </w:rPr>
              <w:t>↓</w:t>
            </w:r>
          </w:p>
        </w:tc>
        <w:tc>
          <w:tcPr>
            <w:tcW w:w="1257" w:type="dxa"/>
            <w:vAlign w:val="center"/>
          </w:tcPr>
          <w:p w14:paraId="3D2BEE05" w14:textId="76B4E829" w:rsidR="006E1850" w:rsidRPr="00300B3C" w:rsidRDefault="007C68AF" w:rsidP="006E1850">
            <w:pPr>
              <w:jc w:val="center"/>
              <w:rPr>
                <w:rFonts w:cs="Times New Roman"/>
                <w:sz w:val="22"/>
              </w:rPr>
            </w:pPr>
            <w:r>
              <w:rPr>
                <w:rFonts w:cs="Times New Roman"/>
                <w:sz w:val="22"/>
              </w:rPr>
              <w:t>31,3</w:t>
            </w:r>
          </w:p>
        </w:tc>
        <w:tc>
          <w:tcPr>
            <w:tcW w:w="1257" w:type="dxa"/>
            <w:vAlign w:val="center"/>
          </w:tcPr>
          <w:p w14:paraId="3D2BEE06" w14:textId="1FA1B1F7" w:rsidR="006E1850" w:rsidRPr="00300B3C" w:rsidRDefault="003045CD" w:rsidP="006E1850">
            <w:pPr>
              <w:jc w:val="center"/>
              <w:rPr>
                <w:rFonts w:cs="Times New Roman"/>
                <w:sz w:val="22"/>
              </w:rPr>
            </w:pPr>
            <w:r>
              <w:rPr>
                <w:rFonts w:cs="Times New Roman"/>
                <w:sz w:val="22"/>
              </w:rPr>
              <w:t>8,0</w:t>
            </w:r>
          </w:p>
        </w:tc>
        <w:tc>
          <w:tcPr>
            <w:tcW w:w="1259" w:type="dxa"/>
            <w:vAlign w:val="center"/>
          </w:tcPr>
          <w:p w14:paraId="3D2BEE07" w14:textId="4979797C" w:rsidR="006E1850" w:rsidRPr="00300B3C" w:rsidRDefault="003045CD" w:rsidP="006E1850">
            <w:pPr>
              <w:jc w:val="center"/>
              <w:rPr>
                <w:rFonts w:cs="Times New Roman"/>
                <w:sz w:val="22"/>
              </w:rPr>
            </w:pPr>
            <w:r>
              <w:rPr>
                <w:rFonts w:cs="Times New Roman"/>
                <w:sz w:val="22"/>
              </w:rPr>
              <w:t>73,9</w:t>
            </w:r>
          </w:p>
        </w:tc>
        <w:tc>
          <w:tcPr>
            <w:tcW w:w="1885" w:type="dxa"/>
            <w:shd w:val="clear" w:color="auto" w:fill="00B050"/>
            <w:vAlign w:val="center"/>
          </w:tcPr>
          <w:p w14:paraId="3D2BEE08" w14:textId="5F014E4B" w:rsidR="006E1850" w:rsidRPr="00300B3C" w:rsidRDefault="003045CD" w:rsidP="006E1850">
            <w:pPr>
              <w:jc w:val="center"/>
              <w:rPr>
                <w:rFonts w:cs="Times New Roman"/>
                <w:sz w:val="22"/>
              </w:rPr>
            </w:pPr>
            <w:r>
              <w:rPr>
                <w:rFonts w:cs="Times New Roman"/>
                <w:sz w:val="22"/>
              </w:rPr>
              <w:t>0,72</w:t>
            </w:r>
          </w:p>
        </w:tc>
      </w:tr>
      <w:tr w:rsidR="006E1850" w:rsidRPr="00300B3C" w14:paraId="3D2BEE0B" w14:textId="77777777" w:rsidTr="00431208">
        <w:trPr>
          <w:jc w:val="center"/>
        </w:trPr>
        <w:tc>
          <w:tcPr>
            <w:tcW w:w="14778" w:type="dxa"/>
            <w:gridSpan w:val="8"/>
            <w:shd w:val="clear" w:color="auto" w:fill="D6E3BC" w:themeFill="accent3" w:themeFillTint="66"/>
          </w:tcPr>
          <w:p w14:paraId="3D2BEE0A" w14:textId="77777777" w:rsidR="006E1850" w:rsidRPr="00300B3C" w:rsidRDefault="006E1850" w:rsidP="006E1850">
            <w:pPr>
              <w:ind w:left="720"/>
              <w:contextualSpacing/>
              <w:jc w:val="center"/>
              <w:rPr>
                <w:rFonts w:cs="Times New Roman"/>
                <w:sz w:val="22"/>
              </w:rPr>
            </w:pPr>
            <w:r w:rsidRPr="00300B3C">
              <w:rPr>
                <w:rFonts w:cs="Times New Roman"/>
                <w:sz w:val="22"/>
              </w:rPr>
              <w:t>2 TIKSLAS. SUKURTI SVEIKATAI PALANKIĄ FIZINĘ DARBO IR GYVENAMĄJĄ APLINKĄ</w:t>
            </w:r>
          </w:p>
        </w:tc>
      </w:tr>
      <w:tr w:rsidR="006E1850" w:rsidRPr="00300B3C" w14:paraId="3D2BEE0D" w14:textId="77777777" w:rsidTr="00431208">
        <w:trPr>
          <w:jc w:val="center"/>
        </w:trPr>
        <w:tc>
          <w:tcPr>
            <w:tcW w:w="14778" w:type="dxa"/>
            <w:gridSpan w:val="8"/>
            <w:shd w:val="clear" w:color="auto" w:fill="D6E3BC" w:themeFill="accent3" w:themeFillTint="66"/>
          </w:tcPr>
          <w:p w14:paraId="3D2BEE0C" w14:textId="77777777" w:rsidR="006E1850" w:rsidRPr="00300B3C" w:rsidRDefault="006E1850" w:rsidP="006E1850">
            <w:pPr>
              <w:jc w:val="center"/>
              <w:rPr>
                <w:rFonts w:cs="Times New Roman"/>
                <w:sz w:val="22"/>
              </w:rPr>
            </w:pPr>
            <w:r w:rsidRPr="00300B3C">
              <w:rPr>
                <w:rFonts w:cs="Times New Roman"/>
                <w:sz w:val="22"/>
              </w:rPr>
              <w:t>2.1 Kurti saugias darbo ir sveikas buities sąlygas, didinti prekių ir paslaugų vartotojų saugumą</w:t>
            </w:r>
          </w:p>
        </w:tc>
      </w:tr>
      <w:tr w:rsidR="006E1850" w:rsidRPr="00300B3C" w14:paraId="3D2BEE16" w14:textId="77777777" w:rsidTr="00EC5E0B">
        <w:trPr>
          <w:trHeight w:val="70"/>
          <w:jc w:val="center"/>
        </w:trPr>
        <w:tc>
          <w:tcPr>
            <w:tcW w:w="601" w:type="dxa"/>
          </w:tcPr>
          <w:p w14:paraId="3D2BEE0E" w14:textId="77777777" w:rsidR="006E1850" w:rsidRPr="00300B3C" w:rsidRDefault="006E1850" w:rsidP="006E1850">
            <w:pPr>
              <w:rPr>
                <w:rFonts w:cs="Times New Roman"/>
                <w:sz w:val="22"/>
              </w:rPr>
            </w:pPr>
            <w:r w:rsidRPr="00300B3C">
              <w:rPr>
                <w:rFonts w:cs="Times New Roman"/>
                <w:sz w:val="22"/>
              </w:rPr>
              <w:t>12.</w:t>
            </w:r>
          </w:p>
        </w:tc>
        <w:tc>
          <w:tcPr>
            <w:tcW w:w="4945" w:type="dxa"/>
          </w:tcPr>
          <w:p w14:paraId="3D2BEE0F" w14:textId="577CF16D" w:rsidR="006E1850" w:rsidRPr="00300B3C" w:rsidRDefault="006E1850" w:rsidP="006E1850">
            <w:pPr>
              <w:rPr>
                <w:rFonts w:cs="Times New Roman"/>
                <w:sz w:val="22"/>
              </w:rPr>
            </w:pPr>
            <w:r w:rsidRPr="00300B3C">
              <w:rPr>
                <w:rFonts w:cs="Times New Roman"/>
                <w:sz w:val="22"/>
              </w:rPr>
              <w:t>Susižalojimo dėl nukritimo atvejų skaičius (W00-W19) 65+ m. amžiaus grupėje 10 000 gyv.</w:t>
            </w:r>
          </w:p>
        </w:tc>
        <w:tc>
          <w:tcPr>
            <w:tcW w:w="1787" w:type="dxa"/>
            <w:vAlign w:val="center"/>
          </w:tcPr>
          <w:p w14:paraId="3D2BEE10" w14:textId="5298271E" w:rsidR="006E1850" w:rsidRPr="00300B3C" w:rsidRDefault="006E1850" w:rsidP="006E1850">
            <w:pPr>
              <w:jc w:val="center"/>
              <w:rPr>
                <w:rFonts w:cs="Times New Roman"/>
                <w:sz w:val="22"/>
              </w:rPr>
            </w:pPr>
            <w:r w:rsidRPr="00300B3C">
              <w:rPr>
                <w:rFonts w:cs="Times New Roman"/>
                <w:sz w:val="22"/>
              </w:rPr>
              <w:t>184,7</w:t>
            </w:r>
          </w:p>
        </w:tc>
        <w:tc>
          <w:tcPr>
            <w:tcW w:w="1787" w:type="dxa"/>
            <w:vAlign w:val="center"/>
          </w:tcPr>
          <w:p w14:paraId="3D2BEE11" w14:textId="383579BA" w:rsidR="006E1850" w:rsidRPr="00300B3C" w:rsidRDefault="00A56F37" w:rsidP="006E1850">
            <w:pPr>
              <w:jc w:val="center"/>
              <w:rPr>
                <w:rFonts w:cs="Times New Roman"/>
                <w:sz w:val="22"/>
              </w:rPr>
            </w:pPr>
            <w:r>
              <w:rPr>
                <w:rFonts w:cs="Times New Roman"/>
                <w:sz w:val="22"/>
              </w:rPr>
              <w:t>1</w:t>
            </w:r>
            <w:r w:rsidR="00830011">
              <w:rPr>
                <w:rFonts w:cs="Times New Roman"/>
                <w:sz w:val="22"/>
              </w:rPr>
              <w:t>80,0</w:t>
            </w:r>
            <w:r w:rsidR="00842716">
              <w:rPr>
                <w:rFonts w:cs="Times New Roman"/>
                <w:sz w:val="22"/>
              </w:rPr>
              <w:t xml:space="preserve"> </w:t>
            </w:r>
            <w:r w:rsidR="00842716" w:rsidRPr="00880C89">
              <w:rPr>
                <w:rFonts w:cs="Times New Roman"/>
                <w:b/>
                <w:bCs/>
                <w:color w:val="00B050"/>
                <w:sz w:val="22"/>
              </w:rPr>
              <w:t>↓</w:t>
            </w:r>
          </w:p>
        </w:tc>
        <w:tc>
          <w:tcPr>
            <w:tcW w:w="1257" w:type="dxa"/>
            <w:vAlign w:val="center"/>
          </w:tcPr>
          <w:p w14:paraId="3D2BEE12" w14:textId="61B47221" w:rsidR="006E1850" w:rsidRPr="00300B3C" w:rsidRDefault="00E33257" w:rsidP="006E1850">
            <w:pPr>
              <w:jc w:val="center"/>
              <w:rPr>
                <w:rFonts w:cs="Times New Roman"/>
                <w:sz w:val="22"/>
              </w:rPr>
            </w:pPr>
            <w:r>
              <w:rPr>
                <w:rFonts w:cs="Times New Roman"/>
                <w:sz w:val="22"/>
              </w:rPr>
              <w:t>145,7</w:t>
            </w:r>
          </w:p>
        </w:tc>
        <w:tc>
          <w:tcPr>
            <w:tcW w:w="1257" w:type="dxa"/>
            <w:vAlign w:val="center"/>
          </w:tcPr>
          <w:p w14:paraId="3D2BEE13" w14:textId="1071C634" w:rsidR="006E1850" w:rsidRPr="00300B3C" w:rsidRDefault="001569F2" w:rsidP="006E1850">
            <w:pPr>
              <w:jc w:val="center"/>
              <w:rPr>
                <w:rFonts w:cs="Times New Roman"/>
                <w:sz w:val="22"/>
              </w:rPr>
            </w:pPr>
            <w:r>
              <w:rPr>
                <w:rFonts w:cs="Times New Roman"/>
                <w:sz w:val="22"/>
              </w:rPr>
              <w:t>92,6</w:t>
            </w:r>
          </w:p>
        </w:tc>
        <w:tc>
          <w:tcPr>
            <w:tcW w:w="1259" w:type="dxa"/>
            <w:vAlign w:val="center"/>
          </w:tcPr>
          <w:p w14:paraId="3D2BEE14" w14:textId="3FA9A250" w:rsidR="006E1850" w:rsidRPr="00300B3C" w:rsidRDefault="001569F2" w:rsidP="006E1850">
            <w:pPr>
              <w:jc w:val="center"/>
              <w:rPr>
                <w:rFonts w:cs="Times New Roman"/>
                <w:sz w:val="22"/>
              </w:rPr>
            </w:pPr>
            <w:r>
              <w:rPr>
                <w:rFonts w:cs="Times New Roman"/>
                <w:sz w:val="22"/>
              </w:rPr>
              <w:t>197,2</w:t>
            </w:r>
          </w:p>
        </w:tc>
        <w:tc>
          <w:tcPr>
            <w:tcW w:w="1885" w:type="dxa"/>
            <w:shd w:val="clear" w:color="auto" w:fill="FF0000"/>
            <w:vAlign w:val="center"/>
          </w:tcPr>
          <w:p w14:paraId="3D2BEE15" w14:textId="1384DFBE" w:rsidR="006E1850" w:rsidRPr="00300B3C" w:rsidRDefault="00830011" w:rsidP="006E1850">
            <w:pPr>
              <w:jc w:val="center"/>
              <w:rPr>
                <w:rFonts w:cs="Times New Roman"/>
                <w:sz w:val="22"/>
              </w:rPr>
            </w:pPr>
            <w:r>
              <w:rPr>
                <w:rFonts w:cs="Times New Roman"/>
                <w:sz w:val="22"/>
              </w:rPr>
              <w:t>1,24</w:t>
            </w:r>
          </w:p>
        </w:tc>
      </w:tr>
    </w:tbl>
    <w:p w14:paraId="3D2BEE17" w14:textId="0A052BDA" w:rsidR="00300B3C" w:rsidRPr="00300B3C" w:rsidRDefault="00300B3C" w:rsidP="00300B3C">
      <w:pPr>
        <w:spacing w:after="0" w:line="240" w:lineRule="auto"/>
        <w:ind w:left="720"/>
        <w:jc w:val="center"/>
        <w:rPr>
          <w:rFonts w:cs="Times New Roman"/>
        </w:rPr>
      </w:pPr>
      <w:r w:rsidRPr="00300B3C">
        <w:rPr>
          <w:rFonts w:cs="Times New Roman"/>
        </w:rPr>
        <w:lastRenderedPageBreak/>
        <w:t>5 lentelė</w:t>
      </w:r>
      <w:r w:rsidR="00966523">
        <w:rPr>
          <w:rFonts w:cs="Times New Roman"/>
        </w:rPr>
        <w:t>s tęsinys</w:t>
      </w:r>
      <w:r w:rsidRPr="00300B3C">
        <w:rPr>
          <w:rFonts w:cs="Times New Roman"/>
        </w:rPr>
        <w:t>. Kauno miesto savivaldybės visuomenės sveikatos stebėsenos rodiklių profilis</w:t>
      </w:r>
    </w:p>
    <w:tbl>
      <w:tblPr>
        <w:tblStyle w:val="Lentelstinklelis1"/>
        <w:tblW w:w="0" w:type="auto"/>
        <w:jc w:val="center"/>
        <w:tblLook w:val="04A0" w:firstRow="1" w:lastRow="0" w:firstColumn="1" w:lastColumn="0" w:noHBand="0" w:noVBand="1"/>
      </w:tblPr>
      <w:tblGrid>
        <w:gridCol w:w="601"/>
        <w:gridCol w:w="4945"/>
        <w:gridCol w:w="1787"/>
        <w:gridCol w:w="1787"/>
        <w:gridCol w:w="1257"/>
        <w:gridCol w:w="1257"/>
        <w:gridCol w:w="1259"/>
        <w:gridCol w:w="1885"/>
      </w:tblGrid>
      <w:tr w:rsidR="00300B3C" w:rsidRPr="00300B3C" w14:paraId="3D2BEE23" w14:textId="77777777" w:rsidTr="00C520EC">
        <w:trPr>
          <w:jc w:val="center"/>
        </w:trPr>
        <w:tc>
          <w:tcPr>
            <w:tcW w:w="5546" w:type="dxa"/>
            <w:gridSpan w:val="2"/>
            <w:shd w:val="clear" w:color="auto" w:fill="D6E3BC" w:themeFill="accent3" w:themeFillTint="66"/>
            <w:vAlign w:val="center"/>
          </w:tcPr>
          <w:p w14:paraId="3D2BEE1C" w14:textId="77777777" w:rsidR="00300B3C" w:rsidRPr="00300B3C" w:rsidRDefault="00300B3C" w:rsidP="00C520EC">
            <w:pPr>
              <w:jc w:val="center"/>
              <w:rPr>
                <w:rFonts w:cs="Times New Roman"/>
                <w:sz w:val="22"/>
              </w:rPr>
            </w:pPr>
            <w:r w:rsidRPr="00300B3C">
              <w:rPr>
                <w:rFonts w:cs="Times New Roman"/>
                <w:sz w:val="22"/>
              </w:rPr>
              <w:t>Rodiklis</w:t>
            </w:r>
          </w:p>
        </w:tc>
        <w:tc>
          <w:tcPr>
            <w:tcW w:w="1787" w:type="dxa"/>
            <w:shd w:val="clear" w:color="auto" w:fill="D6E3BC" w:themeFill="accent3" w:themeFillTint="66"/>
            <w:vAlign w:val="center"/>
          </w:tcPr>
          <w:p w14:paraId="3D2BEE1D" w14:textId="1FB46B36" w:rsidR="00300B3C" w:rsidRPr="00300B3C" w:rsidRDefault="00300B3C" w:rsidP="00C520EC">
            <w:pPr>
              <w:jc w:val="center"/>
              <w:rPr>
                <w:rFonts w:cs="Times New Roman"/>
                <w:sz w:val="22"/>
              </w:rPr>
            </w:pPr>
            <w:r w:rsidRPr="00300B3C">
              <w:rPr>
                <w:rFonts w:cs="Times New Roman"/>
                <w:sz w:val="22"/>
              </w:rPr>
              <w:t>Kauno miesto rodiklis 201</w:t>
            </w:r>
            <w:r w:rsidR="000D485A">
              <w:rPr>
                <w:rFonts w:cs="Times New Roman"/>
                <w:sz w:val="22"/>
              </w:rPr>
              <w:t>8</w:t>
            </w:r>
            <w:r w:rsidRPr="00300B3C">
              <w:rPr>
                <w:rFonts w:cs="Times New Roman"/>
                <w:sz w:val="22"/>
              </w:rPr>
              <w:t xml:space="preserve"> m.</w:t>
            </w:r>
          </w:p>
        </w:tc>
        <w:tc>
          <w:tcPr>
            <w:tcW w:w="1787" w:type="dxa"/>
            <w:shd w:val="clear" w:color="auto" w:fill="D6E3BC" w:themeFill="accent3" w:themeFillTint="66"/>
            <w:vAlign w:val="center"/>
          </w:tcPr>
          <w:p w14:paraId="3D2BEE1E" w14:textId="7838806B" w:rsidR="00300B3C" w:rsidRPr="00300B3C" w:rsidRDefault="00300B3C" w:rsidP="00C520EC">
            <w:pPr>
              <w:jc w:val="center"/>
              <w:rPr>
                <w:rFonts w:cs="Times New Roman"/>
                <w:sz w:val="22"/>
              </w:rPr>
            </w:pPr>
            <w:r w:rsidRPr="00300B3C">
              <w:rPr>
                <w:rFonts w:cs="Times New Roman"/>
                <w:sz w:val="22"/>
              </w:rPr>
              <w:t>Kauno miesto rodiklis 201</w:t>
            </w:r>
            <w:r w:rsidR="000D485A">
              <w:rPr>
                <w:rFonts w:cs="Times New Roman"/>
                <w:sz w:val="22"/>
              </w:rPr>
              <w:t>9</w:t>
            </w:r>
            <w:r w:rsidRPr="00300B3C">
              <w:rPr>
                <w:rFonts w:cs="Times New Roman"/>
                <w:sz w:val="22"/>
              </w:rPr>
              <w:t xml:space="preserve"> m.</w:t>
            </w:r>
          </w:p>
        </w:tc>
        <w:tc>
          <w:tcPr>
            <w:tcW w:w="1257" w:type="dxa"/>
            <w:shd w:val="clear" w:color="auto" w:fill="D6E3BC" w:themeFill="accent3" w:themeFillTint="66"/>
            <w:vAlign w:val="center"/>
          </w:tcPr>
          <w:p w14:paraId="3D2BEE1F" w14:textId="77777777" w:rsidR="00300B3C" w:rsidRPr="00300B3C" w:rsidRDefault="00300B3C" w:rsidP="00C520EC">
            <w:pPr>
              <w:jc w:val="center"/>
              <w:rPr>
                <w:rFonts w:cs="Times New Roman"/>
                <w:sz w:val="22"/>
              </w:rPr>
            </w:pPr>
            <w:r w:rsidRPr="00300B3C">
              <w:rPr>
                <w:rFonts w:cs="Times New Roman"/>
                <w:sz w:val="22"/>
              </w:rPr>
              <w:t>Lietuvos rodiklis</w:t>
            </w:r>
          </w:p>
        </w:tc>
        <w:tc>
          <w:tcPr>
            <w:tcW w:w="1257" w:type="dxa"/>
            <w:shd w:val="clear" w:color="auto" w:fill="D6E3BC" w:themeFill="accent3" w:themeFillTint="66"/>
            <w:vAlign w:val="center"/>
          </w:tcPr>
          <w:p w14:paraId="3D2BEE20" w14:textId="77777777" w:rsidR="00300B3C" w:rsidRPr="00300B3C" w:rsidRDefault="00300B3C" w:rsidP="00C520EC">
            <w:pPr>
              <w:jc w:val="center"/>
              <w:rPr>
                <w:rFonts w:cs="Times New Roman"/>
                <w:sz w:val="22"/>
              </w:rPr>
            </w:pPr>
            <w:r w:rsidRPr="00300B3C">
              <w:rPr>
                <w:rFonts w:cs="Times New Roman"/>
                <w:sz w:val="22"/>
              </w:rPr>
              <w:t>Minimali reikšmė</w:t>
            </w:r>
          </w:p>
        </w:tc>
        <w:tc>
          <w:tcPr>
            <w:tcW w:w="1259" w:type="dxa"/>
            <w:shd w:val="clear" w:color="auto" w:fill="D6E3BC" w:themeFill="accent3" w:themeFillTint="66"/>
            <w:vAlign w:val="center"/>
          </w:tcPr>
          <w:p w14:paraId="3D2BEE21" w14:textId="77777777" w:rsidR="00300B3C" w:rsidRPr="00300B3C" w:rsidRDefault="00300B3C" w:rsidP="00C520EC">
            <w:pPr>
              <w:jc w:val="center"/>
              <w:rPr>
                <w:rFonts w:cs="Times New Roman"/>
                <w:sz w:val="22"/>
              </w:rPr>
            </w:pPr>
            <w:r w:rsidRPr="00300B3C">
              <w:rPr>
                <w:rFonts w:cs="Times New Roman"/>
                <w:sz w:val="22"/>
              </w:rPr>
              <w:t>Maksimali reikšmė</w:t>
            </w:r>
          </w:p>
        </w:tc>
        <w:tc>
          <w:tcPr>
            <w:tcW w:w="1885" w:type="dxa"/>
            <w:shd w:val="clear" w:color="auto" w:fill="D6E3BC" w:themeFill="accent3" w:themeFillTint="66"/>
            <w:vAlign w:val="center"/>
          </w:tcPr>
          <w:p w14:paraId="3D2BEE22" w14:textId="77777777" w:rsidR="00300B3C" w:rsidRPr="00300B3C" w:rsidRDefault="00300B3C" w:rsidP="00C520EC">
            <w:pPr>
              <w:jc w:val="center"/>
              <w:rPr>
                <w:rFonts w:cs="Times New Roman"/>
                <w:sz w:val="22"/>
              </w:rPr>
            </w:pPr>
            <w:r w:rsidRPr="00300B3C">
              <w:rPr>
                <w:rFonts w:cs="Times New Roman"/>
                <w:sz w:val="22"/>
              </w:rPr>
              <w:t>Kauno miesto ir Lietuvos rodiklio santykis</w:t>
            </w:r>
          </w:p>
        </w:tc>
      </w:tr>
      <w:tr w:rsidR="000D485A" w:rsidRPr="00300B3C" w14:paraId="3D2BEE2C" w14:textId="77777777" w:rsidTr="00E33257">
        <w:trPr>
          <w:jc w:val="center"/>
        </w:trPr>
        <w:tc>
          <w:tcPr>
            <w:tcW w:w="601" w:type="dxa"/>
          </w:tcPr>
          <w:p w14:paraId="3D2BEE24" w14:textId="77777777" w:rsidR="000D485A" w:rsidRPr="00300B3C" w:rsidRDefault="000D485A" w:rsidP="000D485A">
            <w:pPr>
              <w:rPr>
                <w:rFonts w:cs="Times New Roman"/>
                <w:sz w:val="22"/>
              </w:rPr>
            </w:pPr>
            <w:r w:rsidRPr="00300B3C">
              <w:rPr>
                <w:rFonts w:cs="Times New Roman"/>
                <w:sz w:val="22"/>
              </w:rPr>
              <w:t>13.</w:t>
            </w:r>
          </w:p>
        </w:tc>
        <w:tc>
          <w:tcPr>
            <w:tcW w:w="4945" w:type="dxa"/>
          </w:tcPr>
          <w:p w14:paraId="3D2BEE25" w14:textId="762D627D" w:rsidR="000D485A" w:rsidRPr="00300B3C" w:rsidRDefault="000D485A" w:rsidP="000D485A">
            <w:pPr>
              <w:rPr>
                <w:rFonts w:cs="Times New Roman"/>
                <w:sz w:val="22"/>
              </w:rPr>
            </w:pPr>
            <w:r w:rsidRPr="00300B3C">
              <w:rPr>
                <w:rFonts w:cs="Times New Roman"/>
                <w:sz w:val="22"/>
              </w:rPr>
              <w:t>Asmenų</w:t>
            </w:r>
            <w:r w:rsidR="002007A2">
              <w:rPr>
                <w:rFonts w:cs="Times New Roman"/>
                <w:sz w:val="22"/>
              </w:rPr>
              <w:t>,</w:t>
            </w:r>
            <w:r w:rsidRPr="00300B3C">
              <w:rPr>
                <w:rFonts w:cs="Times New Roman"/>
                <w:sz w:val="22"/>
              </w:rPr>
              <w:t xml:space="preserve"> žuvusių ar sunkiai sužalotų dėl nelaimingų atsitikimų darbe, skaičius 10 000 darbingo amžiaus gyv.</w:t>
            </w:r>
          </w:p>
        </w:tc>
        <w:tc>
          <w:tcPr>
            <w:tcW w:w="1787" w:type="dxa"/>
            <w:vAlign w:val="center"/>
          </w:tcPr>
          <w:p w14:paraId="3D2BEE26" w14:textId="73797112" w:rsidR="000D485A" w:rsidRPr="00300B3C" w:rsidRDefault="000D485A" w:rsidP="000D485A">
            <w:pPr>
              <w:jc w:val="center"/>
              <w:rPr>
                <w:rFonts w:cs="Times New Roman"/>
                <w:sz w:val="22"/>
              </w:rPr>
            </w:pPr>
            <w:r w:rsidRPr="00300B3C">
              <w:rPr>
                <w:rFonts w:cs="Times New Roman"/>
                <w:sz w:val="22"/>
              </w:rPr>
              <w:t>0,7</w:t>
            </w:r>
          </w:p>
        </w:tc>
        <w:tc>
          <w:tcPr>
            <w:tcW w:w="1787" w:type="dxa"/>
            <w:vAlign w:val="center"/>
          </w:tcPr>
          <w:p w14:paraId="3D2BEE27" w14:textId="7CFF2417" w:rsidR="000D485A" w:rsidRPr="00300B3C" w:rsidRDefault="008A6C18" w:rsidP="000D485A">
            <w:pPr>
              <w:jc w:val="center"/>
              <w:rPr>
                <w:rFonts w:cs="Times New Roman"/>
                <w:sz w:val="22"/>
              </w:rPr>
            </w:pPr>
            <w:r>
              <w:rPr>
                <w:rFonts w:cs="Times New Roman"/>
                <w:sz w:val="22"/>
              </w:rPr>
              <w:t>1,4</w:t>
            </w:r>
            <w:r w:rsidR="00842716">
              <w:rPr>
                <w:rFonts w:cs="Times New Roman"/>
                <w:sz w:val="22"/>
              </w:rPr>
              <w:t xml:space="preserve"> </w:t>
            </w:r>
            <w:r w:rsidR="00842716" w:rsidRPr="00500250">
              <w:rPr>
                <w:rFonts w:cs="Times New Roman"/>
                <w:b/>
                <w:bCs/>
                <w:color w:val="FF0000"/>
                <w:sz w:val="22"/>
              </w:rPr>
              <w:t>↑</w:t>
            </w:r>
          </w:p>
        </w:tc>
        <w:tc>
          <w:tcPr>
            <w:tcW w:w="1257" w:type="dxa"/>
            <w:vAlign w:val="center"/>
          </w:tcPr>
          <w:p w14:paraId="3D2BEE28" w14:textId="6920BEE9" w:rsidR="000D485A" w:rsidRPr="00300B3C" w:rsidRDefault="008A6C18" w:rsidP="000D485A">
            <w:pPr>
              <w:jc w:val="center"/>
              <w:rPr>
                <w:rFonts w:cs="Times New Roman"/>
                <w:sz w:val="22"/>
              </w:rPr>
            </w:pPr>
            <w:r>
              <w:rPr>
                <w:rFonts w:cs="Times New Roman"/>
                <w:sz w:val="22"/>
              </w:rPr>
              <w:t>1,0</w:t>
            </w:r>
          </w:p>
        </w:tc>
        <w:tc>
          <w:tcPr>
            <w:tcW w:w="1257" w:type="dxa"/>
            <w:vAlign w:val="center"/>
          </w:tcPr>
          <w:p w14:paraId="3D2BEE29" w14:textId="1C35E93A" w:rsidR="000D485A" w:rsidRPr="00300B3C" w:rsidRDefault="00CD37A6" w:rsidP="000D485A">
            <w:pPr>
              <w:jc w:val="center"/>
              <w:rPr>
                <w:rFonts w:cs="Times New Roman"/>
                <w:sz w:val="22"/>
              </w:rPr>
            </w:pPr>
            <w:r>
              <w:rPr>
                <w:rFonts w:cs="Times New Roman"/>
                <w:sz w:val="22"/>
              </w:rPr>
              <w:t>0,0</w:t>
            </w:r>
          </w:p>
        </w:tc>
        <w:tc>
          <w:tcPr>
            <w:tcW w:w="1259" w:type="dxa"/>
            <w:vAlign w:val="center"/>
          </w:tcPr>
          <w:p w14:paraId="3D2BEE2A" w14:textId="5534472D" w:rsidR="000D485A" w:rsidRPr="00300B3C" w:rsidRDefault="00CD37A6" w:rsidP="000D485A">
            <w:pPr>
              <w:jc w:val="center"/>
              <w:rPr>
                <w:rFonts w:cs="Times New Roman"/>
                <w:sz w:val="22"/>
              </w:rPr>
            </w:pPr>
            <w:r>
              <w:rPr>
                <w:rFonts w:cs="Times New Roman"/>
                <w:sz w:val="22"/>
              </w:rPr>
              <w:t>2,9</w:t>
            </w:r>
          </w:p>
        </w:tc>
        <w:tc>
          <w:tcPr>
            <w:tcW w:w="1885" w:type="dxa"/>
            <w:shd w:val="clear" w:color="auto" w:fill="FF0000"/>
            <w:vAlign w:val="center"/>
          </w:tcPr>
          <w:p w14:paraId="3D2BEE2B" w14:textId="6BCCAABB" w:rsidR="000D485A" w:rsidRPr="00300B3C" w:rsidRDefault="00E33257" w:rsidP="000D485A">
            <w:pPr>
              <w:jc w:val="center"/>
              <w:rPr>
                <w:rFonts w:cs="Times New Roman"/>
                <w:sz w:val="22"/>
              </w:rPr>
            </w:pPr>
            <w:r>
              <w:rPr>
                <w:rFonts w:cs="Times New Roman"/>
                <w:sz w:val="22"/>
              </w:rPr>
              <w:t>1,4</w:t>
            </w:r>
          </w:p>
        </w:tc>
      </w:tr>
      <w:tr w:rsidR="000D485A" w:rsidRPr="00300B3C" w14:paraId="3D2BEE35" w14:textId="77777777" w:rsidTr="00E5407B">
        <w:trPr>
          <w:jc w:val="center"/>
        </w:trPr>
        <w:tc>
          <w:tcPr>
            <w:tcW w:w="601" w:type="dxa"/>
          </w:tcPr>
          <w:p w14:paraId="3D2BEE2D" w14:textId="77777777" w:rsidR="000D485A" w:rsidRPr="00300B3C" w:rsidRDefault="000D485A" w:rsidP="000D485A">
            <w:pPr>
              <w:rPr>
                <w:rFonts w:cs="Times New Roman"/>
                <w:sz w:val="22"/>
              </w:rPr>
            </w:pPr>
            <w:r w:rsidRPr="00300B3C">
              <w:rPr>
                <w:rFonts w:cs="Times New Roman"/>
                <w:sz w:val="22"/>
              </w:rPr>
              <w:t>14.</w:t>
            </w:r>
          </w:p>
        </w:tc>
        <w:tc>
          <w:tcPr>
            <w:tcW w:w="4945" w:type="dxa"/>
          </w:tcPr>
          <w:p w14:paraId="3D2BEE2E" w14:textId="77777777" w:rsidR="000D485A" w:rsidRPr="00300B3C" w:rsidRDefault="000D485A" w:rsidP="000D485A">
            <w:pPr>
              <w:rPr>
                <w:rFonts w:cs="Times New Roman"/>
                <w:sz w:val="22"/>
              </w:rPr>
            </w:pPr>
            <w:r w:rsidRPr="00300B3C">
              <w:rPr>
                <w:rFonts w:cs="Times New Roman"/>
                <w:sz w:val="22"/>
              </w:rPr>
              <w:t>Darbingo amžiaus asmenų, pirmą kartą pripažintų neįgaliais, skaičius 10 000 gyv.</w:t>
            </w:r>
          </w:p>
        </w:tc>
        <w:tc>
          <w:tcPr>
            <w:tcW w:w="1787" w:type="dxa"/>
            <w:vAlign w:val="center"/>
          </w:tcPr>
          <w:p w14:paraId="3D2BEE2F" w14:textId="6478F008" w:rsidR="000D485A" w:rsidRPr="00300B3C" w:rsidRDefault="000D485A" w:rsidP="000D485A">
            <w:pPr>
              <w:jc w:val="center"/>
              <w:rPr>
                <w:rFonts w:cs="Times New Roman"/>
                <w:sz w:val="22"/>
              </w:rPr>
            </w:pPr>
            <w:r w:rsidRPr="00300B3C">
              <w:rPr>
                <w:rFonts w:cs="Times New Roman"/>
                <w:sz w:val="22"/>
              </w:rPr>
              <w:t>48,7</w:t>
            </w:r>
          </w:p>
        </w:tc>
        <w:tc>
          <w:tcPr>
            <w:tcW w:w="1787" w:type="dxa"/>
            <w:vAlign w:val="center"/>
          </w:tcPr>
          <w:p w14:paraId="3D2BEE30" w14:textId="53F0709C" w:rsidR="000D485A" w:rsidRPr="00300B3C" w:rsidRDefault="00664D37" w:rsidP="000D485A">
            <w:pPr>
              <w:jc w:val="center"/>
              <w:rPr>
                <w:rFonts w:cs="Times New Roman"/>
                <w:sz w:val="22"/>
              </w:rPr>
            </w:pPr>
            <w:r>
              <w:rPr>
                <w:rFonts w:cs="Times New Roman"/>
                <w:sz w:val="22"/>
              </w:rPr>
              <w:t>43,3</w:t>
            </w:r>
            <w:r w:rsidR="00766FBC">
              <w:rPr>
                <w:rFonts w:cs="Times New Roman"/>
                <w:sz w:val="22"/>
              </w:rPr>
              <w:t xml:space="preserve"> </w:t>
            </w:r>
            <w:r w:rsidR="00766FBC" w:rsidRPr="00880C89">
              <w:rPr>
                <w:rFonts w:cs="Times New Roman"/>
                <w:b/>
                <w:bCs/>
                <w:color w:val="00B050"/>
                <w:sz w:val="22"/>
              </w:rPr>
              <w:t>↓</w:t>
            </w:r>
          </w:p>
        </w:tc>
        <w:tc>
          <w:tcPr>
            <w:tcW w:w="1257" w:type="dxa"/>
            <w:vAlign w:val="center"/>
          </w:tcPr>
          <w:p w14:paraId="3D2BEE31" w14:textId="295EABCD" w:rsidR="000D485A" w:rsidRPr="00300B3C" w:rsidRDefault="00992C87" w:rsidP="000D485A">
            <w:pPr>
              <w:jc w:val="center"/>
              <w:rPr>
                <w:rFonts w:cs="Times New Roman"/>
                <w:sz w:val="22"/>
              </w:rPr>
            </w:pPr>
            <w:r>
              <w:rPr>
                <w:rFonts w:cs="Times New Roman"/>
                <w:sz w:val="22"/>
              </w:rPr>
              <w:t>61,6</w:t>
            </w:r>
          </w:p>
        </w:tc>
        <w:tc>
          <w:tcPr>
            <w:tcW w:w="1257" w:type="dxa"/>
            <w:vAlign w:val="center"/>
          </w:tcPr>
          <w:p w14:paraId="3D2BEE32" w14:textId="5EA97B20" w:rsidR="000D485A" w:rsidRPr="00300B3C" w:rsidRDefault="00664D37" w:rsidP="000D485A">
            <w:pPr>
              <w:jc w:val="center"/>
              <w:rPr>
                <w:rFonts w:cs="Times New Roman"/>
                <w:sz w:val="22"/>
              </w:rPr>
            </w:pPr>
            <w:r>
              <w:rPr>
                <w:rFonts w:cs="Times New Roman"/>
                <w:sz w:val="22"/>
              </w:rPr>
              <w:t>42,2</w:t>
            </w:r>
          </w:p>
        </w:tc>
        <w:tc>
          <w:tcPr>
            <w:tcW w:w="1259" w:type="dxa"/>
            <w:vAlign w:val="center"/>
          </w:tcPr>
          <w:p w14:paraId="3D2BEE33" w14:textId="7C56C375" w:rsidR="000D485A" w:rsidRPr="00300B3C" w:rsidRDefault="00664D37" w:rsidP="000D485A">
            <w:pPr>
              <w:jc w:val="center"/>
              <w:rPr>
                <w:rFonts w:cs="Times New Roman"/>
                <w:sz w:val="22"/>
              </w:rPr>
            </w:pPr>
            <w:r>
              <w:rPr>
                <w:rFonts w:cs="Times New Roman"/>
                <w:sz w:val="22"/>
              </w:rPr>
              <w:t>127,5</w:t>
            </w:r>
          </w:p>
        </w:tc>
        <w:tc>
          <w:tcPr>
            <w:tcW w:w="1885" w:type="dxa"/>
            <w:shd w:val="clear" w:color="auto" w:fill="00B050"/>
            <w:vAlign w:val="center"/>
          </w:tcPr>
          <w:p w14:paraId="3D2BEE34" w14:textId="22C8FBC3" w:rsidR="000D485A" w:rsidRPr="00300B3C" w:rsidRDefault="00D128CB" w:rsidP="000D485A">
            <w:pPr>
              <w:jc w:val="center"/>
              <w:rPr>
                <w:rFonts w:cs="Times New Roman"/>
                <w:sz w:val="22"/>
              </w:rPr>
            </w:pPr>
            <w:r>
              <w:rPr>
                <w:rFonts w:cs="Times New Roman"/>
                <w:sz w:val="22"/>
              </w:rPr>
              <w:t>0,70</w:t>
            </w:r>
          </w:p>
        </w:tc>
      </w:tr>
      <w:tr w:rsidR="000D485A" w:rsidRPr="00300B3C" w14:paraId="3D2BEE3E" w14:textId="77777777" w:rsidTr="00594E52">
        <w:trPr>
          <w:jc w:val="center"/>
        </w:trPr>
        <w:tc>
          <w:tcPr>
            <w:tcW w:w="601" w:type="dxa"/>
          </w:tcPr>
          <w:p w14:paraId="3D2BEE36" w14:textId="77777777" w:rsidR="000D485A" w:rsidRPr="00300B3C" w:rsidRDefault="000D485A" w:rsidP="000D485A">
            <w:pPr>
              <w:rPr>
                <w:rFonts w:cs="Times New Roman"/>
                <w:sz w:val="22"/>
              </w:rPr>
            </w:pPr>
            <w:r w:rsidRPr="00300B3C">
              <w:rPr>
                <w:rFonts w:cs="Times New Roman"/>
                <w:sz w:val="22"/>
              </w:rPr>
              <w:t>15.</w:t>
            </w:r>
          </w:p>
        </w:tc>
        <w:tc>
          <w:tcPr>
            <w:tcW w:w="4945" w:type="dxa"/>
          </w:tcPr>
          <w:p w14:paraId="3D2BEE37" w14:textId="77777777" w:rsidR="000D485A" w:rsidRPr="00300B3C" w:rsidRDefault="000D485A" w:rsidP="000D485A">
            <w:pPr>
              <w:rPr>
                <w:rFonts w:cs="Times New Roman"/>
                <w:sz w:val="22"/>
              </w:rPr>
            </w:pPr>
            <w:r w:rsidRPr="00300B3C">
              <w:rPr>
                <w:rFonts w:cs="Times New Roman"/>
                <w:sz w:val="22"/>
              </w:rPr>
              <w:t>Sergamumas žarnyno infekcinėmis ligomis (A00-A08) 10 000 gyv.</w:t>
            </w:r>
          </w:p>
        </w:tc>
        <w:tc>
          <w:tcPr>
            <w:tcW w:w="1787" w:type="dxa"/>
            <w:vAlign w:val="center"/>
          </w:tcPr>
          <w:p w14:paraId="3D2BEE38" w14:textId="42CB4A91" w:rsidR="000D485A" w:rsidRPr="00300B3C" w:rsidRDefault="000D485A" w:rsidP="000D485A">
            <w:pPr>
              <w:jc w:val="center"/>
              <w:rPr>
                <w:rFonts w:cs="Times New Roman"/>
                <w:sz w:val="22"/>
              </w:rPr>
            </w:pPr>
            <w:r w:rsidRPr="00300B3C">
              <w:rPr>
                <w:rFonts w:cs="Times New Roman"/>
                <w:sz w:val="22"/>
              </w:rPr>
              <w:t>89,3</w:t>
            </w:r>
          </w:p>
        </w:tc>
        <w:tc>
          <w:tcPr>
            <w:tcW w:w="1787" w:type="dxa"/>
            <w:vAlign w:val="center"/>
          </w:tcPr>
          <w:p w14:paraId="3D2BEE39" w14:textId="22E1DCDD" w:rsidR="000D485A" w:rsidRPr="00300B3C" w:rsidRDefault="00705F4F" w:rsidP="000D485A">
            <w:pPr>
              <w:jc w:val="center"/>
              <w:rPr>
                <w:rFonts w:cs="Times New Roman"/>
                <w:sz w:val="22"/>
              </w:rPr>
            </w:pPr>
            <w:r>
              <w:rPr>
                <w:rFonts w:cs="Times New Roman"/>
                <w:sz w:val="22"/>
              </w:rPr>
              <w:t>90,5</w:t>
            </w:r>
            <w:r w:rsidR="00766FBC">
              <w:rPr>
                <w:rFonts w:cs="Times New Roman"/>
                <w:sz w:val="22"/>
              </w:rPr>
              <w:t xml:space="preserve"> </w:t>
            </w:r>
            <w:r w:rsidR="00766FBC" w:rsidRPr="00500250">
              <w:rPr>
                <w:rFonts w:cs="Times New Roman"/>
                <w:b/>
                <w:bCs/>
                <w:color w:val="FF0000"/>
                <w:sz w:val="22"/>
              </w:rPr>
              <w:t>↑</w:t>
            </w:r>
          </w:p>
        </w:tc>
        <w:tc>
          <w:tcPr>
            <w:tcW w:w="1257" w:type="dxa"/>
            <w:vAlign w:val="center"/>
          </w:tcPr>
          <w:p w14:paraId="3D2BEE3A" w14:textId="3D688A1F" w:rsidR="000D485A" w:rsidRPr="00300B3C" w:rsidRDefault="00705F4F" w:rsidP="000D485A">
            <w:pPr>
              <w:jc w:val="center"/>
              <w:rPr>
                <w:rFonts w:cs="Times New Roman"/>
                <w:sz w:val="22"/>
              </w:rPr>
            </w:pPr>
            <w:r>
              <w:rPr>
                <w:rFonts w:cs="Times New Roman"/>
                <w:sz w:val="22"/>
              </w:rPr>
              <w:t>72,0</w:t>
            </w:r>
          </w:p>
        </w:tc>
        <w:tc>
          <w:tcPr>
            <w:tcW w:w="1257" w:type="dxa"/>
            <w:vAlign w:val="center"/>
          </w:tcPr>
          <w:p w14:paraId="3D2BEE3B" w14:textId="0087F0C8" w:rsidR="000D485A" w:rsidRPr="00300B3C" w:rsidRDefault="00154312" w:rsidP="000D485A">
            <w:pPr>
              <w:jc w:val="center"/>
              <w:rPr>
                <w:rFonts w:cs="Times New Roman"/>
                <w:sz w:val="22"/>
              </w:rPr>
            </w:pPr>
            <w:r>
              <w:rPr>
                <w:rFonts w:cs="Times New Roman"/>
                <w:sz w:val="22"/>
              </w:rPr>
              <w:t>0,0</w:t>
            </w:r>
          </w:p>
        </w:tc>
        <w:tc>
          <w:tcPr>
            <w:tcW w:w="1259" w:type="dxa"/>
            <w:vAlign w:val="center"/>
          </w:tcPr>
          <w:p w14:paraId="3D2BEE3C" w14:textId="255401AC" w:rsidR="000D485A" w:rsidRPr="00300B3C" w:rsidRDefault="00154312" w:rsidP="000D485A">
            <w:pPr>
              <w:jc w:val="center"/>
              <w:rPr>
                <w:rFonts w:cs="Times New Roman"/>
                <w:sz w:val="22"/>
              </w:rPr>
            </w:pPr>
            <w:r>
              <w:rPr>
                <w:rFonts w:cs="Times New Roman"/>
                <w:sz w:val="22"/>
              </w:rPr>
              <w:t>118,7</w:t>
            </w:r>
          </w:p>
        </w:tc>
        <w:tc>
          <w:tcPr>
            <w:tcW w:w="1885" w:type="dxa"/>
            <w:shd w:val="clear" w:color="auto" w:fill="FF0000"/>
            <w:vAlign w:val="center"/>
          </w:tcPr>
          <w:p w14:paraId="3D2BEE3D" w14:textId="733DC212" w:rsidR="000D485A" w:rsidRPr="00300B3C" w:rsidRDefault="00CF005D" w:rsidP="000D485A">
            <w:pPr>
              <w:jc w:val="center"/>
              <w:rPr>
                <w:rFonts w:cs="Times New Roman"/>
                <w:sz w:val="22"/>
              </w:rPr>
            </w:pPr>
            <w:r>
              <w:rPr>
                <w:rFonts w:cs="Times New Roman"/>
                <w:sz w:val="22"/>
              </w:rPr>
              <w:t>1,26</w:t>
            </w:r>
          </w:p>
        </w:tc>
      </w:tr>
      <w:tr w:rsidR="000D485A" w:rsidRPr="00300B3C" w14:paraId="3D2BEE40" w14:textId="77777777" w:rsidTr="001B6EB6">
        <w:trPr>
          <w:jc w:val="center"/>
        </w:trPr>
        <w:tc>
          <w:tcPr>
            <w:tcW w:w="14778" w:type="dxa"/>
            <w:gridSpan w:val="8"/>
            <w:shd w:val="clear" w:color="auto" w:fill="D6E3BC" w:themeFill="accent3" w:themeFillTint="66"/>
          </w:tcPr>
          <w:p w14:paraId="3D2BEE3F" w14:textId="77777777" w:rsidR="000D485A" w:rsidRPr="00300B3C" w:rsidRDefault="000D485A" w:rsidP="000D485A">
            <w:pPr>
              <w:jc w:val="center"/>
              <w:rPr>
                <w:rFonts w:cs="Times New Roman"/>
                <w:sz w:val="22"/>
              </w:rPr>
            </w:pPr>
            <w:r w:rsidRPr="00300B3C">
              <w:rPr>
                <w:rFonts w:cs="Times New Roman"/>
                <w:sz w:val="22"/>
              </w:rPr>
              <w:t>2.2 Kurti palankias sąlygas saugiai leisti laisvalaikį</w:t>
            </w:r>
          </w:p>
        </w:tc>
      </w:tr>
      <w:tr w:rsidR="000D485A" w:rsidRPr="00300B3C" w14:paraId="3D2BEE49" w14:textId="77777777" w:rsidTr="00631355">
        <w:trPr>
          <w:jc w:val="center"/>
        </w:trPr>
        <w:tc>
          <w:tcPr>
            <w:tcW w:w="601" w:type="dxa"/>
          </w:tcPr>
          <w:p w14:paraId="3D2BEE41" w14:textId="77777777" w:rsidR="000D485A" w:rsidRPr="00300B3C" w:rsidRDefault="000D485A" w:rsidP="000D485A">
            <w:pPr>
              <w:rPr>
                <w:rFonts w:cs="Times New Roman"/>
                <w:sz w:val="22"/>
              </w:rPr>
            </w:pPr>
            <w:r w:rsidRPr="00300B3C">
              <w:rPr>
                <w:rFonts w:cs="Times New Roman"/>
                <w:sz w:val="22"/>
              </w:rPr>
              <w:t>16.</w:t>
            </w:r>
          </w:p>
        </w:tc>
        <w:tc>
          <w:tcPr>
            <w:tcW w:w="4945" w:type="dxa"/>
          </w:tcPr>
          <w:p w14:paraId="3D2BEE42" w14:textId="77777777" w:rsidR="000D485A" w:rsidRPr="00300B3C" w:rsidRDefault="000D485A" w:rsidP="000D485A">
            <w:pPr>
              <w:rPr>
                <w:rFonts w:cs="Times New Roman"/>
                <w:sz w:val="22"/>
              </w:rPr>
            </w:pPr>
            <w:r w:rsidRPr="00300B3C">
              <w:rPr>
                <w:rFonts w:cs="Times New Roman"/>
                <w:sz w:val="22"/>
              </w:rPr>
              <w:t>Mirtingumas dėl atsitiktinio paskendimo (W00-W19) 100 000 gyv.</w:t>
            </w:r>
          </w:p>
        </w:tc>
        <w:tc>
          <w:tcPr>
            <w:tcW w:w="1787" w:type="dxa"/>
            <w:vAlign w:val="center"/>
          </w:tcPr>
          <w:p w14:paraId="3D2BEE43" w14:textId="01A1D84A" w:rsidR="000D485A" w:rsidRPr="00300B3C" w:rsidRDefault="000D485A" w:rsidP="000D485A">
            <w:pPr>
              <w:jc w:val="center"/>
              <w:rPr>
                <w:rFonts w:cs="Times New Roman"/>
                <w:sz w:val="22"/>
              </w:rPr>
            </w:pPr>
            <w:r w:rsidRPr="00300B3C">
              <w:rPr>
                <w:rFonts w:cs="Times New Roman"/>
                <w:sz w:val="22"/>
              </w:rPr>
              <w:t>2,1</w:t>
            </w:r>
          </w:p>
        </w:tc>
        <w:tc>
          <w:tcPr>
            <w:tcW w:w="1787" w:type="dxa"/>
            <w:vAlign w:val="center"/>
          </w:tcPr>
          <w:p w14:paraId="3D2BEE44" w14:textId="0EB0925A" w:rsidR="000D485A" w:rsidRPr="00300B3C" w:rsidRDefault="002C1233" w:rsidP="000D485A">
            <w:pPr>
              <w:jc w:val="center"/>
              <w:rPr>
                <w:rFonts w:cs="Times New Roman"/>
                <w:sz w:val="22"/>
              </w:rPr>
            </w:pPr>
            <w:r>
              <w:rPr>
                <w:rFonts w:cs="Times New Roman"/>
                <w:sz w:val="22"/>
              </w:rPr>
              <w:t>3,8</w:t>
            </w:r>
            <w:r w:rsidR="00766FBC">
              <w:rPr>
                <w:rFonts w:cs="Times New Roman"/>
                <w:sz w:val="22"/>
              </w:rPr>
              <w:t xml:space="preserve"> </w:t>
            </w:r>
            <w:r w:rsidR="00766FBC" w:rsidRPr="00500250">
              <w:rPr>
                <w:rFonts w:cs="Times New Roman"/>
                <w:b/>
                <w:bCs/>
                <w:color w:val="FF0000"/>
                <w:sz w:val="22"/>
              </w:rPr>
              <w:t>↑</w:t>
            </w:r>
          </w:p>
        </w:tc>
        <w:tc>
          <w:tcPr>
            <w:tcW w:w="1257" w:type="dxa"/>
            <w:vAlign w:val="center"/>
          </w:tcPr>
          <w:p w14:paraId="3D2BEE45" w14:textId="609A10AB" w:rsidR="000D485A" w:rsidRPr="00300B3C" w:rsidRDefault="002C1233" w:rsidP="000D485A">
            <w:pPr>
              <w:jc w:val="center"/>
              <w:rPr>
                <w:rFonts w:cs="Times New Roman"/>
                <w:sz w:val="22"/>
              </w:rPr>
            </w:pPr>
            <w:r>
              <w:rPr>
                <w:rFonts w:cs="Times New Roman"/>
                <w:sz w:val="22"/>
              </w:rPr>
              <w:t>4,9</w:t>
            </w:r>
          </w:p>
        </w:tc>
        <w:tc>
          <w:tcPr>
            <w:tcW w:w="1257" w:type="dxa"/>
            <w:vAlign w:val="center"/>
          </w:tcPr>
          <w:p w14:paraId="3D2BEE46" w14:textId="4E345682" w:rsidR="000D485A" w:rsidRPr="00300B3C" w:rsidRDefault="002C1233" w:rsidP="000D485A">
            <w:pPr>
              <w:jc w:val="center"/>
              <w:rPr>
                <w:rFonts w:cs="Times New Roman"/>
                <w:sz w:val="22"/>
              </w:rPr>
            </w:pPr>
            <w:r>
              <w:rPr>
                <w:rFonts w:cs="Times New Roman"/>
                <w:sz w:val="22"/>
              </w:rPr>
              <w:t>0,0</w:t>
            </w:r>
          </w:p>
        </w:tc>
        <w:tc>
          <w:tcPr>
            <w:tcW w:w="1259" w:type="dxa"/>
            <w:vAlign w:val="center"/>
          </w:tcPr>
          <w:p w14:paraId="3D2BEE47" w14:textId="788DD1E0" w:rsidR="000D485A" w:rsidRPr="00300B3C" w:rsidRDefault="007C090A" w:rsidP="000D485A">
            <w:pPr>
              <w:jc w:val="center"/>
              <w:rPr>
                <w:rFonts w:cs="Times New Roman"/>
                <w:sz w:val="22"/>
              </w:rPr>
            </w:pPr>
            <w:r>
              <w:rPr>
                <w:rFonts w:cs="Times New Roman"/>
                <w:sz w:val="22"/>
              </w:rPr>
              <w:t>25,2</w:t>
            </w:r>
          </w:p>
        </w:tc>
        <w:tc>
          <w:tcPr>
            <w:tcW w:w="1885" w:type="dxa"/>
            <w:shd w:val="clear" w:color="auto" w:fill="FFFF00"/>
            <w:vAlign w:val="center"/>
          </w:tcPr>
          <w:p w14:paraId="3D2BEE48" w14:textId="2B7075BD" w:rsidR="000D485A" w:rsidRPr="00300B3C" w:rsidRDefault="007C090A" w:rsidP="000D485A">
            <w:pPr>
              <w:jc w:val="center"/>
              <w:rPr>
                <w:rFonts w:cs="Times New Roman"/>
                <w:sz w:val="22"/>
              </w:rPr>
            </w:pPr>
            <w:r>
              <w:rPr>
                <w:rFonts w:cs="Times New Roman"/>
                <w:sz w:val="22"/>
              </w:rPr>
              <w:t>0,78</w:t>
            </w:r>
          </w:p>
        </w:tc>
      </w:tr>
      <w:tr w:rsidR="000D485A" w:rsidRPr="00300B3C" w14:paraId="3D2BEE52" w14:textId="77777777" w:rsidTr="008409E8">
        <w:trPr>
          <w:jc w:val="center"/>
        </w:trPr>
        <w:tc>
          <w:tcPr>
            <w:tcW w:w="601" w:type="dxa"/>
          </w:tcPr>
          <w:p w14:paraId="3D2BEE4A" w14:textId="77777777" w:rsidR="000D485A" w:rsidRPr="00300B3C" w:rsidRDefault="000D485A" w:rsidP="000D485A">
            <w:pPr>
              <w:rPr>
                <w:rFonts w:cs="Times New Roman"/>
                <w:sz w:val="22"/>
              </w:rPr>
            </w:pPr>
            <w:r w:rsidRPr="00300B3C">
              <w:rPr>
                <w:rFonts w:cs="Times New Roman"/>
                <w:sz w:val="22"/>
              </w:rPr>
              <w:t>16.1</w:t>
            </w:r>
          </w:p>
        </w:tc>
        <w:tc>
          <w:tcPr>
            <w:tcW w:w="4945" w:type="dxa"/>
          </w:tcPr>
          <w:p w14:paraId="3D2BEE4B" w14:textId="35E34D53" w:rsidR="000D485A" w:rsidRPr="00300B3C" w:rsidRDefault="000D485A" w:rsidP="000D485A">
            <w:pPr>
              <w:rPr>
                <w:rFonts w:cs="Times New Roman"/>
                <w:sz w:val="22"/>
              </w:rPr>
            </w:pPr>
            <w:r w:rsidRPr="00300B3C">
              <w:rPr>
                <w:rFonts w:cs="Times New Roman"/>
                <w:sz w:val="22"/>
              </w:rPr>
              <w:t xml:space="preserve">Standartizuotas </w:t>
            </w:r>
            <w:bookmarkStart w:id="9" w:name="_Hlk59400842"/>
            <w:r w:rsidRPr="00300B3C">
              <w:rPr>
                <w:rFonts w:cs="Times New Roman"/>
                <w:sz w:val="22"/>
              </w:rPr>
              <w:t>mirtingum</w:t>
            </w:r>
            <w:r w:rsidR="00210133">
              <w:rPr>
                <w:rFonts w:cs="Times New Roman"/>
                <w:sz w:val="22"/>
              </w:rPr>
              <w:t>o</w:t>
            </w:r>
            <w:r w:rsidRPr="00300B3C">
              <w:rPr>
                <w:rFonts w:cs="Times New Roman"/>
                <w:sz w:val="22"/>
              </w:rPr>
              <w:t xml:space="preserve"> dėl atsitiktinio paskendimo </w:t>
            </w:r>
            <w:bookmarkEnd w:id="9"/>
            <w:r w:rsidRPr="00300B3C">
              <w:rPr>
                <w:rFonts w:cs="Times New Roman"/>
                <w:sz w:val="22"/>
              </w:rPr>
              <w:t xml:space="preserve">(W65-W74) </w:t>
            </w:r>
            <w:r w:rsidR="004F72ED">
              <w:rPr>
                <w:rFonts w:cs="Times New Roman"/>
                <w:sz w:val="22"/>
              </w:rPr>
              <w:t xml:space="preserve">rodiklis </w:t>
            </w:r>
            <w:r w:rsidRPr="00300B3C">
              <w:rPr>
                <w:rFonts w:cs="Times New Roman"/>
                <w:sz w:val="22"/>
              </w:rPr>
              <w:t>100 000 gyv.</w:t>
            </w:r>
          </w:p>
        </w:tc>
        <w:tc>
          <w:tcPr>
            <w:tcW w:w="1787" w:type="dxa"/>
            <w:vAlign w:val="center"/>
          </w:tcPr>
          <w:p w14:paraId="3D2BEE4C" w14:textId="68B2A4AB" w:rsidR="000D485A" w:rsidRPr="00300B3C" w:rsidRDefault="000D485A" w:rsidP="000D485A">
            <w:pPr>
              <w:jc w:val="center"/>
              <w:rPr>
                <w:rFonts w:cs="Times New Roman"/>
                <w:sz w:val="22"/>
              </w:rPr>
            </w:pPr>
            <w:r w:rsidRPr="00300B3C">
              <w:rPr>
                <w:rFonts w:cs="Times New Roman"/>
                <w:sz w:val="22"/>
              </w:rPr>
              <w:t>2,3</w:t>
            </w:r>
          </w:p>
        </w:tc>
        <w:tc>
          <w:tcPr>
            <w:tcW w:w="1787" w:type="dxa"/>
            <w:vAlign w:val="center"/>
          </w:tcPr>
          <w:p w14:paraId="3D2BEE4D" w14:textId="29431A3C" w:rsidR="000D485A" w:rsidRPr="00300B3C" w:rsidRDefault="00CF430F" w:rsidP="000D485A">
            <w:pPr>
              <w:jc w:val="center"/>
              <w:rPr>
                <w:rFonts w:cs="Times New Roman"/>
                <w:sz w:val="22"/>
              </w:rPr>
            </w:pPr>
            <w:r>
              <w:rPr>
                <w:rFonts w:cs="Times New Roman"/>
                <w:sz w:val="22"/>
              </w:rPr>
              <w:t>3,7</w:t>
            </w:r>
            <w:r w:rsidR="00766FBC">
              <w:rPr>
                <w:rFonts w:cs="Times New Roman"/>
                <w:sz w:val="22"/>
              </w:rPr>
              <w:t xml:space="preserve"> </w:t>
            </w:r>
            <w:r w:rsidR="00766FBC" w:rsidRPr="00500250">
              <w:rPr>
                <w:rFonts w:cs="Times New Roman"/>
                <w:b/>
                <w:bCs/>
                <w:color w:val="FF0000"/>
                <w:sz w:val="22"/>
              </w:rPr>
              <w:t>↑</w:t>
            </w:r>
          </w:p>
        </w:tc>
        <w:tc>
          <w:tcPr>
            <w:tcW w:w="1257" w:type="dxa"/>
            <w:vAlign w:val="center"/>
          </w:tcPr>
          <w:p w14:paraId="3D2BEE4E" w14:textId="302FCEFF" w:rsidR="000D485A" w:rsidRPr="00300B3C" w:rsidRDefault="00CF430F" w:rsidP="000D485A">
            <w:pPr>
              <w:jc w:val="center"/>
              <w:rPr>
                <w:rFonts w:cs="Times New Roman"/>
                <w:sz w:val="22"/>
              </w:rPr>
            </w:pPr>
            <w:r>
              <w:rPr>
                <w:rFonts w:cs="Times New Roman"/>
                <w:sz w:val="22"/>
              </w:rPr>
              <w:t>4,8</w:t>
            </w:r>
          </w:p>
        </w:tc>
        <w:tc>
          <w:tcPr>
            <w:tcW w:w="1257" w:type="dxa"/>
            <w:vAlign w:val="center"/>
          </w:tcPr>
          <w:p w14:paraId="3D2BEE4F" w14:textId="702BB44E" w:rsidR="000D485A" w:rsidRPr="00300B3C" w:rsidRDefault="008409E8" w:rsidP="000D485A">
            <w:pPr>
              <w:jc w:val="center"/>
              <w:rPr>
                <w:rFonts w:cs="Times New Roman"/>
                <w:sz w:val="22"/>
              </w:rPr>
            </w:pPr>
            <w:r>
              <w:rPr>
                <w:rFonts w:cs="Times New Roman"/>
                <w:sz w:val="22"/>
              </w:rPr>
              <w:t>0,0</w:t>
            </w:r>
          </w:p>
        </w:tc>
        <w:tc>
          <w:tcPr>
            <w:tcW w:w="1259" w:type="dxa"/>
            <w:vAlign w:val="center"/>
          </w:tcPr>
          <w:p w14:paraId="3D2BEE50" w14:textId="715FFCD1" w:rsidR="000D485A" w:rsidRPr="00300B3C" w:rsidRDefault="008409E8" w:rsidP="000D485A">
            <w:pPr>
              <w:jc w:val="center"/>
              <w:rPr>
                <w:rFonts w:cs="Times New Roman"/>
                <w:sz w:val="22"/>
              </w:rPr>
            </w:pPr>
            <w:r>
              <w:rPr>
                <w:rFonts w:cs="Times New Roman"/>
                <w:sz w:val="22"/>
              </w:rPr>
              <w:t>25,2</w:t>
            </w:r>
          </w:p>
        </w:tc>
        <w:tc>
          <w:tcPr>
            <w:tcW w:w="1885" w:type="dxa"/>
            <w:shd w:val="clear" w:color="auto" w:fill="FFFF00"/>
            <w:vAlign w:val="center"/>
          </w:tcPr>
          <w:p w14:paraId="3D2BEE51" w14:textId="252635F4" w:rsidR="000D485A" w:rsidRPr="00300B3C" w:rsidRDefault="008409E8" w:rsidP="000D485A">
            <w:pPr>
              <w:jc w:val="center"/>
              <w:rPr>
                <w:rFonts w:cs="Times New Roman"/>
                <w:sz w:val="22"/>
              </w:rPr>
            </w:pPr>
            <w:r>
              <w:rPr>
                <w:rFonts w:cs="Times New Roman"/>
                <w:sz w:val="22"/>
              </w:rPr>
              <w:t>0,77</w:t>
            </w:r>
          </w:p>
        </w:tc>
      </w:tr>
      <w:tr w:rsidR="000D485A" w:rsidRPr="00300B3C" w14:paraId="3D2BEE5B" w14:textId="77777777" w:rsidTr="00986C25">
        <w:trPr>
          <w:jc w:val="center"/>
        </w:trPr>
        <w:tc>
          <w:tcPr>
            <w:tcW w:w="601" w:type="dxa"/>
          </w:tcPr>
          <w:p w14:paraId="3D2BEE53" w14:textId="77777777" w:rsidR="000D485A" w:rsidRPr="00300B3C" w:rsidRDefault="000D485A" w:rsidP="000D485A">
            <w:pPr>
              <w:rPr>
                <w:rFonts w:cs="Times New Roman"/>
                <w:sz w:val="22"/>
              </w:rPr>
            </w:pPr>
            <w:r w:rsidRPr="00300B3C">
              <w:rPr>
                <w:rFonts w:cs="Times New Roman"/>
                <w:sz w:val="22"/>
              </w:rPr>
              <w:t>17.</w:t>
            </w:r>
          </w:p>
        </w:tc>
        <w:tc>
          <w:tcPr>
            <w:tcW w:w="4945" w:type="dxa"/>
          </w:tcPr>
          <w:p w14:paraId="3D2BEE54" w14:textId="08CE32D5" w:rsidR="000D485A" w:rsidRPr="00300B3C" w:rsidRDefault="000D485A" w:rsidP="000D485A">
            <w:pPr>
              <w:rPr>
                <w:rFonts w:cs="Times New Roman"/>
                <w:sz w:val="22"/>
              </w:rPr>
            </w:pPr>
            <w:r w:rsidRPr="00300B3C">
              <w:rPr>
                <w:rFonts w:cs="Times New Roman"/>
                <w:sz w:val="22"/>
              </w:rPr>
              <w:t>Mirtingumas dėl nukritimo</w:t>
            </w:r>
            <w:r w:rsidR="00210133">
              <w:rPr>
                <w:rFonts w:cs="Times New Roman"/>
                <w:sz w:val="22"/>
              </w:rPr>
              <w:t xml:space="preserve"> </w:t>
            </w:r>
            <w:r w:rsidRPr="00300B3C">
              <w:rPr>
                <w:rFonts w:cs="Times New Roman"/>
                <w:sz w:val="22"/>
              </w:rPr>
              <w:t>(W00-W19) 100 000 gyv.</w:t>
            </w:r>
          </w:p>
        </w:tc>
        <w:tc>
          <w:tcPr>
            <w:tcW w:w="1787" w:type="dxa"/>
            <w:vAlign w:val="center"/>
          </w:tcPr>
          <w:p w14:paraId="3D2BEE55" w14:textId="252CFD5D" w:rsidR="000D485A" w:rsidRPr="00300B3C" w:rsidRDefault="000D485A" w:rsidP="000D485A">
            <w:pPr>
              <w:jc w:val="center"/>
              <w:rPr>
                <w:rFonts w:cs="Times New Roman"/>
                <w:sz w:val="22"/>
              </w:rPr>
            </w:pPr>
            <w:r w:rsidRPr="00300B3C">
              <w:rPr>
                <w:rFonts w:cs="Times New Roman"/>
                <w:sz w:val="22"/>
              </w:rPr>
              <w:t>17,4</w:t>
            </w:r>
          </w:p>
        </w:tc>
        <w:tc>
          <w:tcPr>
            <w:tcW w:w="1787" w:type="dxa"/>
            <w:vAlign w:val="center"/>
          </w:tcPr>
          <w:p w14:paraId="3D2BEE56" w14:textId="7188CD3D" w:rsidR="000D485A" w:rsidRPr="00300B3C" w:rsidRDefault="00FD4136" w:rsidP="000D485A">
            <w:pPr>
              <w:jc w:val="center"/>
              <w:rPr>
                <w:rFonts w:cs="Times New Roman"/>
                <w:sz w:val="22"/>
              </w:rPr>
            </w:pPr>
            <w:r>
              <w:rPr>
                <w:rFonts w:cs="Times New Roman"/>
                <w:sz w:val="22"/>
              </w:rPr>
              <w:t>16,0</w:t>
            </w:r>
            <w:r w:rsidR="00766FBC">
              <w:rPr>
                <w:rFonts w:cs="Times New Roman"/>
                <w:sz w:val="22"/>
              </w:rPr>
              <w:t xml:space="preserve"> </w:t>
            </w:r>
            <w:r w:rsidR="00B52116" w:rsidRPr="00880C89">
              <w:rPr>
                <w:rFonts w:cs="Times New Roman"/>
                <w:b/>
                <w:bCs/>
                <w:color w:val="00B050"/>
                <w:sz w:val="22"/>
              </w:rPr>
              <w:t>↓</w:t>
            </w:r>
          </w:p>
        </w:tc>
        <w:tc>
          <w:tcPr>
            <w:tcW w:w="1257" w:type="dxa"/>
            <w:vAlign w:val="center"/>
          </w:tcPr>
          <w:p w14:paraId="3D2BEE57" w14:textId="55A5B950" w:rsidR="000D485A" w:rsidRPr="00300B3C" w:rsidRDefault="00FD4136" w:rsidP="000D485A">
            <w:pPr>
              <w:jc w:val="center"/>
              <w:rPr>
                <w:rFonts w:cs="Times New Roman"/>
                <w:sz w:val="22"/>
              </w:rPr>
            </w:pPr>
            <w:r>
              <w:rPr>
                <w:rFonts w:cs="Times New Roman"/>
                <w:sz w:val="22"/>
              </w:rPr>
              <w:t>15,2</w:t>
            </w:r>
          </w:p>
        </w:tc>
        <w:tc>
          <w:tcPr>
            <w:tcW w:w="1257" w:type="dxa"/>
            <w:vAlign w:val="center"/>
          </w:tcPr>
          <w:p w14:paraId="3D2BEE58" w14:textId="0B0625B3" w:rsidR="000D485A" w:rsidRPr="00300B3C" w:rsidRDefault="00FD4136" w:rsidP="000D485A">
            <w:pPr>
              <w:jc w:val="center"/>
              <w:rPr>
                <w:rFonts w:cs="Times New Roman"/>
                <w:sz w:val="22"/>
              </w:rPr>
            </w:pPr>
            <w:r>
              <w:rPr>
                <w:rFonts w:cs="Times New Roman"/>
                <w:sz w:val="22"/>
              </w:rPr>
              <w:t>0,0</w:t>
            </w:r>
          </w:p>
        </w:tc>
        <w:tc>
          <w:tcPr>
            <w:tcW w:w="1259" w:type="dxa"/>
            <w:vAlign w:val="center"/>
          </w:tcPr>
          <w:p w14:paraId="3D2BEE59" w14:textId="522B129D" w:rsidR="000D485A" w:rsidRPr="00300B3C" w:rsidRDefault="00FD4136" w:rsidP="000D485A">
            <w:pPr>
              <w:jc w:val="center"/>
              <w:rPr>
                <w:rFonts w:cs="Times New Roman"/>
                <w:sz w:val="22"/>
              </w:rPr>
            </w:pPr>
            <w:r>
              <w:rPr>
                <w:rFonts w:cs="Times New Roman"/>
                <w:sz w:val="22"/>
              </w:rPr>
              <w:t>58,1</w:t>
            </w:r>
          </w:p>
        </w:tc>
        <w:tc>
          <w:tcPr>
            <w:tcW w:w="1885" w:type="dxa"/>
            <w:shd w:val="clear" w:color="auto" w:fill="FFFF00"/>
            <w:vAlign w:val="center"/>
          </w:tcPr>
          <w:p w14:paraId="3D2BEE5A" w14:textId="593E074A" w:rsidR="000D485A" w:rsidRPr="00300B3C" w:rsidRDefault="00986C25" w:rsidP="000D485A">
            <w:pPr>
              <w:jc w:val="center"/>
              <w:rPr>
                <w:rFonts w:cs="Times New Roman"/>
                <w:sz w:val="22"/>
              </w:rPr>
            </w:pPr>
            <w:r>
              <w:rPr>
                <w:rFonts w:cs="Times New Roman"/>
                <w:sz w:val="22"/>
              </w:rPr>
              <w:t>1,05</w:t>
            </w:r>
          </w:p>
        </w:tc>
      </w:tr>
      <w:tr w:rsidR="000D485A" w:rsidRPr="00300B3C" w14:paraId="3D2BEE64" w14:textId="77777777" w:rsidTr="0034571B">
        <w:trPr>
          <w:jc w:val="center"/>
        </w:trPr>
        <w:tc>
          <w:tcPr>
            <w:tcW w:w="601" w:type="dxa"/>
          </w:tcPr>
          <w:p w14:paraId="3D2BEE5C" w14:textId="77777777" w:rsidR="000D485A" w:rsidRPr="00300B3C" w:rsidRDefault="000D485A" w:rsidP="000D485A">
            <w:pPr>
              <w:rPr>
                <w:rFonts w:cs="Times New Roman"/>
                <w:sz w:val="22"/>
              </w:rPr>
            </w:pPr>
            <w:r w:rsidRPr="00300B3C">
              <w:rPr>
                <w:rFonts w:cs="Times New Roman"/>
                <w:sz w:val="22"/>
              </w:rPr>
              <w:t>17.1</w:t>
            </w:r>
          </w:p>
        </w:tc>
        <w:tc>
          <w:tcPr>
            <w:tcW w:w="4945" w:type="dxa"/>
          </w:tcPr>
          <w:p w14:paraId="3D2BEE5D" w14:textId="0983C865" w:rsidR="000D485A" w:rsidRPr="00300B3C" w:rsidRDefault="000D485A" w:rsidP="000D485A">
            <w:pPr>
              <w:rPr>
                <w:rFonts w:cs="Times New Roman"/>
                <w:sz w:val="22"/>
              </w:rPr>
            </w:pPr>
            <w:r w:rsidRPr="00300B3C">
              <w:rPr>
                <w:rFonts w:cs="Times New Roman"/>
                <w:sz w:val="22"/>
              </w:rPr>
              <w:t>Standartizuotas mirtingum</w:t>
            </w:r>
            <w:r w:rsidR="000808FA">
              <w:rPr>
                <w:rFonts w:cs="Times New Roman"/>
                <w:sz w:val="22"/>
              </w:rPr>
              <w:t>o</w:t>
            </w:r>
            <w:r w:rsidRPr="00300B3C">
              <w:rPr>
                <w:rFonts w:cs="Times New Roman"/>
                <w:sz w:val="22"/>
              </w:rPr>
              <w:t xml:space="preserve"> dėl nukritimo</w:t>
            </w:r>
            <w:r w:rsidR="000808FA">
              <w:rPr>
                <w:rFonts w:cs="Times New Roman"/>
                <w:sz w:val="22"/>
              </w:rPr>
              <w:t xml:space="preserve"> </w:t>
            </w:r>
            <w:r w:rsidRPr="00300B3C">
              <w:rPr>
                <w:rFonts w:cs="Times New Roman"/>
                <w:sz w:val="22"/>
              </w:rPr>
              <w:t xml:space="preserve">(W00-W19) </w:t>
            </w:r>
            <w:r w:rsidR="008742D7">
              <w:rPr>
                <w:rFonts w:cs="Times New Roman"/>
                <w:sz w:val="22"/>
              </w:rPr>
              <w:t>rodiklis</w:t>
            </w:r>
            <w:r w:rsidR="004F72ED">
              <w:rPr>
                <w:rFonts w:cs="Times New Roman"/>
                <w:sz w:val="22"/>
              </w:rPr>
              <w:t xml:space="preserve"> </w:t>
            </w:r>
            <w:r w:rsidRPr="00300B3C">
              <w:rPr>
                <w:rFonts w:cs="Times New Roman"/>
                <w:sz w:val="22"/>
              </w:rPr>
              <w:t>100 000 gyv.</w:t>
            </w:r>
          </w:p>
        </w:tc>
        <w:tc>
          <w:tcPr>
            <w:tcW w:w="1787" w:type="dxa"/>
            <w:vAlign w:val="center"/>
          </w:tcPr>
          <w:p w14:paraId="3D2BEE5E" w14:textId="152B1452" w:rsidR="000D485A" w:rsidRPr="00AF5DE3" w:rsidRDefault="000D485A" w:rsidP="000D485A">
            <w:pPr>
              <w:jc w:val="center"/>
              <w:rPr>
                <w:rFonts w:cs="Times New Roman"/>
                <w:sz w:val="22"/>
              </w:rPr>
            </w:pPr>
            <w:r w:rsidRPr="00300B3C">
              <w:rPr>
                <w:rFonts w:cs="Times New Roman"/>
                <w:sz w:val="22"/>
              </w:rPr>
              <w:t>16,0</w:t>
            </w:r>
          </w:p>
        </w:tc>
        <w:tc>
          <w:tcPr>
            <w:tcW w:w="1787" w:type="dxa"/>
            <w:vAlign w:val="center"/>
          </w:tcPr>
          <w:p w14:paraId="3D2BEE5F" w14:textId="5223958D" w:rsidR="000D485A" w:rsidRPr="00300B3C" w:rsidRDefault="003E4663" w:rsidP="000D485A">
            <w:pPr>
              <w:jc w:val="center"/>
              <w:rPr>
                <w:rFonts w:cs="Times New Roman"/>
                <w:sz w:val="22"/>
              </w:rPr>
            </w:pPr>
            <w:r>
              <w:rPr>
                <w:rFonts w:cs="Times New Roman"/>
                <w:sz w:val="22"/>
              </w:rPr>
              <w:t>14,9</w:t>
            </w:r>
            <w:r w:rsidR="00B52116">
              <w:rPr>
                <w:rFonts w:cs="Times New Roman"/>
                <w:sz w:val="22"/>
              </w:rPr>
              <w:t xml:space="preserve"> </w:t>
            </w:r>
            <w:r w:rsidR="00B52116" w:rsidRPr="00880C89">
              <w:rPr>
                <w:rFonts w:cs="Times New Roman"/>
                <w:b/>
                <w:bCs/>
                <w:color w:val="00B050"/>
                <w:sz w:val="22"/>
              </w:rPr>
              <w:t>↓</w:t>
            </w:r>
          </w:p>
        </w:tc>
        <w:tc>
          <w:tcPr>
            <w:tcW w:w="1257" w:type="dxa"/>
            <w:vAlign w:val="center"/>
          </w:tcPr>
          <w:p w14:paraId="3D2BEE60" w14:textId="1A22598F" w:rsidR="000D485A" w:rsidRPr="00300B3C" w:rsidRDefault="003E4663" w:rsidP="000D485A">
            <w:pPr>
              <w:jc w:val="center"/>
              <w:rPr>
                <w:rFonts w:cs="Times New Roman"/>
                <w:sz w:val="22"/>
              </w:rPr>
            </w:pPr>
            <w:r>
              <w:rPr>
                <w:rFonts w:cs="Times New Roman"/>
                <w:sz w:val="22"/>
              </w:rPr>
              <w:t>15,2</w:t>
            </w:r>
          </w:p>
        </w:tc>
        <w:tc>
          <w:tcPr>
            <w:tcW w:w="1257" w:type="dxa"/>
            <w:vAlign w:val="center"/>
          </w:tcPr>
          <w:p w14:paraId="3D2BEE61" w14:textId="7C2CDE69" w:rsidR="000D485A" w:rsidRPr="00300B3C" w:rsidRDefault="004367FB" w:rsidP="000D485A">
            <w:pPr>
              <w:jc w:val="center"/>
              <w:rPr>
                <w:rFonts w:cs="Times New Roman"/>
                <w:sz w:val="22"/>
              </w:rPr>
            </w:pPr>
            <w:r>
              <w:rPr>
                <w:rFonts w:cs="Times New Roman"/>
                <w:sz w:val="22"/>
              </w:rPr>
              <w:t>0,0</w:t>
            </w:r>
          </w:p>
        </w:tc>
        <w:tc>
          <w:tcPr>
            <w:tcW w:w="1259" w:type="dxa"/>
            <w:vAlign w:val="center"/>
          </w:tcPr>
          <w:p w14:paraId="3D2BEE62" w14:textId="01FA4638" w:rsidR="000D485A" w:rsidRPr="00300B3C" w:rsidRDefault="004367FB" w:rsidP="000D485A">
            <w:pPr>
              <w:jc w:val="center"/>
              <w:rPr>
                <w:rFonts w:cs="Times New Roman"/>
                <w:sz w:val="22"/>
              </w:rPr>
            </w:pPr>
            <w:r>
              <w:rPr>
                <w:rFonts w:cs="Times New Roman"/>
                <w:sz w:val="22"/>
              </w:rPr>
              <w:t>123,5</w:t>
            </w:r>
          </w:p>
        </w:tc>
        <w:tc>
          <w:tcPr>
            <w:tcW w:w="1885" w:type="dxa"/>
            <w:shd w:val="clear" w:color="auto" w:fill="FFFF00"/>
            <w:vAlign w:val="center"/>
          </w:tcPr>
          <w:p w14:paraId="3D2BEE63" w14:textId="65D898E8" w:rsidR="000D485A" w:rsidRPr="00300B3C" w:rsidRDefault="004367FB" w:rsidP="000D485A">
            <w:pPr>
              <w:jc w:val="center"/>
              <w:rPr>
                <w:rFonts w:cs="Times New Roman"/>
                <w:sz w:val="22"/>
              </w:rPr>
            </w:pPr>
            <w:r>
              <w:rPr>
                <w:rFonts w:cs="Times New Roman"/>
                <w:sz w:val="22"/>
              </w:rPr>
              <w:t>0,98</w:t>
            </w:r>
          </w:p>
        </w:tc>
      </w:tr>
      <w:tr w:rsidR="000D485A" w:rsidRPr="00300B3C" w14:paraId="3D2BEE66" w14:textId="77777777" w:rsidTr="008D69C7">
        <w:trPr>
          <w:jc w:val="center"/>
        </w:trPr>
        <w:tc>
          <w:tcPr>
            <w:tcW w:w="14778" w:type="dxa"/>
            <w:gridSpan w:val="8"/>
            <w:shd w:val="clear" w:color="auto" w:fill="D6E3BC" w:themeFill="accent3" w:themeFillTint="66"/>
          </w:tcPr>
          <w:p w14:paraId="3D2BEE65" w14:textId="77777777" w:rsidR="000D485A" w:rsidRPr="00AF5DE3" w:rsidRDefault="000D485A" w:rsidP="000D485A">
            <w:pPr>
              <w:jc w:val="center"/>
              <w:rPr>
                <w:rFonts w:cs="Times New Roman"/>
                <w:sz w:val="22"/>
              </w:rPr>
            </w:pPr>
            <w:r w:rsidRPr="00AF5DE3">
              <w:rPr>
                <w:rFonts w:cs="Times New Roman"/>
                <w:sz w:val="22"/>
              </w:rPr>
              <w:t>2.3 Mažinti avaringumą ir traumų kelių eismo įvykiuose skaičių</w:t>
            </w:r>
          </w:p>
        </w:tc>
      </w:tr>
      <w:tr w:rsidR="000D485A" w:rsidRPr="00300B3C" w14:paraId="3D2BEE6F" w14:textId="77777777" w:rsidTr="00FD6D3A">
        <w:trPr>
          <w:jc w:val="center"/>
        </w:trPr>
        <w:tc>
          <w:tcPr>
            <w:tcW w:w="601" w:type="dxa"/>
          </w:tcPr>
          <w:p w14:paraId="3D2BEE67" w14:textId="77777777" w:rsidR="000D485A" w:rsidRPr="00300B3C" w:rsidRDefault="000D485A" w:rsidP="000D485A">
            <w:pPr>
              <w:rPr>
                <w:rFonts w:cs="Times New Roman"/>
                <w:sz w:val="22"/>
              </w:rPr>
            </w:pPr>
            <w:r w:rsidRPr="00300B3C">
              <w:rPr>
                <w:rFonts w:cs="Times New Roman"/>
                <w:sz w:val="22"/>
              </w:rPr>
              <w:t>18.</w:t>
            </w:r>
          </w:p>
        </w:tc>
        <w:tc>
          <w:tcPr>
            <w:tcW w:w="4945" w:type="dxa"/>
          </w:tcPr>
          <w:p w14:paraId="3D2BEE68" w14:textId="77777777" w:rsidR="000D485A" w:rsidRPr="00300B3C" w:rsidRDefault="000D485A" w:rsidP="000D485A">
            <w:pPr>
              <w:rPr>
                <w:rFonts w:cs="Times New Roman"/>
                <w:sz w:val="22"/>
              </w:rPr>
            </w:pPr>
            <w:r w:rsidRPr="00300B3C">
              <w:rPr>
                <w:rFonts w:cs="Times New Roman"/>
                <w:sz w:val="22"/>
              </w:rPr>
              <w:t>Mirtingumas dėl transporto įvykių (V00-V99) 100 000 gyv.</w:t>
            </w:r>
          </w:p>
        </w:tc>
        <w:tc>
          <w:tcPr>
            <w:tcW w:w="1787" w:type="dxa"/>
            <w:vAlign w:val="center"/>
          </w:tcPr>
          <w:p w14:paraId="3D2BEE69" w14:textId="42181018" w:rsidR="000D485A" w:rsidRPr="00300B3C" w:rsidRDefault="000D485A" w:rsidP="000D485A">
            <w:pPr>
              <w:jc w:val="center"/>
              <w:rPr>
                <w:rFonts w:cs="Times New Roman"/>
                <w:sz w:val="22"/>
              </w:rPr>
            </w:pPr>
            <w:r w:rsidRPr="00300B3C">
              <w:rPr>
                <w:rFonts w:cs="Times New Roman"/>
                <w:sz w:val="22"/>
              </w:rPr>
              <w:t>7,0</w:t>
            </w:r>
          </w:p>
        </w:tc>
        <w:tc>
          <w:tcPr>
            <w:tcW w:w="1787" w:type="dxa"/>
            <w:vAlign w:val="center"/>
          </w:tcPr>
          <w:p w14:paraId="3D2BEE6A" w14:textId="4F712ADD" w:rsidR="000D485A" w:rsidRPr="00300B3C" w:rsidRDefault="0034571B" w:rsidP="000D485A">
            <w:pPr>
              <w:jc w:val="center"/>
              <w:rPr>
                <w:rFonts w:cs="Times New Roman"/>
                <w:sz w:val="22"/>
              </w:rPr>
            </w:pPr>
            <w:r>
              <w:rPr>
                <w:rFonts w:cs="Times New Roman"/>
                <w:sz w:val="22"/>
              </w:rPr>
              <w:t>4,9</w:t>
            </w:r>
            <w:r w:rsidR="00B52116">
              <w:rPr>
                <w:rFonts w:cs="Times New Roman"/>
                <w:sz w:val="22"/>
              </w:rPr>
              <w:t xml:space="preserve"> </w:t>
            </w:r>
            <w:r w:rsidR="00B52116" w:rsidRPr="00880C89">
              <w:rPr>
                <w:rFonts w:cs="Times New Roman"/>
                <w:b/>
                <w:bCs/>
                <w:color w:val="00B050"/>
                <w:sz w:val="22"/>
              </w:rPr>
              <w:t>↓</w:t>
            </w:r>
          </w:p>
        </w:tc>
        <w:tc>
          <w:tcPr>
            <w:tcW w:w="1257" w:type="dxa"/>
            <w:vAlign w:val="center"/>
          </w:tcPr>
          <w:p w14:paraId="3D2BEE6B" w14:textId="4EBAFBF7" w:rsidR="000D485A" w:rsidRPr="00300B3C" w:rsidRDefault="0034571B" w:rsidP="000D485A">
            <w:pPr>
              <w:jc w:val="center"/>
              <w:rPr>
                <w:rFonts w:cs="Times New Roman"/>
                <w:sz w:val="22"/>
              </w:rPr>
            </w:pPr>
            <w:r>
              <w:rPr>
                <w:rFonts w:cs="Times New Roman"/>
                <w:sz w:val="22"/>
              </w:rPr>
              <w:t>7,7</w:t>
            </w:r>
          </w:p>
        </w:tc>
        <w:tc>
          <w:tcPr>
            <w:tcW w:w="1257" w:type="dxa"/>
            <w:vAlign w:val="center"/>
          </w:tcPr>
          <w:p w14:paraId="3D2BEE6C" w14:textId="095B4A02" w:rsidR="000D485A" w:rsidRPr="00300B3C" w:rsidRDefault="00FD6D3A" w:rsidP="000D485A">
            <w:pPr>
              <w:jc w:val="center"/>
              <w:rPr>
                <w:rFonts w:cs="Times New Roman"/>
                <w:sz w:val="22"/>
              </w:rPr>
            </w:pPr>
            <w:r>
              <w:rPr>
                <w:rFonts w:cs="Times New Roman"/>
                <w:sz w:val="22"/>
              </w:rPr>
              <w:t>0,0</w:t>
            </w:r>
          </w:p>
        </w:tc>
        <w:tc>
          <w:tcPr>
            <w:tcW w:w="1259" w:type="dxa"/>
            <w:vAlign w:val="center"/>
          </w:tcPr>
          <w:p w14:paraId="3D2BEE6D" w14:textId="1D99EBED" w:rsidR="000D485A" w:rsidRPr="00300B3C" w:rsidRDefault="00FD6D3A" w:rsidP="000D485A">
            <w:pPr>
              <w:jc w:val="center"/>
              <w:rPr>
                <w:rFonts w:cs="Times New Roman"/>
                <w:sz w:val="22"/>
              </w:rPr>
            </w:pPr>
            <w:r>
              <w:rPr>
                <w:rFonts w:cs="Times New Roman"/>
                <w:sz w:val="22"/>
              </w:rPr>
              <w:t>29,1</w:t>
            </w:r>
          </w:p>
        </w:tc>
        <w:tc>
          <w:tcPr>
            <w:tcW w:w="1885" w:type="dxa"/>
            <w:shd w:val="clear" w:color="auto" w:fill="FFFF00"/>
            <w:vAlign w:val="center"/>
          </w:tcPr>
          <w:p w14:paraId="3D2BEE6E" w14:textId="192F1186" w:rsidR="000D485A" w:rsidRPr="00300B3C" w:rsidRDefault="00FD6D3A" w:rsidP="000D485A">
            <w:pPr>
              <w:jc w:val="center"/>
              <w:rPr>
                <w:rFonts w:cs="Times New Roman"/>
                <w:sz w:val="22"/>
              </w:rPr>
            </w:pPr>
            <w:r>
              <w:rPr>
                <w:rFonts w:cs="Times New Roman"/>
                <w:sz w:val="22"/>
              </w:rPr>
              <w:t>0,64</w:t>
            </w:r>
          </w:p>
        </w:tc>
      </w:tr>
      <w:tr w:rsidR="000D485A" w:rsidRPr="00300B3C" w14:paraId="3D2BEE78" w14:textId="77777777" w:rsidTr="00C50787">
        <w:trPr>
          <w:jc w:val="center"/>
        </w:trPr>
        <w:tc>
          <w:tcPr>
            <w:tcW w:w="601" w:type="dxa"/>
          </w:tcPr>
          <w:p w14:paraId="3D2BEE70" w14:textId="77777777" w:rsidR="000D485A" w:rsidRPr="00300B3C" w:rsidRDefault="000D485A" w:rsidP="000D485A">
            <w:pPr>
              <w:rPr>
                <w:rFonts w:cs="Times New Roman"/>
                <w:sz w:val="22"/>
              </w:rPr>
            </w:pPr>
            <w:r w:rsidRPr="00300B3C">
              <w:rPr>
                <w:rFonts w:cs="Times New Roman"/>
                <w:sz w:val="22"/>
              </w:rPr>
              <w:t>18.1</w:t>
            </w:r>
          </w:p>
        </w:tc>
        <w:tc>
          <w:tcPr>
            <w:tcW w:w="4945" w:type="dxa"/>
          </w:tcPr>
          <w:p w14:paraId="3D2BEE71" w14:textId="56730A2E" w:rsidR="000D485A" w:rsidRPr="00300B3C" w:rsidRDefault="000D485A" w:rsidP="000D485A">
            <w:pPr>
              <w:rPr>
                <w:rFonts w:cs="Times New Roman"/>
                <w:sz w:val="22"/>
              </w:rPr>
            </w:pPr>
            <w:r w:rsidRPr="00300B3C">
              <w:rPr>
                <w:rFonts w:cs="Times New Roman"/>
                <w:sz w:val="22"/>
              </w:rPr>
              <w:t>Standartizuotas mirtingum</w:t>
            </w:r>
            <w:r w:rsidR="000808FA">
              <w:rPr>
                <w:rFonts w:cs="Times New Roman"/>
                <w:sz w:val="22"/>
              </w:rPr>
              <w:t>o</w:t>
            </w:r>
            <w:r w:rsidRPr="00300B3C">
              <w:rPr>
                <w:rFonts w:cs="Times New Roman"/>
                <w:sz w:val="22"/>
              </w:rPr>
              <w:t xml:space="preserve"> dėl transporto įvykių</w:t>
            </w:r>
            <w:r w:rsidR="004F72ED">
              <w:rPr>
                <w:rFonts w:cs="Times New Roman"/>
                <w:sz w:val="22"/>
              </w:rPr>
              <w:t xml:space="preserve"> </w:t>
            </w:r>
            <w:r w:rsidRPr="00300B3C">
              <w:rPr>
                <w:rFonts w:cs="Times New Roman"/>
                <w:sz w:val="22"/>
              </w:rPr>
              <w:t xml:space="preserve">(V00-V99) </w:t>
            </w:r>
            <w:r w:rsidR="004F72ED">
              <w:rPr>
                <w:rFonts w:cs="Times New Roman"/>
                <w:sz w:val="22"/>
              </w:rPr>
              <w:t xml:space="preserve">rodiklis </w:t>
            </w:r>
            <w:r w:rsidRPr="00300B3C">
              <w:rPr>
                <w:rFonts w:cs="Times New Roman"/>
                <w:sz w:val="22"/>
              </w:rPr>
              <w:t>100 000 gyv.</w:t>
            </w:r>
          </w:p>
        </w:tc>
        <w:tc>
          <w:tcPr>
            <w:tcW w:w="1787" w:type="dxa"/>
            <w:vAlign w:val="center"/>
          </w:tcPr>
          <w:p w14:paraId="3D2BEE72" w14:textId="7B7405D5" w:rsidR="000D485A" w:rsidRPr="00300B3C" w:rsidRDefault="000D485A" w:rsidP="000D485A">
            <w:pPr>
              <w:jc w:val="center"/>
              <w:rPr>
                <w:rFonts w:cs="Times New Roman"/>
                <w:sz w:val="22"/>
              </w:rPr>
            </w:pPr>
            <w:r w:rsidRPr="00300B3C">
              <w:rPr>
                <w:rFonts w:cs="Times New Roman"/>
                <w:sz w:val="22"/>
              </w:rPr>
              <w:t>6,9</w:t>
            </w:r>
          </w:p>
        </w:tc>
        <w:tc>
          <w:tcPr>
            <w:tcW w:w="1787" w:type="dxa"/>
            <w:vAlign w:val="center"/>
          </w:tcPr>
          <w:p w14:paraId="3D2BEE73" w14:textId="0F960D9E" w:rsidR="000D485A" w:rsidRPr="00300B3C" w:rsidRDefault="009B03B4" w:rsidP="000D485A">
            <w:pPr>
              <w:jc w:val="center"/>
              <w:rPr>
                <w:rFonts w:cs="Times New Roman"/>
                <w:sz w:val="22"/>
              </w:rPr>
            </w:pPr>
            <w:r>
              <w:rPr>
                <w:rFonts w:cs="Times New Roman"/>
                <w:sz w:val="22"/>
              </w:rPr>
              <w:t>4,8</w:t>
            </w:r>
            <w:r w:rsidR="00B52116">
              <w:rPr>
                <w:rFonts w:cs="Times New Roman"/>
                <w:sz w:val="22"/>
              </w:rPr>
              <w:t xml:space="preserve"> </w:t>
            </w:r>
            <w:r w:rsidR="00B52116" w:rsidRPr="00880C89">
              <w:rPr>
                <w:rFonts w:cs="Times New Roman"/>
                <w:b/>
                <w:bCs/>
                <w:color w:val="00B050"/>
                <w:sz w:val="22"/>
              </w:rPr>
              <w:t>↓</w:t>
            </w:r>
          </w:p>
        </w:tc>
        <w:tc>
          <w:tcPr>
            <w:tcW w:w="1257" w:type="dxa"/>
            <w:vAlign w:val="center"/>
          </w:tcPr>
          <w:p w14:paraId="3D2BEE74" w14:textId="607143BD" w:rsidR="000D485A" w:rsidRPr="00300B3C" w:rsidRDefault="009B03B4" w:rsidP="000D485A">
            <w:pPr>
              <w:jc w:val="center"/>
              <w:rPr>
                <w:rFonts w:cs="Times New Roman"/>
                <w:sz w:val="22"/>
              </w:rPr>
            </w:pPr>
            <w:r>
              <w:rPr>
                <w:rFonts w:cs="Times New Roman"/>
                <w:sz w:val="22"/>
              </w:rPr>
              <w:t>7,6</w:t>
            </w:r>
          </w:p>
        </w:tc>
        <w:tc>
          <w:tcPr>
            <w:tcW w:w="1257" w:type="dxa"/>
            <w:vAlign w:val="center"/>
          </w:tcPr>
          <w:p w14:paraId="3D2BEE75" w14:textId="46A3B83F" w:rsidR="000D485A" w:rsidRPr="00300B3C" w:rsidRDefault="00C50787" w:rsidP="000D485A">
            <w:pPr>
              <w:jc w:val="center"/>
              <w:rPr>
                <w:rFonts w:cs="Times New Roman"/>
                <w:sz w:val="22"/>
              </w:rPr>
            </w:pPr>
            <w:r>
              <w:rPr>
                <w:rFonts w:cs="Times New Roman"/>
                <w:sz w:val="22"/>
              </w:rPr>
              <w:t>0,0</w:t>
            </w:r>
          </w:p>
        </w:tc>
        <w:tc>
          <w:tcPr>
            <w:tcW w:w="1259" w:type="dxa"/>
            <w:vAlign w:val="center"/>
          </w:tcPr>
          <w:p w14:paraId="3D2BEE76" w14:textId="7D8A8E56" w:rsidR="000D485A" w:rsidRPr="00300B3C" w:rsidRDefault="00C50787" w:rsidP="000D485A">
            <w:pPr>
              <w:jc w:val="center"/>
              <w:rPr>
                <w:rFonts w:cs="Times New Roman"/>
                <w:sz w:val="22"/>
              </w:rPr>
            </w:pPr>
            <w:r>
              <w:rPr>
                <w:rFonts w:cs="Times New Roman"/>
                <w:sz w:val="22"/>
              </w:rPr>
              <w:t>58,9</w:t>
            </w:r>
          </w:p>
        </w:tc>
        <w:tc>
          <w:tcPr>
            <w:tcW w:w="1885" w:type="dxa"/>
            <w:shd w:val="clear" w:color="auto" w:fill="FFFF00"/>
            <w:vAlign w:val="center"/>
          </w:tcPr>
          <w:p w14:paraId="3D2BEE77" w14:textId="27CBDD60" w:rsidR="000D485A" w:rsidRPr="00300B3C" w:rsidRDefault="00C50787" w:rsidP="000D485A">
            <w:pPr>
              <w:jc w:val="center"/>
              <w:rPr>
                <w:rFonts w:cs="Times New Roman"/>
                <w:sz w:val="22"/>
              </w:rPr>
            </w:pPr>
            <w:r>
              <w:rPr>
                <w:rFonts w:cs="Times New Roman"/>
                <w:sz w:val="22"/>
              </w:rPr>
              <w:t>0,63</w:t>
            </w:r>
          </w:p>
        </w:tc>
      </w:tr>
      <w:tr w:rsidR="000D485A" w:rsidRPr="00300B3C" w14:paraId="3D2BEE81" w14:textId="77777777" w:rsidTr="002E20A6">
        <w:trPr>
          <w:jc w:val="center"/>
        </w:trPr>
        <w:tc>
          <w:tcPr>
            <w:tcW w:w="601" w:type="dxa"/>
          </w:tcPr>
          <w:p w14:paraId="3D2BEE79" w14:textId="77777777" w:rsidR="000D485A" w:rsidRPr="00300B3C" w:rsidRDefault="000D485A" w:rsidP="000D485A">
            <w:pPr>
              <w:rPr>
                <w:rFonts w:cs="Times New Roman"/>
                <w:sz w:val="22"/>
              </w:rPr>
            </w:pPr>
            <w:r w:rsidRPr="00300B3C">
              <w:rPr>
                <w:rFonts w:cs="Times New Roman"/>
                <w:sz w:val="22"/>
              </w:rPr>
              <w:t>19.</w:t>
            </w:r>
          </w:p>
        </w:tc>
        <w:tc>
          <w:tcPr>
            <w:tcW w:w="4945" w:type="dxa"/>
          </w:tcPr>
          <w:p w14:paraId="3D2BEE7A" w14:textId="77777777" w:rsidR="000D485A" w:rsidRPr="00300B3C" w:rsidRDefault="000D485A" w:rsidP="000D485A">
            <w:pPr>
              <w:rPr>
                <w:rFonts w:cs="Times New Roman"/>
                <w:sz w:val="22"/>
              </w:rPr>
            </w:pPr>
            <w:r w:rsidRPr="00300B3C">
              <w:rPr>
                <w:rFonts w:cs="Times New Roman"/>
                <w:sz w:val="22"/>
              </w:rPr>
              <w:t>Pėsčiųjų mirtingumas dėl transporto įvykių (V00-V09) 100 000 gyv.</w:t>
            </w:r>
          </w:p>
        </w:tc>
        <w:tc>
          <w:tcPr>
            <w:tcW w:w="1787" w:type="dxa"/>
            <w:vAlign w:val="center"/>
          </w:tcPr>
          <w:p w14:paraId="3D2BEE7B" w14:textId="738D2F90" w:rsidR="000D485A" w:rsidRPr="00300B3C" w:rsidRDefault="000D485A" w:rsidP="000D485A">
            <w:pPr>
              <w:jc w:val="center"/>
              <w:rPr>
                <w:rFonts w:cs="Times New Roman"/>
                <w:sz w:val="22"/>
              </w:rPr>
            </w:pPr>
            <w:r w:rsidRPr="00300B3C">
              <w:rPr>
                <w:rFonts w:cs="Times New Roman"/>
                <w:sz w:val="22"/>
              </w:rPr>
              <w:t>3,1</w:t>
            </w:r>
          </w:p>
        </w:tc>
        <w:tc>
          <w:tcPr>
            <w:tcW w:w="1787" w:type="dxa"/>
            <w:vAlign w:val="center"/>
          </w:tcPr>
          <w:p w14:paraId="3D2BEE7C" w14:textId="187570DD" w:rsidR="000D485A" w:rsidRPr="00300B3C" w:rsidRDefault="00084EA6" w:rsidP="000D485A">
            <w:pPr>
              <w:jc w:val="center"/>
              <w:rPr>
                <w:rFonts w:cs="Times New Roman"/>
                <w:sz w:val="22"/>
              </w:rPr>
            </w:pPr>
            <w:r>
              <w:rPr>
                <w:rFonts w:cs="Times New Roman"/>
                <w:sz w:val="22"/>
              </w:rPr>
              <w:t>2,4</w:t>
            </w:r>
            <w:r w:rsidR="00B52116">
              <w:rPr>
                <w:rFonts w:cs="Times New Roman"/>
                <w:sz w:val="22"/>
              </w:rPr>
              <w:t xml:space="preserve"> </w:t>
            </w:r>
            <w:r w:rsidR="00B52116" w:rsidRPr="00880C89">
              <w:rPr>
                <w:rFonts w:cs="Times New Roman"/>
                <w:b/>
                <w:bCs/>
                <w:color w:val="00B050"/>
                <w:sz w:val="22"/>
              </w:rPr>
              <w:t>↓</w:t>
            </w:r>
          </w:p>
        </w:tc>
        <w:tc>
          <w:tcPr>
            <w:tcW w:w="1257" w:type="dxa"/>
            <w:vAlign w:val="center"/>
          </w:tcPr>
          <w:p w14:paraId="3D2BEE7D" w14:textId="77642D37" w:rsidR="000D485A" w:rsidRPr="00300B3C" w:rsidRDefault="00084EA6" w:rsidP="000D485A">
            <w:pPr>
              <w:jc w:val="center"/>
              <w:rPr>
                <w:rFonts w:cs="Times New Roman"/>
                <w:sz w:val="22"/>
              </w:rPr>
            </w:pPr>
            <w:r>
              <w:rPr>
                <w:rFonts w:cs="Times New Roman"/>
                <w:sz w:val="22"/>
              </w:rPr>
              <w:t>2,3</w:t>
            </w:r>
          </w:p>
        </w:tc>
        <w:tc>
          <w:tcPr>
            <w:tcW w:w="1257" w:type="dxa"/>
            <w:vAlign w:val="center"/>
          </w:tcPr>
          <w:p w14:paraId="3D2BEE7E" w14:textId="227FFD95" w:rsidR="000D485A" w:rsidRPr="00300B3C" w:rsidRDefault="00084EA6" w:rsidP="000D485A">
            <w:pPr>
              <w:jc w:val="center"/>
              <w:rPr>
                <w:rFonts w:cs="Times New Roman"/>
                <w:sz w:val="22"/>
              </w:rPr>
            </w:pPr>
            <w:r>
              <w:rPr>
                <w:rFonts w:cs="Times New Roman"/>
                <w:sz w:val="22"/>
              </w:rPr>
              <w:t>0,0</w:t>
            </w:r>
          </w:p>
        </w:tc>
        <w:tc>
          <w:tcPr>
            <w:tcW w:w="1259" w:type="dxa"/>
            <w:vAlign w:val="center"/>
          </w:tcPr>
          <w:p w14:paraId="3D2BEE7F" w14:textId="50196A3A" w:rsidR="000D485A" w:rsidRPr="00300B3C" w:rsidRDefault="00084EA6" w:rsidP="000D485A">
            <w:pPr>
              <w:jc w:val="center"/>
              <w:rPr>
                <w:rFonts w:cs="Times New Roman"/>
                <w:sz w:val="22"/>
              </w:rPr>
            </w:pPr>
            <w:r>
              <w:rPr>
                <w:rFonts w:cs="Times New Roman"/>
                <w:sz w:val="22"/>
              </w:rPr>
              <w:t>9,7</w:t>
            </w:r>
          </w:p>
        </w:tc>
        <w:tc>
          <w:tcPr>
            <w:tcW w:w="1885" w:type="dxa"/>
            <w:shd w:val="clear" w:color="auto" w:fill="FFFF00"/>
            <w:vAlign w:val="center"/>
          </w:tcPr>
          <w:p w14:paraId="3D2BEE80" w14:textId="6471CE06" w:rsidR="000D485A" w:rsidRPr="00300B3C" w:rsidRDefault="002E20A6" w:rsidP="000D485A">
            <w:pPr>
              <w:jc w:val="center"/>
              <w:rPr>
                <w:rFonts w:cs="Times New Roman"/>
                <w:sz w:val="22"/>
              </w:rPr>
            </w:pPr>
            <w:r>
              <w:rPr>
                <w:rFonts w:cs="Times New Roman"/>
                <w:sz w:val="22"/>
              </w:rPr>
              <w:t>1,04</w:t>
            </w:r>
          </w:p>
        </w:tc>
      </w:tr>
      <w:tr w:rsidR="000D485A" w:rsidRPr="00300B3C" w14:paraId="3D2BEE8A" w14:textId="77777777" w:rsidTr="009801B5">
        <w:trPr>
          <w:jc w:val="center"/>
        </w:trPr>
        <w:tc>
          <w:tcPr>
            <w:tcW w:w="601" w:type="dxa"/>
          </w:tcPr>
          <w:p w14:paraId="3D2BEE82" w14:textId="77777777" w:rsidR="000D485A" w:rsidRPr="00300B3C" w:rsidRDefault="000D485A" w:rsidP="000D485A">
            <w:pPr>
              <w:rPr>
                <w:rFonts w:cs="Times New Roman"/>
                <w:sz w:val="22"/>
              </w:rPr>
            </w:pPr>
            <w:r w:rsidRPr="00300B3C">
              <w:rPr>
                <w:rFonts w:cs="Times New Roman"/>
                <w:sz w:val="22"/>
              </w:rPr>
              <w:t>20.</w:t>
            </w:r>
          </w:p>
        </w:tc>
        <w:tc>
          <w:tcPr>
            <w:tcW w:w="4945" w:type="dxa"/>
          </w:tcPr>
          <w:p w14:paraId="3D2BEE83" w14:textId="77777777" w:rsidR="000D485A" w:rsidRPr="00300B3C" w:rsidRDefault="000D485A" w:rsidP="000D485A">
            <w:pPr>
              <w:rPr>
                <w:rFonts w:cs="Times New Roman"/>
                <w:sz w:val="22"/>
              </w:rPr>
            </w:pPr>
            <w:r w:rsidRPr="00300B3C">
              <w:rPr>
                <w:rFonts w:cs="Times New Roman"/>
                <w:sz w:val="22"/>
              </w:rPr>
              <w:t>Transporto įvykiuose patirtų traumų (V00-V99) skaičius 100 000 gyv.</w:t>
            </w:r>
          </w:p>
        </w:tc>
        <w:tc>
          <w:tcPr>
            <w:tcW w:w="1787" w:type="dxa"/>
            <w:vAlign w:val="center"/>
          </w:tcPr>
          <w:p w14:paraId="3D2BEE84" w14:textId="1EED6803" w:rsidR="000D485A" w:rsidRPr="00300B3C" w:rsidRDefault="000D485A" w:rsidP="000D485A">
            <w:pPr>
              <w:jc w:val="center"/>
              <w:rPr>
                <w:rFonts w:cs="Times New Roman"/>
                <w:sz w:val="22"/>
              </w:rPr>
            </w:pPr>
            <w:r w:rsidRPr="00300B3C">
              <w:rPr>
                <w:rFonts w:cs="Times New Roman"/>
                <w:sz w:val="22"/>
              </w:rPr>
              <w:t>43,8</w:t>
            </w:r>
          </w:p>
        </w:tc>
        <w:tc>
          <w:tcPr>
            <w:tcW w:w="1787" w:type="dxa"/>
            <w:vAlign w:val="center"/>
          </w:tcPr>
          <w:p w14:paraId="3D2BEE85" w14:textId="4FB179E7" w:rsidR="000D485A" w:rsidRPr="00300B3C" w:rsidRDefault="002E20A6" w:rsidP="000D485A">
            <w:pPr>
              <w:jc w:val="center"/>
              <w:rPr>
                <w:rFonts w:cs="Times New Roman"/>
                <w:sz w:val="22"/>
              </w:rPr>
            </w:pPr>
            <w:r>
              <w:rPr>
                <w:rFonts w:cs="Times New Roman"/>
                <w:sz w:val="22"/>
              </w:rPr>
              <w:t>62,5</w:t>
            </w:r>
            <w:r w:rsidR="00B52116">
              <w:rPr>
                <w:rFonts w:cs="Times New Roman"/>
                <w:sz w:val="22"/>
              </w:rPr>
              <w:t xml:space="preserve"> </w:t>
            </w:r>
            <w:r w:rsidR="00B52116" w:rsidRPr="00500250">
              <w:rPr>
                <w:rFonts w:cs="Times New Roman"/>
                <w:b/>
                <w:bCs/>
                <w:color w:val="FF0000"/>
                <w:sz w:val="22"/>
              </w:rPr>
              <w:t>↑</w:t>
            </w:r>
          </w:p>
        </w:tc>
        <w:tc>
          <w:tcPr>
            <w:tcW w:w="1257" w:type="dxa"/>
            <w:vAlign w:val="center"/>
          </w:tcPr>
          <w:p w14:paraId="3D2BEE86" w14:textId="49B69412" w:rsidR="000D485A" w:rsidRPr="00300B3C" w:rsidRDefault="002E20A6" w:rsidP="000D485A">
            <w:pPr>
              <w:jc w:val="center"/>
              <w:rPr>
                <w:rFonts w:cs="Times New Roman"/>
                <w:sz w:val="22"/>
              </w:rPr>
            </w:pPr>
            <w:r>
              <w:rPr>
                <w:rFonts w:cs="Times New Roman"/>
                <w:sz w:val="22"/>
              </w:rPr>
              <w:t>66,7</w:t>
            </w:r>
          </w:p>
        </w:tc>
        <w:tc>
          <w:tcPr>
            <w:tcW w:w="1257" w:type="dxa"/>
            <w:vAlign w:val="center"/>
          </w:tcPr>
          <w:p w14:paraId="3D2BEE87" w14:textId="0A2145C3" w:rsidR="000D485A" w:rsidRPr="00300B3C" w:rsidRDefault="009801B5" w:rsidP="000D485A">
            <w:pPr>
              <w:jc w:val="center"/>
              <w:rPr>
                <w:rFonts w:cs="Times New Roman"/>
                <w:sz w:val="22"/>
              </w:rPr>
            </w:pPr>
            <w:r>
              <w:rPr>
                <w:rFonts w:cs="Times New Roman"/>
                <w:sz w:val="22"/>
              </w:rPr>
              <w:t>26,1</w:t>
            </w:r>
          </w:p>
        </w:tc>
        <w:tc>
          <w:tcPr>
            <w:tcW w:w="1259" w:type="dxa"/>
            <w:vAlign w:val="center"/>
          </w:tcPr>
          <w:p w14:paraId="3D2BEE88" w14:textId="1CDACD81" w:rsidR="000D485A" w:rsidRPr="00300B3C" w:rsidRDefault="009801B5" w:rsidP="000D485A">
            <w:pPr>
              <w:jc w:val="center"/>
              <w:rPr>
                <w:rFonts w:cs="Times New Roman"/>
                <w:sz w:val="22"/>
              </w:rPr>
            </w:pPr>
            <w:r>
              <w:rPr>
                <w:rFonts w:cs="Times New Roman"/>
                <w:sz w:val="22"/>
              </w:rPr>
              <w:t>120,3</w:t>
            </w:r>
          </w:p>
        </w:tc>
        <w:tc>
          <w:tcPr>
            <w:tcW w:w="1885" w:type="dxa"/>
            <w:shd w:val="clear" w:color="auto" w:fill="FFFF00"/>
            <w:vAlign w:val="center"/>
          </w:tcPr>
          <w:p w14:paraId="3D2BEE89" w14:textId="6DFC5F9B" w:rsidR="000D485A" w:rsidRPr="00300B3C" w:rsidRDefault="009801B5" w:rsidP="000D485A">
            <w:pPr>
              <w:jc w:val="center"/>
              <w:rPr>
                <w:rFonts w:cs="Times New Roman"/>
                <w:sz w:val="22"/>
              </w:rPr>
            </w:pPr>
            <w:r>
              <w:rPr>
                <w:rFonts w:cs="Times New Roman"/>
                <w:sz w:val="22"/>
              </w:rPr>
              <w:t>0,94</w:t>
            </w:r>
          </w:p>
        </w:tc>
      </w:tr>
      <w:tr w:rsidR="000D485A" w:rsidRPr="00300B3C" w14:paraId="3D2BEE8C" w14:textId="77777777" w:rsidTr="008D69C7">
        <w:trPr>
          <w:jc w:val="center"/>
        </w:trPr>
        <w:tc>
          <w:tcPr>
            <w:tcW w:w="14778" w:type="dxa"/>
            <w:gridSpan w:val="8"/>
            <w:shd w:val="clear" w:color="auto" w:fill="D6E3BC" w:themeFill="accent3" w:themeFillTint="66"/>
          </w:tcPr>
          <w:p w14:paraId="3D2BEE8B" w14:textId="77777777" w:rsidR="000D485A" w:rsidRPr="00300B3C" w:rsidRDefault="000D485A" w:rsidP="000D485A">
            <w:pPr>
              <w:jc w:val="center"/>
              <w:rPr>
                <w:rFonts w:cs="Times New Roman"/>
                <w:sz w:val="22"/>
              </w:rPr>
            </w:pPr>
            <w:r w:rsidRPr="00300B3C">
              <w:rPr>
                <w:rFonts w:cs="Times New Roman"/>
                <w:sz w:val="22"/>
              </w:rPr>
              <w:t>2.4 Mažinti oro, vandens ir dirvožemio užterštumą, triukšmą</w:t>
            </w:r>
          </w:p>
        </w:tc>
      </w:tr>
      <w:tr w:rsidR="000D485A" w:rsidRPr="00300B3C" w14:paraId="3D2BEE95" w14:textId="77777777" w:rsidTr="00AE33B0">
        <w:trPr>
          <w:jc w:val="center"/>
        </w:trPr>
        <w:tc>
          <w:tcPr>
            <w:tcW w:w="601" w:type="dxa"/>
          </w:tcPr>
          <w:p w14:paraId="3D2BEE8D" w14:textId="77777777" w:rsidR="000D485A" w:rsidRPr="00300B3C" w:rsidRDefault="000D485A" w:rsidP="000D485A">
            <w:pPr>
              <w:rPr>
                <w:rFonts w:cs="Times New Roman"/>
                <w:sz w:val="22"/>
              </w:rPr>
            </w:pPr>
            <w:r w:rsidRPr="00300B3C">
              <w:rPr>
                <w:rFonts w:cs="Times New Roman"/>
                <w:sz w:val="22"/>
              </w:rPr>
              <w:t>21.</w:t>
            </w:r>
          </w:p>
        </w:tc>
        <w:tc>
          <w:tcPr>
            <w:tcW w:w="4945" w:type="dxa"/>
          </w:tcPr>
          <w:p w14:paraId="3D2BEE8E" w14:textId="77777777" w:rsidR="000D485A" w:rsidRPr="00300B3C" w:rsidRDefault="000D485A" w:rsidP="000D485A">
            <w:pPr>
              <w:rPr>
                <w:rFonts w:cs="Times New Roman"/>
                <w:sz w:val="22"/>
              </w:rPr>
            </w:pPr>
            <w:r w:rsidRPr="00300B3C">
              <w:rPr>
                <w:rFonts w:cs="Times New Roman"/>
                <w:sz w:val="22"/>
              </w:rPr>
              <w:t>Į atmosferą iš stacionarių taršos šaltinių išmestų teršalų kiekis, tenkantis 1 kvadratiniam kilometrui</w:t>
            </w:r>
          </w:p>
        </w:tc>
        <w:tc>
          <w:tcPr>
            <w:tcW w:w="1787" w:type="dxa"/>
            <w:vAlign w:val="center"/>
          </w:tcPr>
          <w:p w14:paraId="3D2BEE8F" w14:textId="0C4F7566" w:rsidR="000D485A" w:rsidRPr="00300B3C" w:rsidRDefault="000D485A" w:rsidP="000D485A">
            <w:pPr>
              <w:jc w:val="center"/>
              <w:rPr>
                <w:rFonts w:cs="Times New Roman"/>
                <w:sz w:val="22"/>
              </w:rPr>
            </w:pPr>
            <w:r w:rsidRPr="00300B3C">
              <w:rPr>
                <w:rFonts w:cs="Times New Roman"/>
                <w:sz w:val="22"/>
              </w:rPr>
              <w:t>34 174</w:t>
            </w:r>
          </w:p>
        </w:tc>
        <w:tc>
          <w:tcPr>
            <w:tcW w:w="1787" w:type="dxa"/>
            <w:vAlign w:val="center"/>
          </w:tcPr>
          <w:p w14:paraId="3D2BEE90" w14:textId="0C98C766" w:rsidR="000D485A" w:rsidRPr="00300B3C" w:rsidRDefault="00D908E1" w:rsidP="000D485A">
            <w:pPr>
              <w:jc w:val="center"/>
              <w:rPr>
                <w:rFonts w:cs="Times New Roman"/>
                <w:sz w:val="22"/>
              </w:rPr>
            </w:pPr>
            <w:r>
              <w:rPr>
                <w:rFonts w:cs="Times New Roman"/>
                <w:sz w:val="22"/>
              </w:rPr>
              <w:t>29</w:t>
            </w:r>
            <w:r w:rsidR="003610FF">
              <w:rPr>
                <w:rFonts w:cs="Times New Roman"/>
                <w:sz w:val="22"/>
              </w:rPr>
              <w:t> </w:t>
            </w:r>
            <w:r>
              <w:rPr>
                <w:rFonts w:cs="Times New Roman"/>
                <w:sz w:val="22"/>
              </w:rPr>
              <w:t>587</w:t>
            </w:r>
            <w:r w:rsidR="003610FF">
              <w:rPr>
                <w:rFonts w:cs="Times New Roman"/>
                <w:sz w:val="22"/>
              </w:rPr>
              <w:t xml:space="preserve"> </w:t>
            </w:r>
            <w:r w:rsidR="003610FF" w:rsidRPr="00880C89">
              <w:rPr>
                <w:rFonts w:cs="Times New Roman"/>
                <w:b/>
                <w:bCs/>
                <w:color w:val="00B050"/>
                <w:sz w:val="22"/>
              </w:rPr>
              <w:t>↓</w:t>
            </w:r>
          </w:p>
        </w:tc>
        <w:tc>
          <w:tcPr>
            <w:tcW w:w="1257" w:type="dxa"/>
            <w:vAlign w:val="center"/>
          </w:tcPr>
          <w:p w14:paraId="3D2BEE91" w14:textId="0E3CADA6" w:rsidR="000D485A" w:rsidRPr="00300B3C" w:rsidRDefault="00D908E1" w:rsidP="000D485A">
            <w:pPr>
              <w:jc w:val="center"/>
              <w:rPr>
                <w:rFonts w:cs="Times New Roman"/>
                <w:sz w:val="22"/>
              </w:rPr>
            </w:pPr>
            <w:r>
              <w:rPr>
                <w:rFonts w:cs="Times New Roman"/>
                <w:sz w:val="22"/>
              </w:rPr>
              <w:t>970</w:t>
            </w:r>
          </w:p>
        </w:tc>
        <w:tc>
          <w:tcPr>
            <w:tcW w:w="1257" w:type="dxa"/>
            <w:vAlign w:val="center"/>
          </w:tcPr>
          <w:p w14:paraId="3D2BEE92" w14:textId="17F06DF2" w:rsidR="000D485A" w:rsidRPr="00300B3C" w:rsidRDefault="00D908E1" w:rsidP="000D485A">
            <w:pPr>
              <w:jc w:val="center"/>
              <w:rPr>
                <w:rFonts w:cs="Times New Roman"/>
                <w:sz w:val="22"/>
              </w:rPr>
            </w:pPr>
            <w:r>
              <w:rPr>
                <w:rFonts w:cs="Times New Roman"/>
                <w:sz w:val="22"/>
              </w:rPr>
              <w:t>61</w:t>
            </w:r>
          </w:p>
        </w:tc>
        <w:tc>
          <w:tcPr>
            <w:tcW w:w="1259" w:type="dxa"/>
            <w:vAlign w:val="center"/>
          </w:tcPr>
          <w:p w14:paraId="3D2BEE93" w14:textId="3B9FD0D3" w:rsidR="000D485A" w:rsidRPr="00300B3C" w:rsidRDefault="00D908E1" w:rsidP="000D485A">
            <w:pPr>
              <w:jc w:val="center"/>
              <w:rPr>
                <w:rFonts w:cs="Times New Roman"/>
                <w:sz w:val="22"/>
              </w:rPr>
            </w:pPr>
            <w:r>
              <w:rPr>
                <w:rFonts w:cs="Times New Roman"/>
                <w:sz w:val="22"/>
              </w:rPr>
              <w:t>34 386</w:t>
            </w:r>
          </w:p>
        </w:tc>
        <w:tc>
          <w:tcPr>
            <w:tcW w:w="1885" w:type="dxa"/>
            <w:shd w:val="clear" w:color="auto" w:fill="FF0000"/>
            <w:vAlign w:val="center"/>
          </w:tcPr>
          <w:p w14:paraId="3D2BEE94" w14:textId="4F0BA09B" w:rsidR="000D485A" w:rsidRPr="00300B3C" w:rsidRDefault="00AE33B0" w:rsidP="000D485A">
            <w:pPr>
              <w:jc w:val="center"/>
              <w:rPr>
                <w:rFonts w:cs="Times New Roman"/>
                <w:sz w:val="22"/>
              </w:rPr>
            </w:pPr>
            <w:r>
              <w:rPr>
                <w:rFonts w:cs="Times New Roman"/>
                <w:sz w:val="22"/>
              </w:rPr>
              <w:t>30,5</w:t>
            </w:r>
          </w:p>
        </w:tc>
      </w:tr>
      <w:tr w:rsidR="000D485A" w:rsidRPr="00300B3C" w14:paraId="3D2BEE9E" w14:textId="77777777" w:rsidTr="00300B3C">
        <w:trPr>
          <w:jc w:val="center"/>
        </w:trPr>
        <w:tc>
          <w:tcPr>
            <w:tcW w:w="601" w:type="dxa"/>
          </w:tcPr>
          <w:p w14:paraId="3D2BEE96" w14:textId="77777777" w:rsidR="000D485A" w:rsidRPr="00300B3C" w:rsidRDefault="000D485A" w:rsidP="000D485A">
            <w:pPr>
              <w:rPr>
                <w:rFonts w:cs="Times New Roman"/>
                <w:sz w:val="22"/>
              </w:rPr>
            </w:pPr>
            <w:r w:rsidRPr="00300B3C">
              <w:rPr>
                <w:rFonts w:cs="Times New Roman"/>
                <w:sz w:val="22"/>
              </w:rPr>
              <w:t>22.</w:t>
            </w:r>
          </w:p>
        </w:tc>
        <w:tc>
          <w:tcPr>
            <w:tcW w:w="4945" w:type="dxa"/>
          </w:tcPr>
          <w:p w14:paraId="3D2BEE97" w14:textId="77777777" w:rsidR="000D485A" w:rsidRPr="00300B3C" w:rsidRDefault="000D485A" w:rsidP="000D485A">
            <w:pPr>
              <w:rPr>
                <w:rFonts w:cs="Times New Roman"/>
                <w:sz w:val="22"/>
              </w:rPr>
            </w:pPr>
            <w:r w:rsidRPr="00300B3C">
              <w:rPr>
                <w:rFonts w:cs="Times New Roman"/>
                <w:sz w:val="22"/>
              </w:rPr>
              <w:t>Viešai tiekiamo geriamojo vandens prieinamumas vartotojams (proc.)</w:t>
            </w:r>
          </w:p>
        </w:tc>
        <w:tc>
          <w:tcPr>
            <w:tcW w:w="1787" w:type="dxa"/>
            <w:vAlign w:val="center"/>
          </w:tcPr>
          <w:p w14:paraId="3D2BEE98" w14:textId="3D37DC65" w:rsidR="000D485A" w:rsidRPr="00300B3C" w:rsidRDefault="000D485A" w:rsidP="000D485A">
            <w:pPr>
              <w:jc w:val="center"/>
              <w:rPr>
                <w:rFonts w:cs="Times New Roman"/>
                <w:sz w:val="22"/>
              </w:rPr>
            </w:pPr>
            <w:r>
              <w:rPr>
                <w:rFonts w:cs="Times New Roman"/>
                <w:sz w:val="22"/>
              </w:rPr>
              <w:t>91,14</w:t>
            </w:r>
          </w:p>
        </w:tc>
        <w:tc>
          <w:tcPr>
            <w:tcW w:w="1787" w:type="dxa"/>
            <w:vAlign w:val="center"/>
          </w:tcPr>
          <w:p w14:paraId="3D2BEE99" w14:textId="2F0E6620" w:rsidR="000D485A" w:rsidRPr="00300B3C" w:rsidRDefault="00CE09B9" w:rsidP="000D485A">
            <w:pPr>
              <w:jc w:val="center"/>
              <w:rPr>
                <w:rFonts w:cs="Times New Roman"/>
                <w:sz w:val="22"/>
              </w:rPr>
            </w:pPr>
            <w:r>
              <w:rPr>
                <w:rFonts w:cs="Times New Roman"/>
                <w:sz w:val="22"/>
              </w:rPr>
              <w:t>91,2</w:t>
            </w:r>
            <w:r w:rsidR="003610FF">
              <w:rPr>
                <w:rFonts w:cs="Times New Roman"/>
                <w:sz w:val="22"/>
              </w:rPr>
              <w:t xml:space="preserve"> </w:t>
            </w:r>
            <w:r w:rsidR="003610FF" w:rsidRPr="008002E0">
              <w:rPr>
                <w:rFonts w:cs="Times New Roman"/>
                <w:b/>
                <w:bCs/>
                <w:color w:val="00B050"/>
                <w:sz w:val="22"/>
              </w:rPr>
              <w:t>↑</w:t>
            </w:r>
          </w:p>
        </w:tc>
        <w:tc>
          <w:tcPr>
            <w:tcW w:w="1257" w:type="dxa"/>
            <w:vAlign w:val="center"/>
          </w:tcPr>
          <w:p w14:paraId="3D2BEE9A" w14:textId="77777777" w:rsidR="000D485A" w:rsidRPr="00300B3C" w:rsidRDefault="000D485A" w:rsidP="000D485A">
            <w:pPr>
              <w:jc w:val="center"/>
              <w:rPr>
                <w:rFonts w:cs="Times New Roman"/>
                <w:sz w:val="22"/>
              </w:rPr>
            </w:pPr>
            <w:r>
              <w:rPr>
                <w:rFonts w:cs="Times New Roman"/>
                <w:sz w:val="22"/>
              </w:rPr>
              <w:t>-</w:t>
            </w:r>
          </w:p>
        </w:tc>
        <w:tc>
          <w:tcPr>
            <w:tcW w:w="1257" w:type="dxa"/>
            <w:vAlign w:val="center"/>
          </w:tcPr>
          <w:p w14:paraId="3D2BEE9B" w14:textId="77777777" w:rsidR="000D485A" w:rsidRPr="00300B3C" w:rsidRDefault="000D485A" w:rsidP="000D485A">
            <w:pPr>
              <w:jc w:val="center"/>
              <w:rPr>
                <w:rFonts w:cs="Times New Roman"/>
                <w:sz w:val="22"/>
              </w:rPr>
            </w:pPr>
            <w:r>
              <w:rPr>
                <w:rFonts w:cs="Times New Roman"/>
                <w:sz w:val="22"/>
              </w:rPr>
              <w:t>-</w:t>
            </w:r>
          </w:p>
        </w:tc>
        <w:tc>
          <w:tcPr>
            <w:tcW w:w="1259" w:type="dxa"/>
            <w:vAlign w:val="center"/>
          </w:tcPr>
          <w:p w14:paraId="3D2BEE9C" w14:textId="77777777" w:rsidR="000D485A" w:rsidRPr="00300B3C" w:rsidRDefault="000D485A" w:rsidP="000D485A">
            <w:pPr>
              <w:jc w:val="center"/>
              <w:rPr>
                <w:rFonts w:cs="Times New Roman"/>
                <w:sz w:val="22"/>
              </w:rPr>
            </w:pPr>
            <w:r>
              <w:rPr>
                <w:rFonts w:cs="Times New Roman"/>
                <w:sz w:val="22"/>
              </w:rPr>
              <w:t>-</w:t>
            </w:r>
          </w:p>
        </w:tc>
        <w:tc>
          <w:tcPr>
            <w:tcW w:w="1885" w:type="dxa"/>
            <w:vAlign w:val="center"/>
          </w:tcPr>
          <w:p w14:paraId="3D2BEE9D" w14:textId="77777777" w:rsidR="000D485A" w:rsidRPr="00300B3C" w:rsidRDefault="000D485A" w:rsidP="000D485A">
            <w:pPr>
              <w:jc w:val="center"/>
              <w:rPr>
                <w:rFonts w:cs="Times New Roman"/>
                <w:sz w:val="22"/>
              </w:rPr>
            </w:pPr>
            <w:r>
              <w:rPr>
                <w:rFonts w:cs="Times New Roman"/>
                <w:sz w:val="22"/>
              </w:rPr>
              <w:t>-</w:t>
            </w:r>
          </w:p>
        </w:tc>
      </w:tr>
      <w:tr w:rsidR="00A4246C" w:rsidRPr="00300B3C" w14:paraId="7D802180" w14:textId="77777777" w:rsidTr="00300B3C">
        <w:trPr>
          <w:jc w:val="center"/>
        </w:trPr>
        <w:tc>
          <w:tcPr>
            <w:tcW w:w="601" w:type="dxa"/>
          </w:tcPr>
          <w:p w14:paraId="467EA251" w14:textId="661C4A1D" w:rsidR="00A4246C" w:rsidRPr="00300B3C" w:rsidRDefault="00A4246C" w:rsidP="00A4246C">
            <w:pPr>
              <w:rPr>
                <w:rFonts w:cs="Times New Roman"/>
                <w:sz w:val="22"/>
              </w:rPr>
            </w:pPr>
            <w:r w:rsidRPr="00300B3C">
              <w:rPr>
                <w:rFonts w:cs="Times New Roman"/>
                <w:sz w:val="22"/>
              </w:rPr>
              <w:t>23.</w:t>
            </w:r>
          </w:p>
        </w:tc>
        <w:tc>
          <w:tcPr>
            <w:tcW w:w="4945" w:type="dxa"/>
          </w:tcPr>
          <w:p w14:paraId="0325E894" w14:textId="665428E7" w:rsidR="00A4246C" w:rsidRPr="00300B3C" w:rsidRDefault="00A4246C" w:rsidP="00A4246C">
            <w:pPr>
              <w:rPr>
                <w:rFonts w:cs="Times New Roman"/>
                <w:sz w:val="22"/>
              </w:rPr>
            </w:pPr>
            <w:r w:rsidRPr="00300B3C">
              <w:rPr>
                <w:rFonts w:cs="Times New Roman"/>
                <w:sz w:val="22"/>
              </w:rPr>
              <w:t>Nuotekų tvarkymo paslaugų prieinamumas vartotojams (proc.)</w:t>
            </w:r>
          </w:p>
        </w:tc>
        <w:tc>
          <w:tcPr>
            <w:tcW w:w="1787" w:type="dxa"/>
            <w:vAlign w:val="center"/>
          </w:tcPr>
          <w:p w14:paraId="60581F80" w14:textId="45B2151D" w:rsidR="00A4246C" w:rsidRDefault="00A4246C" w:rsidP="00A4246C">
            <w:pPr>
              <w:jc w:val="center"/>
              <w:rPr>
                <w:rFonts w:cs="Times New Roman"/>
                <w:sz w:val="22"/>
              </w:rPr>
            </w:pPr>
            <w:r>
              <w:rPr>
                <w:rFonts w:cs="Times New Roman"/>
                <w:sz w:val="22"/>
              </w:rPr>
              <w:t>88,6</w:t>
            </w:r>
          </w:p>
        </w:tc>
        <w:tc>
          <w:tcPr>
            <w:tcW w:w="1787" w:type="dxa"/>
            <w:vAlign w:val="center"/>
          </w:tcPr>
          <w:p w14:paraId="2FBD5203" w14:textId="395A53AB" w:rsidR="00A4246C" w:rsidRPr="00300B3C" w:rsidRDefault="00CE09B9" w:rsidP="00A4246C">
            <w:pPr>
              <w:jc w:val="center"/>
              <w:rPr>
                <w:rFonts w:cs="Times New Roman"/>
                <w:sz w:val="22"/>
              </w:rPr>
            </w:pPr>
            <w:r>
              <w:rPr>
                <w:rFonts w:cs="Times New Roman"/>
                <w:sz w:val="22"/>
              </w:rPr>
              <w:t>89,1</w:t>
            </w:r>
            <w:r w:rsidR="003610FF">
              <w:rPr>
                <w:rFonts w:cs="Times New Roman"/>
                <w:sz w:val="22"/>
              </w:rPr>
              <w:t xml:space="preserve"> </w:t>
            </w:r>
            <w:r w:rsidR="003610FF" w:rsidRPr="008002E0">
              <w:rPr>
                <w:rFonts w:cs="Times New Roman"/>
                <w:b/>
                <w:bCs/>
                <w:color w:val="00B050"/>
                <w:sz w:val="22"/>
              </w:rPr>
              <w:t>↑</w:t>
            </w:r>
          </w:p>
        </w:tc>
        <w:tc>
          <w:tcPr>
            <w:tcW w:w="1257" w:type="dxa"/>
            <w:vAlign w:val="center"/>
          </w:tcPr>
          <w:p w14:paraId="0D0005C6" w14:textId="5BE0C24A" w:rsidR="00A4246C" w:rsidRDefault="00A4246C" w:rsidP="00A4246C">
            <w:pPr>
              <w:jc w:val="center"/>
              <w:rPr>
                <w:rFonts w:cs="Times New Roman"/>
                <w:sz w:val="22"/>
              </w:rPr>
            </w:pPr>
            <w:r>
              <w:rPr>
                <w:rFonts w:cs="Times New Roman"/>
                <w:sz w:val="22"/>
              </w:rPr>
              <w:t>-</w:t>
            </w:r>
          </w:p>
        </w:tc>
        <w:tc>
          <w:tcPr>
            <w:tcW w:w="1257" w:type="dxa"/>
            <w:vAlign w:val="center"/>
          </w:tcPr>
          <w:p w14:paraId="54EA37BF" w14:textId="588A7908" w:rsidR="00A4246C" w:rsidRDefault="00A4246C" w:rsidP="00A4246C">
            <w:pPr>
              <w:jc w:val="center"/>
              <w:rPr>
                <w:rFonts w:cs="Times New Roman"/>
                <w:sz w:val="22"/>
              </w:rPr>
            </w:pPr>
            <w:r>
              <w:rPr>
                <w:rFonts w:cs="Times New Roman"/>
                <w:sz w:val="22"/>
              </w:rPr>
              <w:t>-</w:t>
            </w:r>
          </w:p>
        </w:tc>
        <w:tc>
          <w:tcPr>
            <w:tcW w:w="1259" w:type="dxa"/>
            <w:vAlign w:val="center"/>
          </w:tcPr>
          <w:p w14:paraId="38698AC8" w14:textId="5352142D" w:rsidR="00A4246C" w:rsidRDefault="00A4246C" w:rsidP="00A4246C">
            <w:pPr>
              <w:jc w:val="center"/>
              <w:rPr>
                <w:rFonts w:cs="Times New Roman"/>
                <w:sz w:val="22"/>
              </w:rPr>
            </w:pPr>
            <w:r>
              <w:rPr>
                <w:rFonts w:cs="Times New Roman"/>
                <w:sz w:val="22"/>
              </w:rPr>
              <w:t>-</w:t>
            </w:r>
          </w:p>
        </w:tc>
        <w:tc>
          <w:tcPr>
            <w:tcW w:w="1885" w:type="dxa"/>
            <w:vAlign w:val="center"/>
          </w:tcPr>
          <w:p w14:paraId="43FDDFD1" w14:textId="0EDCEE3F" w:rsidR="00A4246C" w:rsidRDefault="00A4246C" w:rsidP="00A4246C">
            <w:pPr>
              <w:jc w:val="center"/>
              <w:rPr>
                <w:rFonts w:cs="Times New Roman"/>
                <w:sz w:val="22"/>
              </w:rPr>
            </w:pPr>
            <w:r>
              <w:rPr>
                <w:rFonts w:cs="Times New Roman"/>
                <w:sz w:val="22"/>
              </w:rPr>
              <w:t>-</w:t>
            </w:r>
          </w:p>
        </w:tc>
      </w:tr>
    </w:tbl>
    <w:p w14:paraId="6419813E" w14:textId="77777777" w:rsidR="00A3782F" w:rsidRDefault="00A3782F" w:rsidP="00300B3C">
      <w:pPr>
        <w:spacing w:after="0" w:line="240" w:lineRule="auto"/>
        <w:ind w:left="720"/>
        <w:jc w:val="center"/>
        <w:rPr>
          <w:rFonts w:cs="Times New Roman"/>
        </w:rPr>
      </w:pPr>
    </w:p>
    <w:p w14:paraId="3D2BEE9F" w14:textId="7C550122" w:rsidR="00300B3C" w:rsidRPr="00300B3C" w:rsidRDefault="00966523" w:rsidP="00300B3C">
      <w:pPr>
        <w:spacing w:after="0" w:line="240" w:lineRule="auto"/>
        <w:ind w:left="720"/>
        <w:jc w:val="center"/>
        <w:rPr>
          <w:rFonts w:cs="Times New Roman"/>
        </w:rPr>
      </w:pPr>
      <w:r w:rsidRPr="00300B3C">
        <w:rPr>
          <w:rFonts w:cs="Times New Roman"/>
        </w:rPr>
        <w:lastRenderedPageBreak/>
        <w:t>5 lentelė</w:t>
      </w:r>
      <w:r>
        <w:rPr>
          <w:rFonts w:cs="Times New Roman"/>
        </w:rPr>
        <w:t>s tęsinys</w:t>
      </w:r>
      <w:r w:rsidR="00300B3C" w:rsidRPr="00300B3C">
        <w:rPr>
          <w:rFonts w:cs="Times New Roman"/>
        </w:rPr>
        <w:t>. Kauno miesto savivaldybės visuomenės sveikatos stebėsenos rodiklių profilis</w:t>
      </w:r>
    </w:p>
    <w:tbl>
      <w:tblPr>
        <w:tblStyle w:val="Lentelstinklelis1"/>
        <w:tblW w:w="0" w:type="auto"/>
        <w:jc w:val="center"/>
        <w:tblLook w:val="04A0" w:firstRow="1" w:lastRow="0" w:firstColumn="1" w:lastColumn="0" w:noHBand="0" w:noVBand="1"/>
      </w:tblPr>
      <w:tblGrid>
        <w:gridCol w:w="601"/>
        <w:gridCol w:w="4945"/>
        <w:gridCol w:w="1787"/>
        <w:gridCol w:w="1787"/>
        <w:gridCol w:w="1257"/>
        <w:gridCol w:w="1257"/>
        <w:gridCol w:w="1259"/>
        <w:gridCol w:w="1885"/>
      </w:tblGrid>
      <w:tr w:rsidR="008D69C7" w:rsidRPr="00300B3C" w14:paraId="3D2BEEB4" w14:textId="77777777" w:rsidTr="004C0D66">
        <w:trPr>
          <w:jc w:val="center"/>
        </w:trPr>
        <w:tc>
          <w:tcPr>
            <w:tcW w:w="14778" w:type="dxa"/>
            <w:gridSpan w:val="8"/>
            <w:shd w:val="clear" w:color="auto" w:fill="D6E3BC" w:themeFill="accent3" w:themeFillTint="66"/>
          </w:tcPr>
          <w:p w14:paraId="3D2BEEB3" w14:textId="77777777" w:rsidR="008D69C7" w:rsidRPr="00300B3C" w:rsidRDefault="008D69C7" w:rsidP="00300B3C">
            <w:pPr>
              <w:jc w:val="center"/>
              <w:rPr>
                <w:rFonts w:cs="Times New Roman"/>
                <w:sz w:val="22"/>
              </w:rPr>
            </w:pPr>
            <w:r w:rsidRPr="00300B3C">
              <w:rPr>
                <w:rFonts w:cs="Times New Roman"/>
                <w:sz w:val="22"/>
              </w:rPr>
              <w:t>3 TIKSLAS. FORMUOTI SVEIKĄ GYVENSENĄ IR JOS KULTŪRĄ</w:t>
            </w:r>
          </w:p>
        </w:tc>
      </w:tr>
      <w:tr w:rsidR="008D69C7" w:rsidRPr="00300B3C" w14:paraId="3D2BEEB6" w14:textId="77777777" w:rsidTr="004C0D66">
        <w:trPr>
          <w:jc w:val="center"/>
        </w:trPr>
        <w:tc>
          <w:tcPr>
            <w:tcW w:w="14778" w:type="dxa"/>
            <w:gridSpan w:val="8"/>
            <w:shd w:val="clear" w:color="auto" w:fill="D6E3BC" w:themeFill="accent3" w:themeFillTint="66"/>
          </w:tcPr>
          <w:p w14:paraId="3D2BEEB5" w14:textId="77777777" w:rsidR="008D69C7" w:rsidRPr="00300B3C" w:rsidRDefault="008D69C7" w:rsidP="00300B3C">
            <w:pPr>
              <w:jc w:val="center"/>
              <w:rPr>
                <w:rFonts w:cs="Times New Roman"/>
                <w:sz w:val="22"/>
              </w:rPr>
            </w:pPr>
            <w:r w:rsidRPr="00300B3C">
              <w:rPr>
                <w:rFonts w:cs="Times New Roman"/>
                <w:sz w:val="22"/>
              </w:rPr>
              <w:t>3.1 Sumažinti alkoholinių gėrimų, tabako vartojimą, neteisėtą narkotinių ir psichotropinių medžiagų vartojimą ir prieinamumą</w:t>
            </w:r>
          </w:p>
        </w:tc>
      </w:tr>
      <w:tr w:rsidR="00966523" w:rsidRPr="00300B3C" w14:paraId="48D9FEC3" w14:textId="77777777" w:rsidTr="00966523">
        <w:trPr>
          <w:jc w:val="center"/>
        </w:trPr>
        <w:tc>
          <w:tcPr>
            <w:tcW w:w="5546" w:type="dxa"/>
            <w:gridSpan w:val="2"/>
            <w:shd w:val="clear" w:color="auto" w:fill="D6E3BC" w:themeFill="accent3" w:themeFillTint="66"/>
            <w:vAlign w:val="center"/>
          </w:tcPr>
          <w:p w14:paraId="58B9D0EA" w14:textId="593366A7" w:rsidR="00966523" w:rsidRPr="00300B3C" w:rsidRDefault="00966523" w:rsidP="00966523">
            <w:pPr>
              <w:jc w:val="center"/>
              <w:rPr>
                <w:rFonts w:cs="Times New Roman"/>
                <w:sz w:val="22"/>
              </w:rPr>
            </w:pPr>
            <w:r w:rsidRPr="00300B3C">
              <w:rPr>
                <w:rFonts w:cs="Times New Roman"/>
                <w:sz w:val="22"/>
              </w:rPr>
              <w:t>Rodiklis</w:t>
            </w:r>
          </w:p>
        </w:tc>
        <w:tc>
          <w:tcPr>
            <w:tcW w:w="1787" w:type="dxa"/>
            <w:shd w:val="clear" w:color="auto" w:fill="D6E3BC" w:themeFill="accent3" w:themeFillTint="66"/>
            <w:vAlign w:val="center"/>
          </w:tcPr>
          <w:p w14:paraId="6B90773F" w14:textId="23F5F40E" w:rsidR="00966523" w:rsidRPr="00300B3C" w:rsidRDefault="00966523" w:rsidP="00966523">
            <w:pPr>
              <w:jc w:val="center"/>
              <w:rPr>
                <w:rFonts w:cs="Times New Roman"/>
                <w:sz w:val="22"/>
              </w:rPr>
            </w:pPr>
            <w:r w:rsidRPr="00300B3C">
              <w:rPr>
                <w:rFonts w:cs="Times New Roman"/>
                <w:sz w:val="22"/>
              </w:rPr>
              <w:t>Kauno miesto rodiklis 201</w:t>
            </w:r>
            <w:r>
              <w:rPr>
                <w:rFonts w:cs="Times New Roman"/>
                <w:sz w:val="22"/>
              </w:rPr>
              <w:t>8</w:t>
            </w:r>
            <w:r w:rsidRPr="00300B3C">
              <w:rPr>
                <w:rFonts w:cs="Times New Roman"/>
                <w:sz w:val="22"/>
              </w:rPr>
              <w:t xml:space="preserve"> m.</w:t>
            </w:r>
          </w:p>
        </w:tc>
        <w:tc>
          <w:tcPr>
            <w:tcW w:w="1787" w:type="dxa"/>
            <w:shd w:val="clear" w:color="auto" w:fill="D6E3BC" w:themeFill="accent3" w:themeFillTint="66"/>
            <w:vAlign w:val="center"/>
          </w:tcPr>
          <w:p w14:paraId="203BAEB7" w14:textId="2DA07954" w:rsidR="00966523" w:rsidRPr="00497C50" w:rsidRDefault="00966523" w:rsidP="00966523">
            <w:pPr>
              <w:jc w:val="center"/>
              <w:rPr>
                <w:rFonts w:cs="Times New Roman"/>
                <w:b/>
                <w:sz w:val="22"/>
              </w:rPr>
            </w:pPr>
            <w:r w:rsidRPr="00300B3C">
              <w:rPr>
                <w:rFonts w:cs="Times New Roman"/>
                <w:sz w:val="22"/>
              </w:rPr>
              <w:t>Kauno miesto rodiklis 201</w:t>
            </w:r>
            <w:r>
              <w:rPr>
                <w:rFonts w:cs="Times New Roman"/>
                <w:sz w:val="22"/>
              </w:rPr>
              <w:t>9</w:t>
            </w:r>
            <w:r w:rsidRPr="00300B3C">
              <w:rPr>
                <w:rFonts w:cs="Times New Roman"/>
                <w:sz w:val="22"/>
              </w:rPr>
              <w:t xml:space="preserve"> m.</w:t>
            </w:r>
          </w:p>
        </w:tc>
        <w:tc>
          <w:tcPr>
            <w:tcW w:w="1257" w:type="dxa"/>
            <w:shd w:val="clear" w:color="auto" w:fill="D6E3BC" w:themeFill="accent3" w:themeFillTint="66"/>
            <w:vAlign w:val="center"/>
          </w:tcPr>
          <w:p w14:paraId="2CAA5BA7" w14:textId="005B66DC" w:rsidR="00966523" w:rsidRPr="00300B3C" w:rsidRDefault="00966523" w:rsidP="00966523">
            <w:pPr>
              <w:jc w:val="center"/>
              <w:rPr>
                <w:rFonts w:cs="Times New Roman"/>
                <w:sz w:val="22"/>
              </w:rPr>
            </w:pPr>
            <w:r w:rsidRPr="00300B3C">
              <w:rPr>
                <w:rFonts w:cs="Times New Roman"/>
                <w:sz w:val="22"/>
              </w:rPr>
              <w:t>Lietuvos rodiklis</w:t>
            </w:r>
          </w:p>
        </w:tc>
        <w:tc>
          <w:tcPr>
            <w:tcW w:w="1257" w:type="dxa"/>
            <w:shd w:val="clear" w:color="auto" w:fill="D6E3BC" w:themeFill="accent3" w:themeFillTint="66"/>
            <w:vAlign w:val="center"/>
          </w:tcPr>
          <w:p w14:paraId="1E8ADFD9" w14:textId="4D85A325" w:rsidR="00966523" w:rsidRPr="00300B3C" w:rsidRDefault="00966523" w:rsidP="00966523">
            <w:pPr>
              <w:jc w:val="center"/>
              <w:rPr>
                <w:rFonts w:cs="Times New Roman"/>
                <w:sz w:val="22"/>
              </w:rPr>
            </w:pPr>
            <w:r w:rsidRPr="00300B3C">
              <w:rPr>
                <w:rFonts w:cs="Times New Roman"/>
                <w:sz w:val="22"/>
              </w:rPr>
              <w:t>Minimali reikšmė</w:t>
            </w:r>
          </w:p>
        </w:tc>
        <w:tc>
          <w:tcPr>
            <w:tcW w:w="1259" w:type="dxa"/>
            <w:shd w:val="clear" w:color="auto" w:fill="D6E3BC" w:themeFill="accent3" w:themeFillTint="66"/>
            <w:vAlign w:val="center"/>
          </w:tcPr>
          <w:p w14:paraId="50BA5AED" w14:textId="1AD09624" w:rsidR="00966523" w:rsidRPr="00300B3C" w:rsidRDefault="00966523" w:rsidP="00966523">
            <w:pPr>
              <w:jc w:val="center"/>
              <w:rPr>
                <w:rFonts w:cs="Times New Roman"/>
                <w:sz w:val="22"/>
              </w:rPr>
            </w:pPr>
            <w:r w:rsidRPr="00300B3C">
              <w:rPr>
                <w:rFonts w:cs="Times New Roman"/>
                <w:sz w:val="22"/>
              </w:rPr>
              <w:t>Maksimali reikšmė</w:t>
            </w:r>
          </w:p>
        </w:tc>
        <w:tc>
          <w:tcPr>
            <w:tcW w:w="1885" w:type="dxa"/>
            <w:tcBorders>
              <w:bottom w:val="nil"/>
            </w:tcBorders>
            <w:shd w:val="clear" w:color="auto" w:fill="D6E3BC" w:themeFill="accent3" w:themeFillTint="66"/>
            <w:vAlign w:val="center"/>
          </w:tcPr>
          <w:p w14:paraId="183F20CC" w14:textId="4F1CA0D2" w:rsidR="00966523" w:rsidRPr="00300B3C" w:rsidRDefault="00966523" w:rsidP="00966523">
            <w:pPr>
              <w:jc w:val="center"/>
              <w:rPr>
                <w:rFonts w:cs="Times New Roman"/>
                <w:sz w:val="22"/>
              </w:rPr>
            </w:pPr>
            <w:r w:rsidRPr="00300B3C">
              <w:rPr>
                <w:rFonts w:cs="Times New Roman"/>
                <w:sz w:val="22"/>
              </w:rPr>
              <w:t>Kauno miesto ir Lietuvos rodiklio santykis</w:t>
            </w:r>
          </w:p>
        </w:tc>
      </w:tr>
      <w:tr w:rsidR="00966523" w:rsidRPr="00300B3C" w14:paraId="3D2BEEBF" w14:textId="77777777" w:rsidTr="004E0525">
        <w:trPr>
          <w:jc w:val="center"/>
        </w:trPr>
        <w:tc>
          <w:tcPr>
            <w:tcW w:w="601" w:type="dxa"/>
          </w:tcPr>
          <w:p w14:paraId="3D2BEEB7" w14:textId="77777777" w:rsidR="00966523" w:rsidRPr="00300B3C" w:rsidRDefault="00966523" w:rsidP="00966523">
            <w:pPr>
              <w:rPr>
                <w:rFonts w:cs="Times New Roman"/>
                <w:sz w:val="22"/>
              </w:rPr>
            </w:pPr>
            <w:r w:rsidRPr="00300B3C">
              <w:rPr>
                <w:rFonts w:cs="Times New Roman"/>
                <w:sz w:val="22"/>
              </w:rPr>
              <w:t>24.</w:t>
            </w:r>
          </w:p>
        </w:tc>
        <w:tc>
          <w:tcPr>
            <w:tcW w:w="4945" w:type="dxa"/>
          </w:tcPr>
          <w:p w14:paraId="3D2BEEB8" w14:textId="66885225" w:rsidR="00966523" w:rsidRPr="00300B3C" w:rsidRDefault="00966523" w:rsidP="00966523">
            <w:pPr>
              <w:rPr>
                <w:rFonts w:cs="Times New Roman"/>
                <w:sz w:val="22"/>
              </w:rPr>
            </w:pPr>
            <w:r w:rsidRPr="00300B3C">
              <w:rPr>
                <w:rFonts w:cs="Times New Roman"/>
                <w:sz w:val="22"/>
              </w:rPr>
              <w:t>Mirtingumas dėl priežasčių, susijusių su narkotikų vartojimu (F11-F12, F14-F16, F19, X41-X42, X61, X61-X62, Y11-Y12) 100 000 gyv.</w:t>
            </w:r>
          </w:p>
        </w:tc>
        <w:tc>
          <w:tcPr>
            <w:tcW w:w="1787" w:type="dxa"/>
            <w:vAlign w:val="center"/>
          </w:tcPr>
          <w:p w14:paraId="3D2BEEB9" w14:textId="4AA7425D" w:rsidR="00966523" w:rsidRPr="00300B3C" w:rsidRDefault="00966523" w:rsidP="00966523">
            <w:pPr>
              <w:jc w:val="center"/>
              <w:rPr>
                <w:rFonts w:cs="Times New Roman"/>
                <w:sz w:val="22"/>
              </w:rPr>
            </w:pPr>
            <w:r w:rsidRPr="00300B3C">
              <w:rPr>
                <w:rFonts w:cs="Times New Roman"/>
                <w:sz w:val="22"/>
              </w:rPr>
              <w:t>2,4</w:t>
            </w:r>
          </w:p>
        </w:tc>
        <w:tc>
          <w:tcPr>
            <w:tcW w:w="1787" w:type="dxa"/>
            <w:vAlign w:val="center"/>
          </w:tcPr>
          <w:p w14:paraId="3D2BEEBA" w14:textId="44BB2D7E" w:rsidR="00966523" w:rsidRPr="0049140B" w:rsidRDefault="0049140B" w:rsidP="00966523">
            <w:pPr>
              <w:jc w:val="center"/>
              <w:rPr>
                <w:rFonts w:cs="Times New Roman"/>
                <w:bCs/>
                <w:sz w:val="22"/>
              </w:rPr>
            </w:pPr>
            <w:r w:rsidRPr="0049140B">
              <w:rPr>
                <w:rFonts w:cs="Times New Roman"/>
                <w:bCs/>
                <w:sz w:val="22"/>
              </w:rPr>
              <w:t>3,8</w:t>
            </w:r>
            <w:r w:rsidR="003610FF">
              <w:rPr>
                <w:rFonts w:cs="Times New Roman"/>
                <w:bCs/>
                <w:sz w:val="22"/>
              </w:rPr>
              <w:t xml:space="preserve"> </w:t>
            </w:r>
            <w:r w:rsidR="003610FF" w:rsidRPr="00500250">
              <w:rPr>
                <w:rFonts w:cs="Times New Roman"/>
                <w:b/>
                <w:bCs/>
                <w:color w:val="FF0000"/>
                <w:sz w:val="22"/>
              </w:rPr>
              <w:t>↑</w:t>
            </w:r>
          </w:p>
        </w:tc>
        <w:tc>
          <w:tcPr>
            <w:tcW w:w="1257" w:type="dxa"/>
            <w:vAlign w:val="center"/>
          </w:tcPr>
          <w:p w14:paraId="3D2BEEBB" w14:textId="7D9012F0" w:rsidR="00966523" w:rsidRPr="00300B3C" w:rsidRDefault="0049140B" w:rsidP="00966523">
            <w:pPr>
              <w:jc w:val="center"/>
              <w:rPr>
                <w:rFonts w:cs="Times New Roman"/>
                <w:sz w:val="22"/>
              </w:rPr>
            </w:pPr>
            <w:r>
              <w:rPr>
                <w:rFonts w:cs="Times New Roman"/>
                <w:sz w:val="22"/>
              </w:rPr>
              <w:t>2,9</w:t>
            </w:r>
          </w:p>
        </w:tc>
        <w:tc>
          <w:tcPr>
            <w:tcW w:w="1257" w:type="dxa"/>
            <w:vAlign w:val="center"/>
          </w:tcPr>
          <w:p w14:paraId="3D2BEEBC" w14:textId="57D836D3" w:rsidR="00966523" w:rsidRPr="00300B3C" w:rsidRDefault="004E0525" w:rsidP="00966523">
            <w:pPr>
              <w:jc w:val="center"/>
              <w:rPr>
                <w:rFonts w:cs="Times New Roman"/>
                <w:sz w:val="22"/>
              </w:rPr>
            </w:pPr>
            <w:r>
              <w:rPr>
                <w:rFonts w:cs="Times New Roman"/>
                <w:sz w:val="22"/>
              </w:rPr>
              <w:t>0,0</w:t>
            </w:r>
          </w:p>
        </w:tc>
        <w:tc>
          <w:tcPr>
            <w:tcW w:w="1259" w:type="dxa"/>
            <w:vAlign w:val="center"/>
          </w:tcPr>
          <w:p w14:paraId="3D2BEEBD" w14:textId="72E5BEE1" w:rsidR="00966523" w:rsidRPr="00300B3C" w:rsidRDefault="004E0525" w:rsidP="00966523">
            <w:pPr>
              <w:jc w:val="center"/>
              <w:rPr>
                <w:rFonts w:cs="Times New Roman"/>
                <w:sz w:val="22"/>
              </w:rPr>
            </w:pPr>
            <w:r>
              <w:rPr>
                <w:rFonts w:cs="Times New Roman"/>
                <w:sz w:val="22"/>
              </w:rPr>
              <w:t>16,1</w:t>
            </w:r>
          </w:p>
        </w:tc>
        <w:tc>
          <w:tcPr>
            <w:tcW w:w="1885" w:type="dxa"/>
            <w:tcBorders>
              <w:bottom w:val="nil"/>
            </w:tcBorders>
            <w:shd w:val="clear" w:color="auto" w:fill="FFFF00"/>
            <w:vAlign w:val="center"/>
          </w:tcPr>
          <w:p w14:paraId="3D2BEEBE" w14:textId="53264AB1" w:rsidR="00966523" w:rsidRPr="00300B3C" w:rsidRDefault="004E0525" w:rsidP="00966523">
            <w:pPr>
              <w:jc w:val="center"/>
              <w:rPr>
                <w:rFonts w:cs="Times New Roman"/>
                <w:sz w:val="22"/>
              </w:rPr>
            </w:pPr>
            <w:r>
              <w:rPr>
                <w:rFonts w:cs="Times New Roman"/>
                <w:sz w:val="22"/>
              </w:rPr>
              <w:t>1,31</w:t>
            </w:r>
          </w:p>
        </w:tc>
      </w:tr>
      <w:tr w:rsidR="00966523" w:rsidRPr="00300B3C" w14:paraId="3D2BEEC8" w14:textId="77777777" w:rsidTr="00A9666B">
        <w:trPr>
          <w:jc w:val="center"/>
        </w:trPr>
        <w:tc>
          <w:tcPr>
            <w:tcW w:w="601" w:type="dxa"/>
          </w:tcPr>
          <w:p w14:paraId="3D2BEEC0" w14:textId="77777777" w:rsidR="00966523" w:rsidRPr="00300B3C" w:rsidRDefault="00966523" w:rsidP="00966523">
            <w:pPr>
              <w:rPr>
                <w:rFonts w:cs="Times New Roman"/>
                <w:sz w:val="22"/>
              </w:rPr>
            </w:pPr>
            <w:r w:rsidRPr="00300B3C">
              <w:rPr>
                <w:rFonts w:cs="Times New Roman"/>
                <w:sz w:val="22"/>
              </w:rPr>
              <w:t>24.1</w:t>
            </w:r>
          </w:p>
        </w:tc>
        <w:tc>
          <w:tcPr>
            <w:tcW w:w="4945" w:type="dxa"/>
          </w:tcPr>
          <w:p w14:paraId="3D2BEEC1" w14:textId="16C43C52" w:rsidR="00966523" w:rsidRPr="00300B3C" w:rsidRDefault="00966523" w:rsidP="00966523">
            <w:pPr>
              <w:rPr>
                <w:rFonts w:cs="Times New Roman"/>
                <w:sz w:val="22"/>
              </w:rPr>
            </w:pPr>
            <w:r w:rsidRPr="00300B3C">
              <w:rPr>
                <w:rFonts w:cs="Times New Roman"/>
                <w:sz w:val="22"/>
              </w:rPr>
              <w:t>Standartizuotas mirtingum</w:t>
            </w:r>
            <w:r w:rsidR="000808FA">
              <w:rPr>
                <w:rFonts w:cs="Times New Roman"/>
                <w:sz w:val="22"/>
              </w:rPr>
              <w:t>o</w:t>
            </w:r>
            <w:r w:rsidRPr="00300B3C">
              <w:rPr>
                <w:rFonts w:cs="Times New Roman"/>
                <w:sz w:val="22"/>
              </w:rPr>
              <w:t xml:space="preserve"> dėl priežasčių, susijusių su narkotikų vartojimu (F11-F12, F14-F16, F19, X42, X61, X61, X62, Y11, Y12)</w:t>
            </w:r>
            <w:r w:rsidR="000808FA">
              <w:rPr>
                <w:rFonts w:cs="Times New Roman"/>
                <w:sz w:val="22"/>
              </w:rPr>
              <w:t xml:space="preserve"> rodiklis</w:t>
            </w:r>
            <w:r w:rsidRPr="00300B3C">
              <w:rPr>
                <w:rFonts w:cs="Times New Roman"/>
                <w:sz w:val="22"/>
              </w:rPr>
              <w:t xml:space="preserve"> 100 000 gyv</w:t>
            </w:r>
            <w:r>
              <w:rPr>
                <w:rFonts w:cs="Times New Roman"/>
                <w:sz w:val="22"/>
              </w:rPr>
              <w:t>.</w:t>
            </w:r>
          </w:p>
        </w:tc>
        <w:tc>
          <w:tcPr>
            <w:tcW w:w="1787" w:type="dxa"/>
            <w:vAlign w:val="center"/>
          </w:tcPr>
          <w:p w14:paraId="3D2BEEC2" w14:textId="480CDCE7" w:rsidR="00966523" w:rsidRPr="00300B3C" w:rsidRDefault="00966523" w:rsidP="00966523">
            <w:pPr>
              <w:jc w:val="center"/>
              <w:rPr>
                <w:rFonts w:cs="Times New Roman"/>
                <w:sz w:val="22"/>
              </w:rPr>
            </w:pPr>
            <w:r w:rsidRPr="00300B3C">
              <w:rPr>
                <w:rFonts w:cs="Times New Roman"/>
                <w:sz w:val="22"/>
              </w:rPr>
              <w:t>2,6</w:t>
            </w:r>
          </w:p>
        </w:tc>
        <w:tc>
          <w:tcPr>
            <w:tcW w:w="1787" w:type="dxa"/>
            <w:vAlign w:val="center"/>
          </w:tcPr>
          <w:p w14:paraId="3D2BEEC3" w14:textId="652F619F" w:rsidR="00966523" w:rsidRPr="0049140B" w:rsidRDefault="001A1197" w:rsidP="00966523">
            <w:pPr>
              <w:jc w:val="center"/>
              <w:rPr>
                <w:rFonts w:cs="Times New Roman"/>
                <w:bCs/>
                <w:sz w:val="22"/>
              </w:rPr>
            </w:pPr>
            <w:r>
              <w:rPr>
                <w:rFonts w:cs="Times New Roman"/>
                <w:bCs/>
                <w:sz w:val="22"/>
              </w:rPr>
              <w:t>4,1</w:t>
            </w:r>
            <w:r w:rsidR="003610FF">
              <w:rPr>
                <w:rFonts w:cs="Times New Roman"/>
                <w:bCs/>
                <w:sz w:val="22"/>
              </w:rPr>
              <w:t xml:space="preserve"> </w:t>
            </w:r>
            <w:r w:rsidR="003610FF" w:rsidRPr="00500250">
              <w:rPr>
                <w:rFonts w:cs="Times New Roman"/>
                <w:b/>
                <w:bCs/>
                <w:color w:val="FF0000"/>
                <w:sz w:val="22"/>
              </w:rPr>
              <w:t>↑</w:t>
            </w:r>
          </w:p>
        </w:tc>
        <w:tc>
          <w:tcPr>
            <w:tcW w:w="1257" w:type="dxa"/>
            <w:vAlign w:val="center"/>
          </w:tcPr>
          <w:p w14:paraId="3D2BEEC4" w14:textId="17E23F1E" w:rsidR="00966523" w:rsidRPr="00300B3C" w:rsidRDefault="001A1197" w:rsidP="00966523">
            <w:pPr>
              <w:jc w:val="center"/>
              <w:rPr>
                <w:rFonts w:cs="Times New Roman"/>
                <w:sz w:val="22"/>
              </w:rPr>
            </w:pPr>
            <w:r>
              <w:rPr>
                <w:rFonts w:cs="Times New Roman"/>
                <w:sz w:val="22"/>
              </w:rPr>
              <w:t>3,0</w:t>
            </w:r>
          </w:p>
        </w:tc>
        <w:tc>
          <w:tcPr>
            <w:tcW w:w="1257" w:type="dxa"/>
            <w:vAlign w:val="center"/>
          </w:tcPr>
          <w:p w14:paraId="3D2BEEC5" w14:textId="317E5F7A" w:rsidR="00966523" w:rsidRPr="00300B3C" w:rsidRDefault="00A9666B" w:rsidP="00966523">
            <w:pPr>
              <w:jc w:val="center"/>
              <w:rPr>
                <w:rFonts w:cs="Times New Roman"/>
                <w:sz w:val="22"/>
              </w:rPr>
            </w:pPr>
            <w:r>
              <w:rPr>
                <w:rFonts w:cs="Times New Roman"/>
                <w:sz w:val="22"/>
              </w:rPr>
              <w:t>0,0</w:t>
            </w:r>
          </w:p>
        </w:tc>
        <w:tc>
          <w:tcPr>
            <w:tcW w:w="1259" w:type="dxa"/>
            <w:vAlign w:val="center"/>
          </w:tcPr>
          <w:p w14:paraId="3D2BEEC6" w14:textId="16C1685A" w:rsidR="00966523" w:rsidRPr="00300B3C" w:rsidRDefault="00A9666B" w:rsidP="00966523">
            <w:pPr>
              <w:jc w:val="center"/>
              <w:rPr>
                <w:rFonts w:cs="Times New Roman"/>
                <w:sz w:val="22"/>
              </w:rPr>
            </w:pPr>
            <w:r>
              <w:rPr>
                <w:rFonts w:cs="Times New Roman"/>
                <w:sz w:val="22"/>
              </w:rPr>
              <w:t>16,2</w:t>
            </w:r>
          </w:p>
        </w:tc>
        <w:tc>
          <w:tcPr>
            <w:tcW w:w="1885" w:type="dxa"/>
            <w:shd w:val="clear" w:color="auto" w:fill="FFFF00"/>
            <w:vAlign w:val="center"/>
          </w:tcPr>
          <w:p w14:paraId="3D2BEEC7" w14:textId="7178DA9D" w:rsidR="00966523" w:rsidRPr="00300B3C" w:rsidRDefault="00A9666B" w:rsidP="00966523">
            <w:pPr>
              <w:jc w:val="center"/>
              <w:rPr>
                <w:rFonts w:cs="Times New Roman"/>
                <w:sz w:val="22"/>
              </w:rPr>
            </w:pPr>
            <w:r>
              <w:rPr>
                <w:rFonts w:cs="Times New Roman"/>
                <w:sz w:val="22"/>
              </w:rPr>
              <w:t>1,37</w:t>
            </w:r>
          </w:p>
        </w:tc>
      </w:tr>
      <w:tr w:rsidR="00966523" w:rsidRPr="00300B3C" w14:paraId="3D2BEED1" w14:textId="77777777" w:rsidTr="00E07696">
        <w:trPr>
          <w:jc w:val="center"/>
        </w:trPr>
        <w:tc>
          <w:tcPr>
            <w:tcW w:w="601" w:type="dxa"/>
          </w:tcPr>
          <w:p w14:paraId="3D2BEEC9" w14:textId="77777777" w:rsidR="00966523" w:rsidRPr="00300B3C" w:rsidRDefault="00966523" w:rsidP="00966523">
            <w:pPr>
              <w:rPr>
                <w:rFonts w:cs="Times New Roman"/>
                <w:sz w:val="22"/>
              </w:rPr>
            </w:pPr>
            <w:r w:rsidRPr="00300B3C">
              <w:rPr>
                <w:rFonts w:cs="Times New Roman"/>
                <w:sz w:val="22"/>
              </w:rPr>
              <w:t>25.</w:t>
            </w:r>
          </w:p>
        </w:tc>
        <w:tc>
          <w:tcPr>
            <w:tcW w:w="4945" w:type="dxa"/>
          </w:tcPr>
          <w:p w14:paraId="3D2BEECA" w14:textId="77777777" w:rsidR="00966523" w:rsidRPr="00300B3C" w:rsidRDefault="00966523" w:rsidP="00966523">
            <w:pPr>
              <w:rPr>
                <w:rFonts w:cs="Times New Roman"/>
                <w:sz w:val="22"/>
              </w:rPr>
            </w:pPr>
            <w:r w:rsidRPr="00300B3C">
              <w:rPr>
                <w:rFonts w:cs="Times New Roman"/>
                <w:sz w:val="22"/>
              </w:rPr>
              <w:t>Mirtingumas dėl priežasčių, susijusių su alkoholio vartojimu (E24.4, F10, G31.2, G40.5, G62.1, G72.1, I42.6, K29.2, K70, K85.2, K86.0, P04.3, X45, X65, Y15) 100 000 gyv.</w:t>
            </w:r>
          </w:p>
        </w:tc>
        <w:tc>
          <w:tcPr>
            <w:tcW w:w="1787" w:type="dxa"/>
            <w:vAlign w:val="center"/>
          </w:tcPr>
          <w:p w14:paraId="3D2BEECB" w14:textId="3E8AD923" w:rsidR="00966523" w:rsidRPr="00300B3C" w:rsidRDefault="00966523" w:rsidP="00966523">
            <w:pPr>
              <w:jc w:val="center"/>
              <w:rPr>
                <w:rFonts w:cs="Times New Roman"/>
                <w:sz w:val="22"/>
              </w:rPr>
            </w:pPr>
            <w:r w:rsidRPr="00300B3C">
              <w:rPr>
                <w:rFonts w:cs="Times New Roman"/>
                <w:sz w:val="22"/>
              </w:rPr>
              <w:t>17,0</w:t>
            </w:r>
          </w:p>
        </w:tc>
        <w:tc>
          <w:tcPr>
            <w:tcW w:w="1787" w:type="dxa"/>
            <w:vAlign w:val="center"/>
          </w:tcPr>
          <w:p w14:paraId="3D2BEECC" w14:textId="3A4CF8D7" w:rsidR="00966523" w:rsidRPr="0049140B" w:rsidRDefault="00DC0712" w:rsidP="00966523">
            <w:pPr>
              <w:jc w:val="center"/>
              <w:rPr>
                <w:rFonts w:cs="Times New Roman"/>
                <w:bCs/>
                <w:sz w:val="22"/>
              </w:rPr>
            </w:pPr>
            <w:r>
              <w:rPr>
                <w:rFonts w:cs="Times New Roman"/>
                <w:bCs/>
                <w:sz w:val="22"/>
              </w:rPr>
              <w:t>11,5</w:t>
            </w:r>
            <w:r w:rsidR="00F05640">
              <w:rPr>
                <w:rFonts w:cs="Times New Roman"/>
                <w:bCs/>
                <w:sz w:val="22"/>
              </w:rPr>
              <w:t xml:space="preserve"> </w:t>
            </w:r>
            <w:r w:rsidR="00F05640" w:rsidRPr="00880C89">
              <w:rPr>
                <w:rFonts w:cs="Times New Roman"/>
                <w:b/>
                <w:bCs/>
                <w:color w:val="00B050"/>
                <w:sz w:val="22"/>
              </w:rPr>
              <w:t>↓</w:t>
            </w:r>
          </w:p>
        </w:tc>
        <w:tc>
          <w:tcPr>
            <w:tcW w:w="1257" w:type="dxa"/>
            <w:vAlign w:val="center"/>
          </w:tcPr>
          <w:p w14:paraId="3D2BEECD" w14:textId="381D6309" w:rsidR="00966523" w:rsidRPr="00300B3C" w:rsidRDefault="00DC0712" w:rsidP="00966523">
            <w:pPr>
              <w:jc w:val="center"/>
              <w:rPr>
                <w:rFonts w:cs="Times New Roman"/>
                <w:sz w:val="22"/>
              </w:rPr>
            </w:pPr>
            <w:r>
              <w:rPr>
                <w:rFonts w:cs="Times New Roman"/>
                <w:sz w:val="22"/>
              </w:rPr>
              <w:t>19,1</w:t>
            </w:r>
          </w:p>
        </w:tc>
        <w:tc>
          <w:tcPr>
            <w:tcW w:w="1257" w:type="dxa"/>
            <w:vAlign w:val="center"/>
          </w:tcPr>
          <w:p w14:paraId="3D2BEECE" w14:textId="67D8A238" w:rsidR="00966523" w:rsidRPr="00300B3C" w:rsidRDefault="00E07696" w:rsidP="00966523">
            <w:pPr>
              <w:jc w:val="center"/>
              <w:rPr>
                <w:rFonts w:cs="Times New Roman"/>
                <w:sz w:val="22"/>
              </w:rPr>
            </w:pPr>
            <w:r>
              <w:rPr>
                <w:rFonts w:cs="Times New Roman"/>
                <w:sz w:val="22"/>
              </w:rPr>
              <w:t>3,4</w:t>
            </w:r>
          </w:p>
        </w:tc>
        <w:tc>
          <w:tcPr>
            <w:tcW w:w="1259" w:type="dxa"/>
            <w:vAlign w:val="center"/>
          </w:tcPr>
          <w:p w14:paraId="3D2BEECF" w14:textId="3A173DAA" w:rsidR="00966523" w:rsidRPr="00300B3C" w:rsidRDefault="00E07696" w:rsidP="00966523">
            <w:pPr>
              <w:jc w:val="center"/>
              <w:rPr>
                <w:rFonts w:cs="Times New Roman"/>
                <w:sz w:val="22"/>
              </w:rPr>
            </w:pPr>
            <w:r>
              <w:rPr>
                <w:rFonts w:cs="Times New Roman"/>
                <w:sz w:val="22"/>
              </w:rPr>
              <w:t>59,3</w:t>
            </w:r>
          </w:p>
        </w:tc>
        <w:tc>
          <w:tcPr>
            <w:tcW w:w="1885" w:type="dxa"/>
            <w:shd w:val="clear" w:color="auto" w:fill="FFFF00"/>
            <w:vAlign w:val="center"/>
          </w:tcPr>
          <w:p w14:paraId="3D2BEED0" w14:textId="24BEF906" w:rsidR="00966523" w:rsidRPr="00300B3C" w:rsidRDefault="00E07696" w:rsidP="00966523">
            <w:pPr>
              <w:jc w:val="center"/>
              <w:rPr>
                <w:rFonts w:cs="Times New Roman"/>
                <w:sz w:val="22"/>
              </w:rPr>
            </w:pPr>
            <w:r>
              <w:rPr>
                <w:rFonts w:cs="Times New Roman"/>
                <w:sz w:val="22"/>
              </w:rPr>
              <w:t>0,60</w:t>
            </w:r>
          </w:p>
        </w:tc>
      </w:tr>
      <w:tr w:rsidR="00966523" w:rsidRPr="00300B3C" w14:paraId="3D2BEEDA" w14:textId="77777777" w:rsidTr="00132359">
        <w:trPr>
          <w:jc w:val="center"/>
        </w:trPr>
        <w:tc>
          <w:tcPr>
            <w:tcW w:w="601" w:type="dxa"/>
          </w:tcPr>
          <w:p w14:paraId="3D2BEED2" w14:textId="77777777" w:rsidR="00966523" w:rsidRPr="00300B3C" w:rsidRDefault="00966523" w:rsidP="00966523">
            <w:pPr>
              <w:rPr>
                <w:rFonts w:cs="Times New Roman"/>
                <w:sz w:val="22"/>
              </w:rPr>
            </w:pPr>
            <w:r w:rsidRPr="00300B3C">
              <w:rPr>
                <w:rFonts w:cs="Times New Roman"/>
                <w:sz w:val="22"/>
              </w:rPr>
              <w:t>25.1</w:t>
            </w:r>
          </w:p>
        </w:tc>
        <w:tc>
          <w:tcPr>
            <w:tcW w:w="4945" w:type="dxa"/>
          </w:tcPr>
          <w:p w14:paraId="3D2BEED3" w14:textId="014AD854" w:rsidR="00966523" w:rsidRPr="00300B3C" w:rsidRDefault="00966523" w:rsidP="00966523">
            <w:pPr>
              <w:rPr>
                <w:rFonts w:cs="Times New Roman"/>
                <w:sz w:val="22"/>
              </w:rPr>
            </w:pPr>
            <w:r w:rsidRPr="00300B3C">
              <w:rPr>
                <w:rFonts w:cs="Times New Roman"/>
                <w:sz w:val="22"/>
              </w:rPr>
              <w:t>Standartizuotas mirtingum</w:t>
            </w:r>
            <w:r w:rsidR="000808FA">
              <w:rPr>
                <w:rFonts w:cs="Times New Roman"/>
                <w:sz w:val="22"/>
              </w:rPr>
              <w:t>o</w:t>
            </w:r>
            <w:r w:rsidRPr="00300B3C">
              <w:rPr>
                <w:rFonts w:cs="Times New Roman"/>
                <w:sz w:val="22"/>
              </w:rPr>
              <w:t xml:space="preserve"> dėl priežasčių, susijusių su alkoholio vartojimu (E24.4, F10, G31.2, G40.5, G62.1, G72.1, I42.6, K29.2, K70, K85.2, K86.0, P04.3, X45, X65, Y15)</w:t>
            </w:r>
            <w:r w:rsidR="000808FA">
              <w:rPr>
                <w:rFonts w:cs="Times New Roman"/>
                <w:sz w:val="22"/>
              </w:rPr>
              <w:t xml:space="preserve"> rodiklis</w:t>
            </w:r>
            <w:r w:rsidRPr="00300B3C">
              <w:rPr>
                <w:rFonts w:cs="Times New Roman"/>
                <w:sz w:val="22"/>
              </w:rPr>
              <w:t xml:space="preserve"> 100 000 gyv.</w:t>
            </w:r>
          </w:p>
        </w:tc>
        <w:tc>
          <w:tcPr>
            <w:tcW w:w="1787" w:type="dxa"/>
            <w:vAlign w:val="center"/>
          </w:tcPr>
          <w:p w14:paraId="3D2BEED4" w14:textId="22FA23B8" w:rsidR="00966523" w:rsidRPr="00300B3C" w:rsidRDefault="00966523" w:rsidP="00966523">
            <w:pPr>
              <w:jc w:val="center"/>
              <w:rPr>
                <w:rFonts w:cs="Times New Roman"/>
                <w:sz w:val="22"/>
              </w:rPr>
            </w:pPr>
            <w:r w:rsidRPr="00300B3C">
              <w:rPr>
                <w:rFonts w:cs="Times New Roman"/>
                <w:sz w:val="22"/>
              </w:rPr>
              <w:t>17,3</w:t>
            </w:r>
          </w:p>
        </w:tc>
        <w:tc>
          <w:tcPr>
            <w:tcW w:w="1787" w:type="dxa"/>
            <w:vAlign w:val="center"/>
          </w:tcPr>
          <w:p w14:paraId="3D2BEED5" w14:textId="4B0A8CB1" w:rsidR="00966523" w:rsidRPr="0049140B" w:rsidRDefault="000E16BD" w:rsidP="00966523">
            <w:pPr>
              <w:jc w:val="center"/>
              <w:rPr>
                <w:rFonts w:cs="Times New Roman"/>
                <w:bCs/>
                <w:sz w:val="22"/>
              </w:rPr>
            </w:pPr>
            <w:r>
              <w:rPr>
                <w:rFonts w:cs="Times New Roman"/>
                <w:bCs/>
                <w:sz w:val="22"/>
              </w:rPr>
              <w:t>11,4</w:t>
            </w:r>
            <w:r w:rsidR="00F05640">
              <w:rPr>
                <w:rFonts w:cs="Times New Roman"/>
                <w:bCs/>
                <w:sz w:val="22"/>
              </w:rPr>
              <w:t xml:space="preserve"> </w:t>
            </w:r>
            <w:r w:rsidR="00F05640" w:rsidRPr="00880C89">
              <w:rPr>
                <w:rFonts w:cs="Times New Roman"/>
                <w:b/>
                <w:bCs/>
                <w:color w:val="00B050"/>
                <w:sz w:val="22"/>
              </w:rPr>
              <w:t>↓</w:t>
            </w:r>
          </w:p>
        </w:tc>
        <w:tc>
          <w:tcPr>
            <w:tcW w:w="1257" w:type="dxa"/>
            <w:vAlign w:val="center"/>
          </w:tcPr>
          <w:p w14:paraId="3D2BEED6" w14:textId="732EB215" w:rsidR="00966523" w:rsidRPr="00300B3C" w:rsidRDefault="000E16BD" w:rsidP="00966523">
            <w:pPr>
              <w:jc w:val="center"/>
              <w:rPr>
                <w:rFonts w:cs="Times New Roman"/>
                <w:sz w:val="22"/>
              </w:rPr>
            </w:pPr>
            <w:r>
              <w:rPr>
                <w:rFonts w:cs="Times New Roman"/>
                <w:sz w:val="22"/>
              </w:rPr>
              <w:t>18,5</w:t>
            </w:r>
          </w:p>
        </w:tc>
        <w:tc>
          <w:tcPr>
            <w:tcW w:w="1257" w:type="dxa"/>
            <w:vAlign w:val="center"/>
          </w:tcPr>
          <w:p w14:paraId="3D2BEED7" w14:textId="2E2C7929" w:rsidR="00966523" w:rsidRPr="00300B3C" w:rsidRDefault="001D3045" w:rsidP="00966523">
            <w:pPr>
              <w:jc w:val="center"/>
              <w:rPr>
                <w:rFonts w:cs="Times New Roman"/>
                <w:sz w:val="22"/>
              </w:rPr>
            </w:pPr>
            <w:r>
              <w:rPr>
                <w:rFonts w:cs="Times New Roman"/>
                <w:sz w:val="22"/>
              </w:rPr>
              <w:t>0,0</w:t>
            </w:r>
          </w:p>
        </w:tc>
        <w:tc>
          <w:tcPr>
            <w:tcW w:w="1259" w:type="dxa"/>
            <w:vAlign w:val="center"/>
          </w:tcPr>
          <w:p w14:paraId="3D2BEED8" w14:textId="3033D564" w:rsidR="00966523" w:rsidRPr="00300B3C" w:rsidRDefault="00132359" w:rsidP="00966523">
            <w:pPr>
              <w:jc w:val="center"/>
              <w:rPr>
                <w:rFonts w:cs="Times New Roman"/>
                <w:sz w:val="22"/>
              </w:rPr>
            </w:pPr>
            <w:r>
              <w:rPr>
                <w:rFonts w:cs="Times New Roman"/>
                <w:sz w:val="22"/>
              </w:rPr>
              <w:t>71,4</w:t>
            </w:r>
          </w:p>
        </w:tc>
        <w:tc>
          <w:tcPr>
            <w:tcW w:w="1885" w:type="dxa"/>
            <w:shd w:val="clear" w:color="auto" w:fill="FFFF00"/>
            <w:vAlign w:val="center"/>
          </w:tcPr>
          <w:p w14:paraId="3D2BEED9" w14:textId="08B02841" w:rsidR="00966523" w:rsidRPr="00300B3C" w:rsidRDefault="00132359" w:rsidP="00966523">
            <w:pPr>
              <w:jc w:val="center"/>
              <w:rPr>
                <w:rFonts w:cs="Times New Roman"/>
                <w:sz w:val="22"/>
              </w:rPr>
            </w:pPr>
            <w:r>
              <w:rPr>
                <w:rFonts w:cs="Times New Roman"/>
                <w:sz w:val="22"/>
              </w:rPr>
              <w:t>0,62</w:t>
            </w:r>
          </w:p>
        </w:tc>
      </w:tr>
      <w:tr w:rsidR="00966523" w:rsidRPr="00300B3C" w14:paraId="3D2BEEE3" w14:textId="77777777" w:rsidTr="009B5CAC">
        <w:trPr>
          <w:jc w:val="center"/>
        </w:trPr>
        <w:tc>
          <w:tcPr>
            <w:tcW w:w="601" w:type="dxa"/>
          </w:tcPr>
          <w:p w14:paraId="3D2BEEDB" w14:textId="77777777" w:rsidR="00966523" w:rsidRPr="00300B3C" w:rsidRDefault="00966523" w:rsidP="00966523">
            <w:pPr>
              <w:rPr>
                <w:rFonts w:cs="Times New Roman"/>
                <w:sz w:val="22"/>
              </w:rPr>
            </w:pPr>
            <w:r w:rsidRPr="00300B3C">
              <w:rPr>
                <w:rFonts w:cs="Times New Roman"/>
                <w:sz w:val="22"/>
              </w:rPr>
              <w:t>26.</w:t>
            </w:r>
          </w:p>
        </w:tc>
        <w:tc>
          <w:tcPr>
            <w:tcW w:w="4945" w:type="dxa"/>
          </w:tcPr>
          <w:p w14:paraId="3D2BEEDC" w14:textId="77777777" w:rsidR="00966523" w:rsidRPr="00300B3C" w:rsidRDefault="00966523" w:rsidP="00966523">
            <w:pPr>
              <w:rPr>
                <w:rFonts w:cs="Times New Roman"/>
                <w:sz w:val="22"/>
              </w:rPr>
            </w:pPr>
            <w:r w:rsidRPr="00300B3C">
              <w:rPr>
                <w:rFonts w:cs="Times New Roman"/>
                <w:sz w:val="22"/>
              </w:rPr>
              <w:t>Nusikalstamos veikos, susijusios su disponavimu narkotinėmis medžiagomis ir jų kontrabanda (nusikaltimai), 100 000 gyv.</w:t>
            </w:r>
          </w:p>
        </w:tc>
        <w:tc>
          <w:tcPr>
            <w:tcW w:w="1787" w:type="dxa"/>
            <w:vAlign w:val="center"/>
          </w:tcPr>
          <w:p w14:paraId="3D2BEEDD" w14:textId="352F63DF" w:rsidR="00966523" w:rsidRPr="00300B3C" w:rsidRDefault="00966523" w:rsidP="00966523">
            <w:pPr>
              <w:jc w:val="center"/>
              <w:rPr>
                <w:rFonts w:cs="Times New Roman"/>
                <w:sz w:val="22"/>
              </w:rPr>
            </w:pPr>
            <w:r w:rsidRPr="00300B3C">
              <w:rPr>
                <w:rFonts w:cs="Times New Roman"/>
                <w:sz w:val="22"/>
              </w:rPr>
              <w:t>60,5</w:t>
            </w:r>
          </w:p>
        </w:tc>
        <w:tc>
          <w:tcPr>
            <w:tcW w:w="1787" w:type="dxa"/>
            <w:vAlign w:val="center"/>
          </w:tcPr>
          <w:p w14:paraId="3D2BEEDE" w14:textId="355C62F6" w:rsidR="00966523" w:rsidRPr="0049140B" w:rsidRDefault="00D62E07" w:rsidP="00966523">
            <w:pPr>
              <w:jc w:val="center"/>
              <w:rPr>
                <w:rFonts w:cs="Times New Roman"/>
                <w:bCs/>
                <w:sz w:val="22"/>
              </w:rPr>
            </w:pPr>
            <w:r>
              <w:rPr>
                <w:rFonts w:cs="Times New Roman"/>
                <w:bCs/>
                <w:sz w:val="22"/>
              </w:rPr>
              <w:t>64,9</w:t>
            </w:r>
            <w:r w:rsidR="003610FF">
              <w:rPr>
                <w:rFonts w:cs="Times New Roman"/>
                <w:bCs/>
                <w:sz w:val="22"/>
              </w:rPr>
              <w:t xml:space="preserve"> </w:t>
            </w:r>
            <w:r w:rsidR="003610FF" w:rsidRPr="00500250">
              <w:rPr>
                <w:rFonts w:cs="Times New Roman"/>
                <w:b/>
                <w:bCs/>
                <w:color w:val="FF0000"/>
                <w:sz w:val="22"/>
              </w:rPr>
              <w:t>↑</w:t>
            </w:r>
          </w:p>
        </w:tc>
        <w:tc>
          <w:tcPr>
            <w:tcW w:w="1257" w:type="dxa"/>
            <w:vAlign w:val="center"/>
          </w:tcPr>
          <w:p w14:paraId="3D2BEEDF" w14:textId="7C172CF1" w:rsidR="00966523" w:rsidRPr="00300B3C" w:rsidRDefault="00D62E07" w:rsidP="00966523">
            <w:pPr>
              <w:jc w:val="center"/>
              <w:rPr>
                <w:rFonts w:cs="Times New Roman"/>
                <w:sz w:val="22"/>
              </w:rPr>
            </w:pPr>
            <w:r>
              <w:rPr>
                <w:rFonts w:cs="Times New Roman"/>
                <w:sz w:val="22"/>
              </w:rPr>
              <w:t>74,1</w:t>
            </w:r>
          </w:p>
        </w:tc>
        <w:tc>
          <w:tcPr>
            <w:tcW w:w="1257" w:type="dxa"/>
            <w:vAlign w:val="center"/>
          </w:tcPr>
          <w:p w14:paraId="3D2BEEE0" w14:textId="7DFF5EC7" w:rsidR="00966523" w:rsidRPr="00300B3C" w:rsidRDefault="00D62E07" w:rsidP="00966523">
            <w:pPr>
              <w:jc w:val="center"/>
              <w:rPr>
                <w:rFonts w:cs="Times New Roman"/>
                <w:sz w:val="22"/>
              </w:rPr>
            </w:pPr>
            <w:r>
              <w:rPr>
                <w:rFonts w:cs="Times New Roman"/>
                <w:sz w:val="22"/>
              </w:rPr>
              <w:t>3,8</w:t>
            </w:r>
          </w:p>
        </w:tc>
        <w:tc>
          <w:tcPr>
            <w:tcW w:w="1259" w:type="dxa"/>
            <w:vAlign w:val="center"/>
          </w:tcPr>
          <w:p w14:paraId="3D2BEEE1" w14:textId="1056F793" w:rsidR="00966523" w:rsidRPr="00300B3C" w:rsidRDefault="00D62E07" w:rsidP="00966523">
            <w:pPr>
              <w:jc w:val="center"/>
              <w:rPr>
                <w:rFonts w:cs="Times New Roman"/>
                <w:sz w:val="22"/>
              </w:rPr>
            </w:pPr>
            <w:r>
              <w:rPr>
                <w:rFonts w:cs="Times New Roman"/>
                <w:sz w:val="22"/>
              </w:rPr>
              <w:t>350,0</w:t>
            </w:r>
          </w:p>
        </w:tc>
        <w:tc>
          <w:tcPr>
            <w:tcW w:w="1885" w:type="dxa"/>
            <w:shd w:val="clear" w:color="auto" w:fill="FFFF00"/>
            <w:vAlign w:val="center"/>
          </w:tcPr>
          <w:p w14:paraId="3D2BEEE2" w14:textId="028D6CF5" w:rsidR="00966523" w:rsidRPr="00300B3C" w:rsidRDefault="009B5CAC" w:rsidP="00966523">
            <w:pPr>
              <w:jc w:val="center"/>
              <w:rPr>
                <w:rFonts w:cs="Times New Roman"/>
                <w:sz w:val="22"/>
              </w:rPr>
            </w:pPr>
            <w:r>
              <w:rPr>
                <w:rFonts w:cs="Times New Roman"/>
                <w:sz w:val="22"/>
              </w:rPr>
              <w:t>0,88</w:t>
            </w:r>
          </w:p>
        </w:tc>
      </w:tr>
      <w:tr w:rsidR="00966523" w:rsidRPr="00300B3C" w14:paraId="3D2BEEEC" w14:textId="77777777" w:rsidTr="00C923A0">
        <w:trPr>
          <w:jc w:val="center"/>
        </w:trPr>
        <w:tc>
          <w:tcPr>
            <w:tcW w:w="601" w:type="dxa"/>
          </w:tcPr>
          <w:p w14:paraId="3D2BEEE4" w14:textId="77777777" w:rsidR="00966523" w:rsidRPr="00300B3C" w:rsidRDefault="00966523" w:rsidP="00966523">
            <w:pPr>
              <w:rPr>
                <w:rFonts w:cs="Times New Roman"/>
                <w:sz w:val="22"/>
              </w:rPr>
            </w:pPr>
            <w:r w:rsidRPr="00300B3C">
              <w:rPr>
                <w:rFonts w:cs="Times New Roman"/>
                <w:sz w:val="22"/>
              </w:rPr>
              <w:t>27.</w:t>
            </w:r>
          </w:p>
        </w:tc>
        <w:tc>
          <w:tcPr>
            <w:tcW w:w="4945" w:type="dxa"/>
          </w:tcPr>
          <w:p w14:paraId="3D2BEEE5" w14:textId="77777777" w:rsidR="00966523" w:rsidRPr="00300B3C" w:rsidRDefault="00966523" w:rsidP="00966523">
            <w:pPr>
              <w:rPr>
                <w:rFonts w:cs="Times New Roman"/>
                <w:sz w:val="22"/>
              </w:rPr>
            </w:pPr>
            <w:r w:rsidRPr="00300B3C">
              <w:rPr>
                <w:rFonts w:cs="Times New Roman"/>
                <w:sz w:val="22"/>
              </w:rPr>
              <w:t>Gyventojų skaičius, tenkantis vienai licencijai verstis mažmenine prekyba tabako gaminiais</w:t>
            </w:r>
          </w:p>
        </w:tc>
        <w:tc>
          <w:tcPr>
            <w:tcW w:w="1787" w:type="dxa"/>
            <w:vAlign w:val="center"/>
          </w:tcPr>
          <w:p w14:paraId="3D2BEEE6" w14:textId="73ECF10A" w:rsidR="00966523" w:rsidRPr="00300B3C" w:rsidRDefault="00966523" w:rsidP="00966523">
            <w:pPr>
              <w:jc w:val="center"/>
              <w:rPr>
                <w:rFonts w:cs="Times New Roman"/>
                <w:sz w:val="22"/>
              </w:rPr>
            </w:pPr>
            <w:r w:rsidRPr="00300B3C">
              <w:rPr>
                <w:rFonts w:cs="Times New Roman"/>
                <w:sz w:val="22"/>
              </w:rPr>
              <w:t>168,9</w:t>
            </w:r>
          </w:p>
        </w:tc>
        <w:tc>
          <w:tcPr>
            <w:tcW w:w="1787" w:type="dxa"/>
            <w:vAlign w:val="center"/>
          </w:tcPr>
          <w:p w14:paraId="3D2BEEE7" w14:textId="0BB6CF23" w:rsidR="00966523" w:rsidRPr="0049140B" w:rsidRDefault="008E40EA" w:rsidP="00966523">
            <w:pPr>
              <w:jc w:val="center"/>
              <w:rPr>
                <w:rFonts w:cs="Times New Roman"/>
                <w:bCs/>
                <w:sz w:val="22"/>
              </w:rPr>
            </w:pPr>
            <w:r>
              <w:rPr>
                <w:rFonts w:cs="Times New Roman"/>
                <w:bCs/>
                <w:sz w:val="22"/>
              </w:rPr>
              <w:t>169,8</w:t>
            </w:r>
            <w:r w:rsidR="003610FF">
              <w:rPr>
                <w:rFonts w:cs="Times New Roman"/>
                <w:bCs/>
                <w:sz w:val="22"/>
              </w:rPr>
              <w:t xml:space="preserve"> </w:t>
            </w:r>
            <w:r w:rsidR="00F05640" w:rsidRPr="008002E0">
              <w:rPr>
                <w:rFonts w:cs="Times New Roman"/>
                <w:b/>
                <w:bCs/>
                <w:color w:val="00B050"/>
                <w:sz w:val="22"/>
              </w:rPr>
              <w:t>↑</w:t>
            </w:r>
          </w:p>
        </w:tc>
        <w:tc>
          <w:tcPr>
            <w:tcW w:w="1257" w:type="dxa"/>
            <w:vAlign w:val="center"/>
          </w:tcPr>
          <w:p w14:paraId="3D2BEEE8" w14:textId="7C373773" w:rsidR="00966523" w:rsidRPr="00300B3C" w:rsidRDefault="008E40EA" w:rsidP="00966523">
            <w:pPr>
              <w:jc w:val="center"/>
              <w:rPr>
                <w:rFonts w:cs="Times New Roman"/>
                <w:sz w:val="22"/>
              </w:rPr>
            </w:pPr>
            <w:r>
              <w:rPr>
                <w:rFonts w:cs="Times New Roman"/>
                <w:sz w:val="22"/>
              </w:rPr>
              <w:t>199,2</w:t>
            </w:r>
          </w:p>
        </w:tc>
        <w:tc>
          <w:tcPr>
            <w:tcW w:w="1257" w:type="dxa"/>
            <w:vAlign w:val="center"/>
          </w:tcPr>
          <w:p w14:paraId="3D2BEEE9" w14:textId="59214ED1" w:rsidR="00966523" w:rsidRPr="00300B3C" w:rsidRDefault="008E40EA" w:rsidP="00966523">
            <w:pPr>
              <w:jc w:val="center"/>
              <w:rPr>
                <w:rFonts w:cs="Times New Roman"/>
                <w:sz w:val="22"/>
              </w:rPr>
            </w:pPr>
            <w:r>
              <w:rPr>
                <w:rFonts w:cs="Times New Roman"/>
                <w:sz w:val="22"/>
              </w:rPr>
              <w:t>70,1</w:t>
            </w:r>
          </w:p>
        </w:tc>
        <w:tc>
          <w:tcPr>
            <w:tcW w:w="1259" w:type="dxa"/>
            <w:vAlign w:val="center"/>
          </w:tcPr>
          <w:p w14:paraId="3D2BEEEA" w14:textId="0C17DFC9" w:rsidR="00966523" w:rsidRPr="00300B3C" w:rsidRDefault="008E40EA" w:rsidP="00966523">
            <w:pPr>
              <w:jc w:val="center"/>
              <w:rPr>
                <w:rFonts w:cs="Times New Roman"/>
                <w:sz w:val="22"/>
              </w:rPr>
            </w:pPr>
            <w:r>
              <w:rPr>
                <w:rFonts w:cs="Times New Roman"/>
                <w:sz w:val="22"/>
              </w:rPr>
              <w:t>395,0</w:t>
            </w:r>
          </w:p>
        </w:tc>
        <w:tc>
          <w:tcPr>
            <w:tcW w:w="1885" w:type="dxa"/>
            <w:shd w:val="clear" w:color="auto" w:fill="FFFF00"/>
            <w:vAlign w:val="center"/>
          </w:tcPr>
          <w:p w14:paraId="3D2BEEEB" w14:textId="43109859" w:rsidR="00966523" w:rsidRPr="00300B3C" w:rsidRDefault="0001766D" w:rsidP="00966523">
            <w:pPr>
              <w:jc w:val="center"/>
              <w:rPr>
                <w:rFonts w:cs="Times New Roman"/>
                <w:sz w:val="22"/>
              </w:rPr>
            </w:pPr>
            <w:r>
              <w:rPr>
                <w:rFonts w:cs="Times New Roman"/>
                <w:sz w:val="22"/>
              </w:rPr>
              <w:t>0,85</w:t>
            </w:r>
          </w:p>
        </w:tc>
      </w:tr>
      <w:tr w:rsidR="00966523" w:rsidRPr="00300B3C" w14:paraId="3D2BEEF5" w14:textId="77777777" w:rsidTr="00C47A2F">
        <w:trPr>
          <w:jc w:val="center"/>
        </w:trPr>
        <w:tc>
          <w:tcPr>
            <w:tcW w:w="601" w:type="dxa"/>
          </w:tcPr>
          <w:p w14:paraId="3D2BEEED" w14:textId="77777777" w:rsidR="00966523" w:rsidRPr="00300B3C" w:rsidRDefault="00966523" w:rsidP="00966523">
            <w:pPr>
              <w:rPr>
                <w:rFonts w:cs="Times New Roman"/>
                <w:sz w:val="22"/>
              </w:rPr>
            </w:pPr>
            <w:r w:rsidRPr="00300B3C">
              <w:rPr>
                <w:rFonts w:cs="Times New Roman"/>
                <w:sz w:val="22"/>
              </w:rPr>
              <w:t>28.</w:t>
            </w:r>
          </w:p>
        </w:tc>
        <w:tc>
          <w:tcPr>
            <w:tcW w:w="4945" w:type="dxa"/>
          </w:tcPr>
          <w:p w14:paraId="3D2BEEEE" w14:textId="77777777" w:rsidR="00966523" w:rsidRPr="00300B3C" w:rsidRDefault="00966523" w:rsidP="00966523">
            <w:pPr>
              <w:rPr>
                <w:rFonts w:cs="Times New Roman"/>
                <w:sz w:val="22"/>
              </w:rPr>
            </w:pPr>
            <w:r w:rsidRPr="00300B3C">
              <w:rPr>
                <w:rFonts w:cs="Times New Roman"/>
                <w:sz w:val="22"/>
              </w:rPr>
              <w:t>Gyventojų skaičius, tenkantis vienai licencijai verstis mažmenine prekyba alkoholiniais gėrimais</w:t>
            </w:r>
          </w:p>
        </w:tc>
        <w:tc>
          <w:tcPr>
            <w:tcW w:w="1787" w:type="dxa"/>
            <w:vAlign w:val="center"/>
          </w:tcPr>
          <w:p w14:paraId="3D2BEEEF" w14:textId="542AEE90" w:rsidR="00966523" w:rsidRPr="00300B3C" w:rsidRDefault="00966523" w:rsidP="00966523">
            <w:pPr>
              <w:jc w:val="center"/>
              <w:rPr>
                <w:rFonts w:cs="Times New Roman"/>
                <w:sz w:val="22"/>
              </w:rPr>
            </w:pPr>
            <w:r w:rsidRPr="00300B3C">
              <w:rPr>
                <w:rFonts w:cs="Times New Roman"/>
                <w:sz w:val="22"/>
              </w:rPr>
              <w:t>130,1</w:t>
            </w:r>
          </w:p>
        </w:tc>
        <w:tc>
          <w:tcPr>
            <w:tcW w:w="1787" w:type="dxa"/>
            <w:vAlign w:val="center"/>
          </w:tcPr>
          <w:p w14:paraId="3D2BEEF0" w14:textId="430D3210" w:rsidR="00966523" w:rsidRPr="0049140B" w:rsidRDefault="003714C4" w:rsidP="00966523">
            <w:pPr>
              <w:jc w:val="center"/>
              <w:rPr>
                <w:rFonts w:cs="Times New Roman"/>
                <w:bCs/>
                <w:sz w:val="22"/>
              </w:rPr>
            </w:pPr>
            <w:r>
              <w:rPr>
                <w:rFonts w:cs="Times New Roman"/>
                <w:bCs/>
                <w:sz w:val="22"/>
              </w:rPr>
              <w:t>132,0</w:t>
            </w:r>
            <w:r w:rsidR="003610FF">
              <w:rPr>
                <w:rFonts w:cs="Times New Roman"/>
                <w:bCs/>
                <w:sz w:val="22"/>
              </w:rPr>
              <w:t xml:space="preserve"> </w:t>
            </w:r>
            <w:r w:rsidR="00F05640" w:rsidRPr="008002E0">
              <w:rPr>
                <w:rFonts w:cs="Times New Roman"/>
                <w:b/>
                <w:bCs/>
                <w:color w:val="00B050"/>
                <w:sz w:val="22"/>
              </w:rPr>
              <w:t>↑</w:t>
            </w:r>
          </w:p>
        </w:tc>
        <w:tc>
          <w:tcPr>
            <w:tcW w:w="1257" w:type="dxa"/>
            <w:vAlign w:val="center"/>
          </w:tcPr>
          <w:p w14:paraId="3D2BEEF1" w14:textId="3F7BC1CB" w:rsidR="00966523" w:rsidRPr="00300B3C" w:rsidRDefault="003714C4" w:rsidP="00966523">
            <w:pPr>
              <w:jc w:val="center"/>
              <w:rPr>
                <w:rFonts w:cs="Times New Roman"/>
                <w:sz w:val="22"/>
              </w:rPr>
            </w:pPr>
            <w:r>
              <w:rPr>
                <w:rFonts w:cs="Times New Roman"/>
                <w:sz w:val="22"/>
              </w:rPr>
              <w:t>171,3</w:t>
            </w:r>
          </w:p>
        </w:tc>
        <w:tc>
          <w:tcPr>
            <w:tcW w:w="1257" w:type="dxa"/>
            <w:vAlign w:val="center"/>
          </w:tcPr>
          <w:p w14:paraId="3D2BEEF2" w14:textId="3D44863C" w:rsidR="00966523" w:rsidRPr="00300B3C" w:rsidRDefault="00C47A2F" w:rsidP="00966523">
            <w:pPr>
              <w:jc w:val="center"/>
              <w:rPr>
                <w:rFonts w:cs="Times New Roman"/>
                <w:sz w:val="22"/>
              </w:rPr>
            </w:pPr>
            <w:r>
              <w:rPr>
                <w:rFonts w:cs="Times New Roman"/>
                <w:sz w:val="22"/>
              </w:rPr>
              <w:t>41,8</w:t>
            </w:r>
          </w:p>
        </w:tc>
        <w:tc>
          <w:tcPr>
            <w:tcW w:w="1259" w:type="dxa"/>
            <w:vAlign w:val="center"/>
          </w:tcPr>
          <w:p w14:paraId="3D2BEEF3" w14:textId="29A0C036" w:rsidR="00966523" w:rsidRPr="00300B3C" w:rsidRDefault="00C47A2F" w:rsidP="00966523">
            <w:pPr>
              <w:jc w:val="center"/>
              <w:rPr>
                <w:rFonts w:cs="Times New Roman"/>
                <w:sz w:val="22"/>
              </w:rPr>
            </w:pPr>
            <w:r>
              <w:rPr>
                <w:rFonts w:cs="Times New Roman"/>
                <w:sz w:val="22"/>
              </w:rPr>
              <w:t>374,3</w:t>
            </w:r>
          </w:p>
        </w:tc>
        <w:tc>
          <w:tcPr>
            <w:tcW w:w="1885" w:type="dxa"/>
            <w:shd w:val="clear" w:color="auto" w:fill="FF0000"/>
            <w:vAlign w:val="center"/>
          </w:tcPr>
          <w:p w14:paraId="3D2BEEF4" w14:textId="1CCD4F7A" w:rsidR="00966523" w:rsidRPr="00300B3C" w:rsidRDefault="00C47A2F" w:rsidP="00966523">
            <w:pPr>
              <w:jc w:val="center"/>
              <w:rPr>
                <w:rFonts w:cs="Times New Roman"/>
                <w:sz w:val="22"/>
              </w:rPr>
            </w:pPr>
            <w:r>
              <w:rPr>
                <w:rFonts w:cs="Times New Roman"/>
                <w:sz w:val="22"/>
              </w:rPr>
              <w:t>0,77</w:t>
            </w:r>
          </w:p>
        </w:tc>
      </w:tr>
      <w:tr w:rsidR="00966523" w:rsidRPr="00300B3C" w14:paraId="3D2BEEF7" w14:textId="77777777" w:rsidTr="00B93900">
        <w:trPr>
          <w:jc w:val="center"/>
        </w:trPr>
        <w:tc>
          <w:tcPr>
            <w:tcW w:w="14778" w:type="dxa"/>
            <w:gridSpan w:val="8"/>
            <w:shd w:val="clear" w:color="auto" w:fill="D6E3BC" w:themeFill="accent3" w:themeFillTint="66"/>
          </w:tcPr>
          <w:p w14:paraId="3D2BEEF6" w14:textId="77777777" w:rsidR="00966523" w:rsidRPr="00300B3C" w:rsidRDefault="00966523" w:rsidP="00966523">
            <w:pPr>
              <w:jc w:val="center"/>
              <w:rPr>
                <w:rFonts w:cs="Times New Roman"/>
                <w:sz w:val="22"/>
              </w:rPr>
            </w:pPr>
            <w:r w:rsidRPr="00300B3C">
              <w:rPr>
                <w:rFonts w:cs="Times New Roman"/>
                <w:sz w:val="22"/>
              </w:rPr>
              <w:t>3.2 Skatinti sveikos mitybos įpročius</w:t>
            </w:r>
          </w:p>
        </w:tc>
      </w:tr>
      <w:tr w:rsidR="00966523" w:rsidRPr="00300B3C" w14:paraId="3D2BEF00" w14:textId="77777777" w:rsidTr="00E5407B">
        <w:trPr>
          <w:jc w:val="center"/>
        </w:trPr>
        <w:tc>
          <w:tcPr>
            <w:tcW w:w="601" w:type="dxa"/>
          </w:tcPr>
          <w:p w14:paraId="3D2BEEF8" w14:textId="77777777" w:rsidR="00966523" w:rsidRPr="00300B3C" w:rsidRDefault="00966523" w:rsidP="00966523">
            <w:pPr>
              <w:rPr>
                <w:rFonts w:cs="Times New Roman"/>
                <w:sz w:val="22"/>
              </w:rPr>
            </w:pPr>
            <w:r w:rsidRPr="00300B3C">
              <w:rPr>
                <w:rFonts w:cs="Times New Roman"/>
                <w:sz w:val="22"/>
              </w:rPr>
              <w:t>29.</w:t>
            </w:r>
          </w:p>
        </w:tc>
        <w:tc>
          <w:tcPr>
            <w:tcW w:w="4945" w:type="dxa"/>
          </w:tcPr>
          <w:p w14:paraId="3D2BEEF9" w14:textId="77777777" w:rsidR="00966523" w:rsidRPr="00300B3C" w:rsidRDefault="00966523" w:rsidP="00966523">
            <w:pPr>
              <w:rPr>
                <w:rFonts w:cs="Times New Roman"/>
                <w:sz w:val="22"/>
              </w:rPr>
            </w:pPr>
            <w:r w:rsidRPr="00300B3C">
              <w:rPr>
                <w:rFonts w:cs="Times New Roman"/>
                <w:sz w:val="22"/>
              </w:rPr>
              <w:t>Kūdikių, išimtinai žindytų iki 6 mėn. amžiaus, dalis (proc.)</w:t>
            </w:r>
          </w:p>
        </w:tc>
        <w:tc>
          <w:tcPr>
            <w:tcW w:w="1787" w:type="dxa"/>
            <w:vAlign w:val="center"/>
          </w:tcPr>
          <w:p w14:paraId="3D2BEEFA" w14:textId="6A8CB7E9" w:rsidR="00966523" w:rsidRPr="00300B3C" w:rsidRDefault="00966523" w:rsidP="00966523">
            <w:pPr>
              <w:jc w:val="center"/>
              <w:rPr>
                <w:rFonts w:cs="Times New Roman"/>
                <w:sz w:val="22"/>
              </w:rPr>
            </w:pPr>
            <w:r w:rsidRPr="00300B3C">
              <w:rPr>
                <w:rFonts w:cs="Times New Roman"/>
                <w:sz w:val="22"/>
              </w:rPr>
              <w:t>43,2</w:t>
            </w:r>
          </w:p>
        </w:tc>
        <w:tc>
          <w:tcPr>
            <w:tcW w:w="1787" w:type="dxa"/>
            <w:vAlign w:val="center"/>
          </w:tcPr>
          <w:p w14:paraId="3D2BEEFB" w14:textId="796C40F0" w:rsidR="00966523" w:rsidRPr="00300B3C" w:rsidRDefault="000E575F" w:rsidP="00966523">
            <w:pPr>
              <w:jc w:val="center"/>
              <w:rPr>
                <w:rFonts w:cs="Times New Roman"/>
                <w:sz w:val="22"/>
              </w:rPr>
            </w:pPr>
            <w:r>
              <w:rPr>
                <w:rFonts w:cs="Times New Roman"/>
                <w:sz w:val="22"/>
              </w:rPr>
              <w:t>40,4</w:t>
            </w:r>
            <w:r w:rsidR="00F05640">
              <w:rPr>
                <w:rFonts w:cs="Times New Roman"/>
                <w:sz w:val="22"/>
              </w:rPr>
              <w:t xml:space="preserve"> </w:t>
            </w:r>
            <w:r w:rsidR="00F05640" w:rsidRPr="00F05640">
              <w:rPr>
                <w:rFonts w:cs="Times New Roman"/>
                <w:b/>
                <w:bCs/>
                <w:color w:val="FF0000"/>
                <w:sz w:val="22"/>
              </w:rPr>
              <w:t>↓</w:t>
            </w:r>
          </w:p>
        </w:tc>
        <w:tc>
          <w:tcPr>
            <w:tcW w:w="1257" w:type="dxa"/>
            <w:vAlign w:val="center"/>
          </w:tcPr>
          <w:p w14:paraId="3D2BEEFC" w14:textId="1832126E" w:rsidR="00966523" w:rsidRPr="00300B3C" w:rsidRDefault="000E575F" w:rsidP="00966523">
            <w:pPr>
              <w:jc w:val="center"/>
              <w:rPr>
                <w:rFonts w:cs="Times New Roman"/>
                <w:sz w:val="22"/>
              </w:rPr>
            </w:pPr>
            <w:r>
              <w:rPr>
                <w:rFonts w:cs="Times New Roman"/>
                <w:sz w:val="22"/>
              </w:rPr>
              <w:t>37,8</w:t>
            </w:r>
          </w:p>
        </w:tc>
        <w:tc>
          <w:tcPr>
            <w:tcW w:w="1257" w:type="dxa"/>
            <w:vAlign w:val="center"/>
          </w:tcPr>
          <w:p w14:paraId="3D2BEEFD" w14:textId="6457A5EB" w:rsidR="00966523" w:rsidRPr="00300B3C" w:rsidRDefault="00B11874" w:rsidP="00966523">
            <w:pPr>
              <w:jc w:val="center"/>
              <w:rPr>
                <w:rFonts w:cs="Times New Roman"/>
                <w:sz w:val="22"/>
              </w:rPr>
            </w:pPr>
            <w:r>
              <w:rPr>
                <w:rFonts w:cs="Times New Roman"/>
                <w:sz w:val="22"/>
              </w:rPr>
              <w:t>10,3</w:t>
            </w:r>
          </w:p>
        </w:tc>
        <w:tc>
          <w:tcPr>
            <w:tcW w:w="1259" w:type="dxa"/>
            <w:vAlign w:val="center"/>
          </w:tcPr>
          <w:p w14:paraId="3D2BEEFE" w14:textId="0BC4AE67" w:rsidR="00966523" w:rsidRPr="00300B3C" w:rsidRDefault="00B11874" w:rsidP="00966523">
            <w:pPr>
              <w:jc w:val="center"/>
              <w:rPr>
                <w:rFonts w:cs="Times New Roman"/>
                <w:sz w:val="22"/>
              </w:rPr>
            </w:pPr>
            <w:r>
              <w:rPr>
                <w:rFonts w:cs="Times New Roman"/>
                <w:sz w:val="22"/>
              </w:rPr>
              <w:t>65,4</w:t>
            </w:r>
          </w:p>
        </w:tc>
        <w:tc>
          <w:tcPr>
            <w:tcW w:w="1885" w:type="dxa"/>
            <w:shd w:val="clear" w:color="auto" w:fill="00B050"/>
            <w:vAlign w:val="center"/>
          </w:tcPr>
          <w:p w14:paraId="3D2BEEFF" w14:textId="17DA0FCB" w:rsidR="00966523" w:rsidRPr="00300B3C" w:rsidRDefault="000E575F" w:rsidP="00966523">
            <w:pPr>
              <w:jc w:val="center"/>
              <w:rPr>
                <w:rFonts w:cs="Times New Roman"/>
                <w:sz w:val="22"/>
              </w:rPr>
            </w:pPr>
            <w:r>
              <w:rPr>
                <w:rFonts w:cs="Times New Roman"/>
                <w:sz w:val="22"/>
              </w:rPr>
              <w:t>1,07</w:t>
            </w:r>
          </w:p>
        </w:tc>
      </w:tr>
      <w:tr w:rsidR="00966523" w:rsidRPr="00300B3C" w14:paraId="3D2BEF02" w14:textId="77777777" w:rsidTr="004C0D66">
        <w:trPr>
          <w:jc w:val="center"/>
        </w:trPr>
        <w:tc>
          <w:tcPr>
            <w:tcW w:w="14778" w:type="dxa"/>
            <w:gridSpan w:val="8"/>
            <w:shd w:val="clear" w:color="auto" w:fill="D6E3BC" w:themeFill="accent3" w:themeFillTint="66"/>
          </w:tcPr>
          <w:p w14:paraId="3D2BEF01" w14:textId="77777777" w:rsidR="00966523" w:rsidRPr="00300B3C" w:rsidRDefault="00966523" w:rsidP="00966523">
            <w:pPr>
              <w:jc w:val="center"/>
              <w:rPr>
                <w:rFonts w:cs="Times New Roman"/>
                <w:sz w:val="22"/>
              </w:rPr>
            </w:pPr>
            <w:r w:rsidRPr="00300B3C">
              <w:rPr>
                <w:rFonts w:cs="Times New Roman"/>
                <w:sz w:val="22"/>
              </w:rPr>
              <w:t>4 TIKSLAS. UŽTIKRINTI KOKYBIŠKĄ IR EFEKTYVIĄ SVEIKATOS PRIEŽIŪRĄ, ORIENTUOTA Į GYVENTOJŲ POREIKIUS</w:t>
            </w:r>
          </w:p>
        </w:tc>
      </w:tr>
      <w:tr w:rsidR="00966523" w:rsidRPr="00300B3C" w14:paraId="3D2BEF04" w14:textId="77777777" w:rsidTr="004C0D66">
        <w:trPr>
          <w:jc w:val="center"/>
        </w:trPr>
        <w:tc>
          <w:tcPr>
            <w:tcW w:w="14778" w:type="dxa"/>
            <w:gridSpan w:val="8"/>
            <w:shd w:val="clear" w:color="auto" w:fill="D6E3BC" w:themeFill="accent3" w:themeFillTint="66"/>
          </w:tcPr>
          <w:p w14:paraId="3D2BEF03" w14:textId="77777777" w:rsidR="00966523" w:rsidRPr="00300B3C" w:rsidRDefault="00966523" w:rsidP="00966523">
            <w:pPr>
              <w:jc w:val="center"/>
              <w:rPr>
                <w:rFonts w:cs="Times New Roman"/>
                <w:sz w:val="22"/>
              </w:rPr>
            </w:pPr>
            <w:r w:rsidRPr="00300B3C">
              <w:rPr>
                <w:rFonts w:cs="Times New Roman"/>
                <w:sz w:val="22"/>
              </w:rPr>
              <w:t>4.1 Užtikrinti sveikatos sistemos tvarumą ir kokybę, plėtojant sveikatos technologijas, kurių efektyvumas pagrįstas mokslo įrodymais</w:t>
            </w:r>
          </w:p>
        </w:tc>
      </w:tr>
      <w:tr w:rsidR="00966523" w:rsidRPr="00300B3C" w14:paraId="3D2BEF0D" w14:textId="77777777" w:rsidTr="00167008">
        <w:trPr>
          <w:jc w:val="center"/>
        </w:trPr>
        <w:tc>
          <w:tcPr>
            <w:tcW w:w="601" w:type="dxa"/>
          </w:tcPr>
          <w:p w14:paraId="3D2BEF05" w14:textId="77777777" w:rsidR="00966523" w:rsidRPr="00300B3C" w:rsidRDefault="00966523" w:rsidP="00966523">
            <w:pPr>
              <w:rPr>
                <w:rFonts w:cs="Times New Roman"/>
                <w:sz w:val="22"/>
              </w:rPr>
            </w:pPr>
            <w:r w:rsidRPr="00300B3C">
              <w:rPr>
                <w:rFonts w:cs="Times New Roman"/>
                <w:sz w:val="22"/>
              </w:rPr>
              <w:t>30.</w:t>
            </w:r>
          </w:p>
        </w:tc>
        <w:tc>
          <w:tcPr>
            <w:tcW w:w="4945" w:type="dxa"/>
          </w:tcPr>
          <w:p w14:paraId="3D2BEF06" w14:textId="77777777" w:rsidR="00966523" w:rsidRPr="00300B3C" w:rsidRDefault="00966523" w:rsidP="00966523">
            <w:pPr>
              <w:rPr>
                <w:rFonts w:cs="Times New Roman"/>
                <w:sz w:val="22"/>
              </w:rPr>
            </w:pPr>
            <w:r w:rsidRPr="00300B3C">
              <w:rPr>
                <w:rFonts w:cs="Times New Roman"/>
                <w:sz w:val="22"/>
              </w:rPr>
              <w:t>Išvengiamų hospitalizacijų skaičius 1000 gyv.</w:t>
            </w:r>
          </w:p>
        </w:tc>
        <w:tc>
          <w:tcPr>
            <w:tcW w:w="1787" w:type="dxa"/>
            <w:vAlign w:val="center"/>
          </w:tcPr>
          <w:p w14:paraId="3D2BEF07" w14:textId="75B136AC" w:rsidR="00966523" w:rsidRPr="00300B3C" w:rsidRDefault="00966523" w:rsidP="00966523">
            <w:pPr>
              <w:jc w:val="center"/>
              <w:rPr>
                <w:rFonts w:cs="Times New Roman"/>
                <w:sz w:val="22"/>
              </w:rPr>
            </w:pPr>
            <w:r w:rsidRPr="00300B3C">
              <w:rPr>
                <w:rFonts w:cs="Times New Roman"/>
                <w:sz w:val="22"/>
              </w:rPr>
              <w:t>32,2</w:t>
            </w:r>
          </w:p>
        </w:tc>
        <w:tc>
          <w:tcPr>
            <w:tcW w:w="1787" w:type="dxa"/>
            <w:vAlign w:val="center"/>
          </w:tcPr>
          <w:p w14:paraId="3D2BEF08" w14:textId="5C9D4A62" w:rsidR="00966523" w:rsidRPr="00300B3C" w:rsidRDefault="00175E74" w:rsidP="00966523">
            <w:pPr>
              <w:jc w:val="center"/>
              <w:rPr>
                <w:rFonts w:cs="Times New Roman"/>
                <w:sz w:val="22"/>
              </w:rPr>
            </w:pPr>
            <w:r>
              <w:rPr>
                <w:rFonts w:cs="Times New Roman"/>
                <w:sz w:val="22"/>
              </w:rPr>
              <w:t>30,4</w:t>
            </w:r>
            <w:r w:rsidR="004F2BDC">
              <w:rPr>
                <w:rFonts w:cs="Times New Roman"/>
                <w:sz w:val="22"/>
              </w:rPr>
              <w:t xml:space="preserve"> </w:t>
            </w:r>
            <w:r w:rsidR="004F2BDC" w:rsidRPr="00880C89">
              <w:rPr>
                <w:rFonts w:cs="Times New Roman"/>
                <w:b/>
                <w:bCs/>
                <w:color w:val="00B050"/>
                <w:sz w:val="22"/>
              </w:rPr>
              <w:t>↓</w:t>
            </w:r>
          </w:p>
        </w:tc>
        <w:tc>
          <w:tcPr>
            <w:tcW w:w="1257" w:type="dxa"/>
            <w:vAlign w:val="center"/>
          </w:tcPr>
          <w:p w14:paraId="3D2BEF09" w14:textId="2BD88641" w:rsidR="00966523" w:rsidRPr="00300B3C" w:rsidRDefault="00175E74" w:rsidP="00966523">
            <w:pPr>
              <w:jc w:val="center"/>
              <w:rPr>
                <w:rFonts w:cs="Times New Roman"/>
                <w:sz w:val="22"/>
              </w:rPr>
            </w:pPr>
            <w:r>
              <w:rPr>
                <w:rFonts w:cs="Times New Roman"/>
                <w:sz w:val="22"/>
              </w:rPr>
              <w:t>31,4</w:t>
            </w:r>
          </w:p>
        </w:tc>
        <w:tc>
          <w:tcPr>
            <w:tcW w:w="1257" w:type="dxa"/>
            <w:vAlign w:val="center"/>
          </w:tcPr>
          <w:p w14:paraId="3D2BEF0A" w14:textId="1357B60D" w:rsidR="00966523" w:rsidRPr="00300B3C" w:rsidRDefault="00167008" w:rsidP="00966523">
            <w:pPr>
              <w:jc w:val="center"/>
              <w:rPr>
                <w:rFonts w:cs="Times New Roman"/>
                <w:sz w:val="22"/>
              </w:rPr>
            </w:pPr>
            <w:r>
              <w:rPr>
                <w:rFonts w:cs="Times New Roman"/>
                <w:sz w:val="22"/>
              </w:rPr>
              <w:t>15,6</w:t>
            </w:r>
          </w:p>
        </w:tc>
        <w:tc>
          <w:tcPr>
            <w:tcW w:w="1259" w:type="dxa"/>
            <w:vAlign w:val="center"/>
          </w:tcPr>
          <w:p w14:paraId="3D2BEF0B" w14:textId="63A6C5D0" w:rsidR="00966523" w:rsidRPr="00300B3C" w:rsidRDefault="00167008" w:rsidP="00966523">
            <w:pPr>
              <w:jc w:val="center"/>
              <w:rPr>
                <w:rFonts w:cs="Times New Roman"/>
                <w:sz w:val="22"/>
              </w:rPr>
            </w:pPr>
            <w:r>
              <w:rPr>
                <w:rFonts w:cs="Times New Roman"/>
                <w:sz w:val="22"/>
              </w:rPr>
              <w:t>59,6</w:t>
            </w:r>
          </w:p>
        </w:tc>
        <w:tc>
          <w:tcPr>
            <w:tcW w:w="1885" w:type="dxa"/>
            <w:shd w:val="clear" w:color="auto" w:fill="FFFF00"/>
            <w:vAlign w:val="center"/>
          </w:tcPr>
          <w:p w14:paraId="3D2BEF0C" w14:textId="304EA471" w:rsidR="00966523" w:rsidRPr="00300B3C" w:rsidRDefault="00167008" w:rsidP="00966523">
            <w:pPr>
              <w:jc w:val="center"/>
              <w:rPr>
                <w:rFonts w:cs="Times New Roman"/>
                <w:sz w:val="22"/>
              </w:rPr>
            </w:pPr>
            <w:r>
              <w:rPr>
                <w:rFonts w:cs="Times New Roman"/>
                <w:sz w:val="22"/>
              </w:rPr>
              <w:t>0,97</w:t>
            </w:r>
          </w:p>
        </w:tc>
      </w:tr>
      <w:tr w:rsidR="00966523" w:rsidRPr="00300B3C" w14:paraId="2EE7D7BB" w14:textId="77777777" w:rsidTr="00872EA4">
        <w:trPr>
          <w:jc w:val="center"/>
        </w:trPr>
        <w:tc>
          <w:tcPr>
            <w:tcW w:w="601" w:type="dxa"/>
          </w:tcPr>
          <w:p w14:paraId="12A92BDA" w14:textId="0CA0D480" w:rsidR="00966523" w:rsidRPr="00300B3C" w:rsidRDefault="00966523" w:rsidP="00966523">
            <w:pPr>
              <w:rPr>
                <w:rFonts w:cs="Times New Roman"/>
                <w:sz w:val="22"/>
              </w:rPr>
            </w:pPr>
            <w:r w:rsidRPr="00300B3C">
              <w:rPr>
                <w:rFonts w:cs="Times New Roman"/>
                <w:sz w:val="22"/>
              </w:rPr>
              <w:t>31.</w:t>
            </w:r>
          </w:p>
        </w:tc>
        <w:tc>
          <w:tcPr>
            <w:tcW w:w="4945" w:type="dxa"/>
          </w:tcPr>
          <w:p w14:paraId="7F03FC65" w14:textId="1104DD96" w:rsidR="00966523" w:rsidRPr="00300B3C" w:rsidRDefault="00966523" w:rsidP="00966523">
            <w:pPr>
              <w:rPr>
                <w:rFonts w:cs="Times New Roman"/>
                <w:sz w:val="22"/>
              </w:rPr>
            </w:pPr>
            <w:r w:rsidRPr="00300B3C">
              <w:rPr>
                <w:rFonts w:cs="Times New Roman"/>
                <w:sz w:val="22"/>
              </w:rPr>
              <w:t>Išvengiamų hospitalizacijų dėl diabeto ir jo komplikacijų skaičius 1000 gyv.</w:t>
            </w:r>
          </w:p>
        </w:tc>
        <w:tc>
          <w:tcPr>
            <w:tcW w:w="1787" w:type="dxa"/>
            <w:vAlign w:val="center"/>
          </w:tcPr>
          <w:p w14:paraId="56F6A35B" w14:textId="02B587FB" w:rsidR="00966523" w:rsidRPr="00300B3C" w:rsidRDefault="00966523" w:rsidP="00966523">
            <w:pPr>
              <w:jc w:val="center"/>
              <w:rPr>
                <w:rFonts w:cs="Times New Roman"/>
                <w:sz w:val="22"/>
              </w:rPr>
            </w:pPr>
            <w:r w:rsidRPr="00300B3C">
              <w:rPr>
                <w:rFonts w:cs="Times New Roman"/>
                <w:sz w:val="22"/>
              </w:rPr>
              <w:t>8,1</w:t>
            </w:r>
          </w:p>
        </w:tc>
        <w:tc>
          <w:tcPr>
            <w:tcW w:w="1787" w:type="dxa"/>
            <w:vAlign w:val="center"/>
          </w:tcPr>
          <w:p w14:paraId="4EE5ACDB" w14:textId="6EADD0DA" w:rsidR="00966523" w:rsidRPr="00300B3C" w:rsidRDefault="00B77470" w:rsidP="00966523">
            <w:pPr>
              <w:jc w:val="center"/>
              <w:rPr>
                <w:rFonts w:cs="Times New Roman"/>
                <w:sz w:val="22"/>
              </w:rPr>
            </w:pPr>
            <w:r>
              <w:rPr>
                <w:rFonts w:cs="Times New Roman"/>
                <w:sz w:val="22"/>
              </w:rPr>
              <w:t>8,3</w:t>
            </w:r>
            <w:r w:rsidR="004F2BDC">
              <w:rPr>
                <w:rFonts w:cs="Times New Roman"/>
                <w:sz w:val="22"/>
              </w:rPr>
              <w:t xml:space="preserve"> </w:t>
            </w:r>
            <w:r w:rsidR="004F2BDC" w:rsidRPr="00500250">
              <w:rPr>
                <w:rFonts w:cs="Times New Roman"/>
                <w:b/>
                <w:bCs/>
                <w:color w:val="FF0000"/>
                <w:sz w:val="22"/>
              </w:rPr>
              <w:t>↑</w:t>
            </w:r>
          </w:p>
        </w:tc>
        <w:tc>
          <w:tcPr>
            <w:tcW w:w="1257" w:type="dxa"/>
            <w:vAlign w:val="center"/>
          </w:tcPr>
          <w:p w14:paraId="5C251C62" w14:textId="6E5F3EF0" w:rsidR="00966523" w:rsidRPr="00300B3C" w:rsidRDefault="00B77470" w:rsidP="00966523">
            <w:pPr>
              <w:jc w:val="center"/>
              <w:rPr>
                <w:rFonts w:cs="Times New Roman"/>
                <w:sz w:val="22"/>
              </w:rPr>
            </w:pPr>
            <w:r>
              <w:rPr>
                <w:rFonts w:cs="Times New Roman"/>
                <w:sz w:val="22"/>
              </w:rPr>
              <w:t>7,0</w:t>
            </w:r>
          </w:p>
        </w:tc>
        <w:tc>
          <w:tcPr>
            <w:tcW w:w="1257" w:type="dxa"/>
            <w:vAlign w:val="center"/>
          </w:tcPr>
          <w:p w14:paraId="16BEB8BE" w14:textId="74F3C899" w:rsidR="00966523" w:rsidRPr="00300B3C" w:rsidRDefault="00B77470" w:rsidP="00966523">
            <w:pPr>
              <w:jc w:val="center"/>
              <w:rPr>
                <w:rFonts w:cs="Times New Roman"/>
                <w:sz w:val="22"/>
              </w:rPr>
            </w:pPr>
            <w:r>
              <w:rPr>
                <w:rFonts w:cs="Times New Roman"/>
                <w:sz w:val="22"/>
              </w:rPr>
              <w:t>3,4</w:t>
            </w:r>
          </w:p>
        </w:tc>
        <w:tc>
          <w:tcPr>
            <w:tcW w:w="1259" w:type="dxa"/>
            <w:vAlign w:val="center"/>
          </w:tcPr>
          <w:p w14:paraId="2DC1FC09" w14:textId="75BB1579" w:rsidR="00966523" w:rsidRPr="00300B3C" w:rsidRDefault="00B77470" w:rsidP="00966523">
            <w:pPr>
              <w:jc w:val="center"/>
              <w:rPr>
                <w:rFonts w:cs="Times New Roman"/>
                <w:sz w:val="22"/>
              </w:rPr>
            </w:pPr>
            <w:r>
              <w:rPr>
                <w:rFonts w:cs="Times New Roman"/>
                <w:sz w:val="22"/>
              </w:rPr>
              <w:t>10,5</w:t>
            </w:r>
          </w:p>
        </w:tc>
        <w:tc>
          <w:tcPr>
            <w:tcW w:w="1885" w:type="dxa"/>
            <w:shd w:val="clear" w:color="auto" w:fill="FFFF00"/>
            <w:vAlign w:val="center"/>
          </w:tcPr>
          <w:p w14:paraId="05EEA2CA" w14:textId="6345F45E" w:rsidR="00966523" w:rsidRPr="00300B3C" w:rsidRDefault="00491601" w:rsidP="00966523">
            <w:pPr>
              <w:jc w:val="center"/>
              <w:rPr>
                <w:rFonts w:cs="Times New Roman"/>
                <w:sz w:val="22"/>
              </w:rPr>
            </w:pPr>
            <w:r>
              <w:rPr>
                <w:rFonts w:cs="Times New Roman"/>
                <w:sz w:val="22"/>
              </w:rPr>
              <w:t>1,19</w:t>
            </w:r>
          </w:p>
        </w:tc>
      </w:tr>
    </w:tbl>
    <w:p w14:paraId="023B2272" w14:textId="77777777" w:rsidR="003201F6" w:rsidRDefault="003201F6" w:rsidP="00300B3C">
      <w:pPr>
        <w:spacing w:after="0" w:line="240" w:lineRule="auto"/>
        <w:ind w:left="720"/>
        <w:jc w:val="center"/>
        <w:rPr>
          <w:rFonts w:cs="Times New Roman"/>
        </w:rPr>
      </w:pPr>
    </w:p>
    <w:p w14:paraId="3D2BEF0E" w14:textId="681321E2" w:rsidR="00300B3C" w:rsidRPr="00300B3C" w:rsidRDefault="00966523" w:rsidP="00300B3C">
      <w:pPr>
        <w:spacing w:after="0" w:line="240" w:lineRule="auto"/>
        <w:ind w:left="720"/>
        <w:jc w:val="center"/>
        <w:rPr>
          <w:rFonts w:cs="Times New Roman"/>
        </w:rPr>
      </w:pPr>
      <w:r w:rsidRPr="00300B3C">
        <w:rPr>
          <w:rFonts w:cs="Times New Roman"/>
        </w:rPr>
        <w:t>5 lentelė</w:t>
      </w:r>
      <w:r>
        <w:rPr>
          <w:rFonts w:cs="Times New Roman"/>
        </w:rPr>
        <w:t>s tęsinys</w:t>
      </w:r>
      <w:r w:rsidR="00300B3C" w:rsidRPr="00300B3C">
        <w:rPr>
          <w:rFonts w:cs="Times New Roman"/>
        </w:rPr>
        <w:t>. Kauno miesto savivaldybės visuomenės sveikatos stebėsenos rodiklių profilis</w:t>
      </w:r>
    </w:p>
    <w:tbl>
      <w:tblPr>
        <w:tblStyle w:val="Lentelstinklelis1"/>
        <w:tblW w:w="0" w:type="auto"/>
        <w:jc w:val="center"/>
        <w:tblLook w:val="04A0" w:firstRow="1" w:lastRow="0" w:firstColumn="1" w:lastColumn="0" w:noHBand="0" w:noVBand="1"/>
      </w:tblPr>
      <w:tblGrid>
        <w:gridCol w:w="601"/>
        <w:gridCol w:w="4945"/>
        <w:gridCol w:w="1787"/>
        <w:gridCol w:w="1787"/>
        <w:gridCol w:w="1257"/>
        <w:gridCol w:w="1257"/>
        <w:gridCol w:w="1259"/>
        <w:gridCol w:w="1885"/>
      </w:tblGrid>
      <w:tr w:rsidR="00300B3C" w:rsidRPr="00300B3C" w14:paraId="3D2BEF21" w14:textId="77777777" w:rsidTr="004C0D66">
        <w:trPr>
          <w:jc w:val="center"/>
        </w:trPr>
        <w:tc>
          <w:tcPr>
            <w:tcW w:w="14778" w:type="dxa"/>
            <w:gridSpan w:val="8"/>
            <w:shd w:val="clear" w:color="auto" w:fill="D6E3BC" w:themeFill="accent3" w:themeFillTint="66"/>
          </w:tcPr>
          <w:p w14:paraId="3D2BEF20" w14:textId="77777777" w:rsidR="00300B3C" w:rsidRPr="00300B3C" w:rsidRDefault="00300B3C" w:rsidP="00300B3C">
            <w:pPr>
              <w:jc w:val="center"/>
              <w:rPr>
                <w:rFonts w:cs="Times New Roman"/>
                <w:sz w:val="22"/>
              </w:rPr>
            </w:pPr>
            <w:r w:rsidRPr="00300B3C">
              <w:rPr>
                <w:rFonts w:cs="Times New Roman"/>
                <w:sz w:val="22"/>
              </w:rPr>
              <w:t>4.2 Plėtoti sveikatos infrastruktūrą ir gerinti sveikatos priežiūros paslaugų kokybę, saugą, prieinamumą ir pacientą orientuotą sveikatos priežiūrą</w:t>
            </w:r>
          </w:p>
        </w:tc>
      </w:tr>
      <w:tr w:rsidR="00966523" w:rsidRPr="00300B3C" w14:paraId="0863FC39" w14:textId="77777777" w:rsidTr="00966523">
        <w:trPr>
          <w:jc w:val="center"/>
        </w:trPr>
        <w:tc>
          <w:tcPr>
            <w:tcW w:w="5546" w:type="dxa"/>
            <w:gridSpan w:val="2"/>
            <w:shd w:val="clear" w:color="auto" w:fill="D6E3BC" w:themeFill="accent3" w:themeFillTint="66"/>
            <w:vAlign w:val="center"/>
          </w:tcPr>
          <w:p w14:paraId="53FECFA6" w14:textId="116C4C4B" w:rsidR="00966523" w:rsidRPr="00300B3C" w:rsidRDefault="00966523" w:rsidP="00966523">
            <w:pPr>
              <w:jc w:val="center"/>
              <w:rPr>
                <w:rFonts w:cs="Times New Roman"/>
                <w:sz w:val="22"/>
              </w:rPr>
            </w:pPr>
            <w:r w:rsidRPr="00300B3C">
              <w:rPr>
                <w:rFonts w:cs="Times New Roman"/>
                <w:sz w:val="22"/>
              </w:rPr>
              <w:t>Rodiklis</w:t>
            </w:r>
          </w:p>
        </w:tc>
        <w:tc>
          <w:tcPr>
            <w:tcW w:w="1787" w:type="dxa"/>
            <w:shd w:val="clear" w:color="auto" w:fill="D6E3BC" w:themeFill="accent3" w:themeFillTint="66"/>
            <w:vAlign w:val="center"/>
          </w:tcPr>
          <w:p w14:paraId="717108B7" w14:textId="02B78E4D" w:rsidR="00966523" w:rsidRPr="00300B3C" w:rsidRDefault="00966523" w:rsidP="00966523">
            <w:pPr>
              <w:jc w:val="center"/>
              <w:rPr>
                <w:rFonts w:cs="Times New Roman"/>
                <w:sz w:val="22"/>
              </w:rPr>
            </w:pPr>
            <w:r w:rsidRPr="00300B3C">
              <w:rPr>
                <w:rFonts w:cs="Times New Roman"/>
                <w:sz w:val="22"/>
              </w:rPr>
              <w:t>Kauno miesto rodiklis 201</w:t>
            </w:r>
            <w:r>
              <w:rPr>
                <w:rFonts w:cs="Times New Roman"/>
                <w:sz w:val="22"/>
              </w:rPr>
              <w:t>8</w:t>
            </w:r>
            <w:r w:rsidRPr="00300B3C">
              <w:rPr>
                <w:rFonts w:cs="Times New Roman"/>
                <w:sz w:val="22"/>
              </w:rPr>
              <w:t xml:space="preserve"> m.</w:t>
            </w:r>
          </w:p>
        </w:tc>
        <w:tc>
          <w:tcPr>
            <w:tcW w:w="1787" w:type="dxa"/>
            <w:shd w:val="clear" w:color="auto" w:fill="D6E3BC" w:themeFill="accent3" w:themeFillTint="66"/>
            <w:vAlign w:val="center"/>
          </w:tcPr>
          <w:p w14:paraId="18684686" w14:textId="56DAC429" w:rsidR="00966523" w:rsidRPr="00300B3C" w:rsidRDefault="00966523" w:rsidP="00966523">
            <w:pPr>
              <w:jc w:val="center"/>
              <w:rPr>
                <w:rFonts w:cs="Times New Roman"/>
                <w:sz w:val="22"/>
              </w:rPr>
            </w:pPr>
            <w:r w:rsidRPr="00300B3C">
              <w:rPr>
                <w:rFonts w:cs="Times New Roman"/>
                <w:sz w:val="22"/>
              </w:rPr>
              <w:t>Kauno miesto rodiklis 201</w:t>
            </w:r>
            <w:r>
              <w:rPr>
                <w:rFonts w:cs="Times New Roman"/>
                <w:sz w:val="22"/>
              </w:rPr>
              <w:t>9</w:t>
            </w:r>
            <w:r w:rsidRPr="00300B3C">
              <w:rPr>
                <w:rFonts w:cs="Times New Roman"/>
                <w:sz w:val="22"/>
              </w:rPr>
              <w:t xml:space="preserve"> m.</w:t>
            </w:r>
          </w:p>
        </w:tc>
        <w:tc>
          <w:tcPr>
            <w:tcW w:w="1257" w:type="dxa"/>
            <w:shd w:val="clear" w:color="auto" w:fill="D6E3BC" w:themeFill="accent3" w:themeFillTint="66"/>
            <w:vAlign w:val="center"/>
          </w:tcPr>
          <w:p w14:paraId="736647D6" w14:textId="21A44ED6" w:rsidR="00966523" w:rsidRPr="00300B3C" w:rsidRDefault="00966523" w:rsidP="00966523">
            <w:pPr>
              <w:jc w:val="center"/>
              <w:rPr>
                <w:rFonts w:cs="Times New Roman"/>
                <w:sz w:val="22"/>
              </w:rPr>
            </w:pPr>
            <w:r w:rsidRPr="00300B3C">
              <w:rPr>
                <w:rFonts w:cs="Times New Roman"/>
                <w:sz w:val="22"/>
              </w:rPr>
              <w:t>Lietuvos rodiklis</w:t>
            </w:r>
          </w:p>
        </w:tc>
        <w:tc>
          <w:tcPr>
            <w:tcW w:w="1257" w:type="dxa"/>
            <w:shd w:val="clear" w:color="auto" w:fill="D6E3BC" w:themeFill="accent3" w:themeFillTint="66"/>
            <w:vAlign w:val="center"/>
          </w:tcPr>
          <w:p w14:paraId="35DECFAF" w14:textId="37712E7A" w:rsidR="00966523" w:rsidRPr="00300B3C" w:rsidRDefault="00966523" w:rsidP="00966523">
            <w:pPr>
              <w:jc w:val="center"/>
              <w:rPr>
                <w:rFonts w:cs="Times New Roman"/>
                <w:sz w:val="22"/>
              </w:rPr>
            </w:pPr>
            <w:r w:rsidRPr="00300B3C">
              <w:rPr>
                <w:rFonts w:cs="Times New Roman"/>
                <w:sz w:val="22"/>
              </w:rPr>
              <w:t>Minimali reikšmė</w:t>
            </w:r>
          </w:p>
        </w:tc>
        <w:tc>
          <w:tcPr>
            <w:tcW w:w="1259" w:type="dxa"/>
            <w:shd w:val="clear" w:color="auto" w:fill="D6E3BC" w:themeFill="accent3" w:themeFillTint="66"/>
            <w:vAlign w:val="center"/>
          </w:tcPr>
          <w:p w14:paraId="3FD238A0" w14:textId="0C10C3C8" w:rsidR="00966523" w:rsidRPr="00300B3C" w:rsidRDefault="00966523" w:rsidP="00966523">
            <w:pPr>
              <w:jc w:val="center"/>
              <w:rPr>
                <w:rFonts w:cs="Times New Roman"/>
                <w:sz w:val="22"/>
              </w:rPr>
            </w:pPr>
            <w:r w:rsidRPr="00300B3C">
              <w:rPr>
                <w:rFonts w:cs="Times New Roman"/>
                <w:sz w:val="22"/>
              </w:rPr>
              <w:t>Maksimali reikšmė</w:t>
            </w:r>
          </w:p>
        </w:tc>
        <w:tc>
          <w:tcPr>
            <w:tcW w:w="1885" w:type="dxa"/>
            <w:shd w:val="clear" w:color="auto" w:fill="D6E3BC" w:themeFill="accent3" w:themeFillTint="66"/>
            <w:vAlign w:val="center"/>
          </w:tcPr>
          <w:p w14:paraId="7ED339F9" w14:textId="7A3391BD" w:rsidR="00966523" w:rsidRPr="00300B3C" w:rsidRDefault="00966523" w:rsidP="00966523">
            <w:pPr>
              <w:jc w:val="center"/>
              <w:rPr>
                <w:rFonts w:cs="Times New Roman"/>
                <w:sz w:val="22"/>
              </w:rPr>
            </w:pPr>
            <w:r w:rsidRPr="00300B3C">
              <w:rPr>
                <w:rFonts w:cs="Times New Roman"/>
                <w:sz w:val="22"/>
              </w:rPr>
              <w:t>Kauno miesto ir Lietuvos rodiklio santykis</w:t>
            </w:r>
          </w:p>
        </w:tc>
      </w:tr>
      <w:tr w:rsidR="00966523" w:rsidRPr="00300B3C" w14:paraId="3D2BEF2A" w14:textId="77777777" w:rsidTr="00E5407B">
        <w:trPr>
          <w:trHeight w:val="116"/>
          <w:jc w:val="center"/>
        </w:trPr>
        <w:tc>
          <w:tcPr>
            <w:tcW w:w="601" w:type="dxa"/>
          </w:tcPr>
          <w:p w14:paraId="3D2BEF22" w14:textId="77777777" w:rsidR="00966523" w:rsidRPr="00300B3C" w:rsidRDefault="00966523" w:rsidP="00966523">
            <w:pPr>
              <w:rPr>
                <w:rFonts w:cs="Times New Roman"/>
                <w:sz w:val="22"/>
              </w:rPr>
            </w:pPr>
            <w:r w:rsidRPr="00300B3C">
              <w:rPr>
                <w:rFonts w:cs="Times New Roman"/>
                <w:sz w:val="22"/>
              </w:rPr>
              <w:t>32.</w:t>
            </w:r>
          </w:p>
        </w:tc>
        <w:tc>
          <w:tcPr>
            <w:tcW w:w="4945" w:type="dxa"/>
          </w:tcPr>
          <w:p w14:paraId="3D2BEF23" w14:textId="77777777" w:rsidR="00966523" w:rsidRPr="00300B3C" w:rsidRDefault="00966523" w:rsidP="00966523">
            <w:pPr>
              <w:rPr>
                <w:rFonts w:cs="Times New Roman"/>
                <w:sz w:val="22"/>
              </w:rPr>
            </w:pPr>
            <w:r w:rsidRPr="00300B3C">
              <w:rPr>
                <w:rFonts w:cs="Times New Roman"/>
                <w:sz w:val="22"/>
              </w:rPr>
              <w:t>Slaugytojų, tenkančių vienam gydytojui, skaičius</w:t>
            </w:r>
          </w:p>
        </w:tc>
        <w:tc>
          <w:tcPr>
            <w:tcW w:w="1787" w:type="dxa"/>
            <w:vAlign w:val="center"/>
          </w:tcPr>
          <w:p w14:paraId="3D2BEF24" w14:textId="1B91BA9D" w:rsidR="00966523" w:rsidRPr="00300B3C" w:rsidRDefault="00966523" w:rsidP="00966523">
            <w:pPr>
              <w:jc w:val="center"/>
              <w:rPr>
                <w:rFonts w:cs="Times New Roman"/>
                <w:sz w:val="22"/>
              </w:rPr>
            </w:pPr>
            <w:r w:rsidRPr="00300B3C">
              <w:rPr>
                <w:rFonts w:cs="Times New Roman"/>
                <w:sz w:val="22"/>
              </w:rPr>
              <w:t>1,6</w:t>
            </w:r>
          </w:p>
        </w:tc>
        <w:tc>
          <w:tcPr>
            <w:tcW w:w="1787" w:type="dxa"/>
            <w:vAlign w:val="center"/>
          </w:tcPr>
          <w:p w14:paraId="3D2BEF25" w14:textId="34C5A5B8" w:rsidR="00966523" w:rsidRPr="00300B3C" w:rsidRDefault="00872EA4" w:rsidP="00966523">
            <w:pPr>
              <w:jc w:val="center"/>
              <w:rPr>
                <w:rFonts w:cs="Times New Roman"/>
                <w:sz w:val="22"/>
              </w:rPr>
            </w:pPr>
            <w:r>
              <w:rPr>
                <w:rFonts w:cs="Times New Roman"/>
                <w:sz w:val="22"/>
              </w:rPr>
              <w:t>1,6</w:t>
            </w:r>
            <w:r w:rsidR="004F2BDC">
              <w:rPr>
                <w:rFonts w:cs="Times New Roman"/>
                <w:sz w:val="22"/>
              </w:rPr>
              <w:t xml:space="preserve"> </w:t>
            </w:r>
            <w:r w:rsidR="001201EE" w:rsidRPr="001201EE">
              <w:rPr>
                <w:rFonts w:cs="Times New Roman"/>
                <w:b/>
                <w:bCs/>
                <w:color w:val="00B050"/>
                <w:sz w:val="22"/>
                <w:lang w:val="en-US"/>
              </w:rPr>
              <w:t>=</w:t>
            </w:r>
          </w:p>
        </w:tc>
        <w:tc>
          <w:tcPr>
            <w:tcW w:w="1257" w:type="dxa"/>
            <w:vAlign w:val="center"/>
          </w:tcPr>
          <w:p w14:paraId="3D2BEF26" w14:textId="770356DF" w:rsidR="00966523" w:rsidRPr="00300B3C" w:rsidRDefault="00872EA4" w:rsidP="00966523">
            <w:pPr>
              <w:jc w:val="center"/>
              <w:rPr>
                <w:rFonts w:cs="Times New Roman"/>
                <w:sz w:val="22"/>
              </w:rPr>
            </w:pPr>
            <w:r>
              <w:rPr>
                <w:rFonts w:cs="Times New Roman"/>
                <w:sz w:val="22"/>
              </w:rPr>
              <w:t>2,0</w:t>
            </w:r>
          </w:p>
        </w:tc>
        <w:tc>
          <w:tcPr>
            <w:tcW w:w="1257" w:type="dxa"/>
            <w:vAlign w:val="center"/>
          </w:tcPr>
          <w:p w14:paraId="3D2BEF27" w14:textId="436D77BC" w:rsidR="00966523" w:rsidRPr="00300B3C" w:rsidRDefault="00A52250" w:rsidP="00966523">
            <w:pPr>
              <w:jc w:val="center"/>
              <w:rPr>
                <w:rFonts w:cs="Times New Roman"/>
                <w:sz w:val="22"/>
              </w:rPr>
            </w:pPr>
            <w:r>
              <w:rPr>
                <w:rFonts w:cs="Times New Roman"/>
                <w:sz w:val="22"/>
              </w:rPr>
              <w:t>1,6</w:t>
            </w:r>
          </w:p>
        </w:tc>
        <w:tc>
          <w:tcPr>
            <w:tcW w:w="1259" w:type="dxa"/>
            <w:vAlign w:val="center"/>
          </w:tcPr>
          <w:p w14:paraId="3D2BEF28" w14:textId="12C26CF5" w:rsidR="00966523" w:rsidRPr="00300B3C" w:rsidRDefault="00A52250" w:rsidP="00966523">
            <w:pPr>
              <w:jc w:val="center"/>
              <w:rPr>
                <w:rFonts w:cs="Times New Roman"/>
                <w:sz w:val="22"/>
              </w:rPr>
            </w:pPr>
            <w:r>
              <w:rPr>
                <w:rFonts w:cs="Times New Roman"/>
                <w:sz w:val="22"/>
              </w:rPr>
              <w:t>5,8</w:t>
            </w:r>
          </w:p>
        </w:tc>
        <w:tc>
          <w:tcPr>
            <w:tcW w:w="1885" w:type="dxa"/>
            <w:shd w:val="clear" w:color="auto" w:fill="FF0000"/>
            <w:vAlign w:val="center"/>
          </w:tcPr>
          <w:p w14:paraId="3D2BEF29" w14:textId="0367D71F" w:rsidR="00966523" w:rsidRPr="00300B3C" w:rsidRDefault="00A52250" w:rsidP="00966523">
            <w:pPr>
              <w:jc w:val="center"/>
              <w:rPr>
                <w:rFonts w:cs="Times New Roman"/>
                <w:sz w:val="22"/>
              </w:rPr>
            </w:pPr>
            <w:r>
              <w:rPr>
                <w:rFonts w:cs="Times New Roman"/>
                <w:sz w:val="22"/>
              </w:rPr>
              <w:t>0,8</w:t>
            </w:r>
          </w:p>
        </w:tc>
      </w:tr>
      <w:tr w:rsidR="00966523" w:rsidRPr="00300B3C" w14:paraId="3D2BEF33" w14:textId="77777777" w:rsidTr="00E5407B">
        <w:trPr>
          <w:jc w:val="center"/>
        </w:trPr>
        <w:tc>
          <w:tcPr>
            <w:tcW w:w="601" w:type="dxa"/>
          </w:tcPr>
          <w:p w14:paraId="3D2BEF2B" w14:textId="77777777" w:rsidR="00966523" w:rsidRPr="00300B3C" w:rsidRDefault="00966523" w:rsidP="00966523">
            <w:pPr>
              <w:rPr>
                <w:rFonts w:cs="Times New Roman"/>
                <w:sz w:val="22"/>
              </w:rPr>
            </w:pPr>
            <w:r w:rsidRPr="00300B3C">
              <w:rPr>
                <w:rFonts w:cs="Times New Roman"/>
                <w:sz w:val="22"/>
              </w:rPr>
              <w:t>33.</w:t>
            </w:r>
          </w:p>
        </w:tc>
        <w:tc>
          <w:tcPr>
            <w:tcW w:w="4945" w:type="dxa"/>
          </w:tcPr>
          <w:p w14:paraId="3D2BEF2C" w14:textId="77777777" w:rsidR="00966523" w:rsidRPr="00300B3C" w:rsidRDefault="00966523" w:rsidP="00966523">
            <w:pPr>
              <w:rPr>
                <w:rFonts w:cs="Times New Roman"/>
                <w:sz w:val="22"/>
              </w:rPr>
            </w:pPr>
            <w:r w:rsidRPr="00300B3C">
              <w:rPr>
                <w:rFonts w:cs="Times New Roman"/>
                <w:sz w:val="22"/>
              </w:rPr>
              <w:t>Šeimos gydytojų skaičius 10 000 gyv.</w:t>
            </w:r>
          </w:p>
        </w:tc>
        <w:tc>
          <w:tcPr>
            <w:tcW w:w="1787" w:type="dxa"/>
            <w:vAlign w:val="center"/>
          </w:tcPr>
          <w:p w14:paraId="3D2BEF2D" w14:textId="5982F0AF" w:rsidR="00966523" w:rsidRPr="00300B3C" w:rsidRDefault="00966523" w:rsidP="00966523">
            <w:pPr>
              <w:jc w:val="center"/>
              <w:rPr>
                <w:rFonts w:cs="Times New Roman"/>
                <w:sz w:val="22"/>
              </w:rPr>
            </w:pPr>
            <w:r w:rsidRPr="00300B3C">
              <w:rPr>
                <w:rFonts w:cs="Times New Roman"/>
                <w:sz w:val="22"/>
              </w:rPr>
              <w:t>13,6</w:t>
            </w:r>
          </w:p>
        </w:tc>
        <w:tc>
          <w:tcPr>
            <w:tcW w:w="1787" w:type="dxa"/>
            <w:vAlign w:val="center"/>
          </w:tcPr>
          <w:p w14:paraId="3D2BEF2E" w14:textId="74A0F73C" w:rsidR="00966523" w:rsidRPr="00300B3C" w:rsidRDefault="0043371E" w:rsidP="00966523">
            <w:pPr>
              <w:jc w:val="center"/>
              <w:rPr>
                <w:rFonts w:cs="Times New Roman"/>
                <w:sz w:val="22"/>
              </w:rPr>
            </w:pPr>
            <w:r>
              <w:rPr>
                <w:rFonts w:cs="Times New Roman"/>
                <w:sz w:val="22"/>
              </w:rPr>
              <w:t>13,5</w:t>
            </w:r>
            <w:r w:rsidR="001201EE">
              <w:rPr>
                <w:rFonts w:cs="Times New Roman"/>
                <w:sz w:val="22"/>
              </w:rPr>
              <w:t xml:space="preserve"> </w:t>
            </w:r>
            <w:r w:rsidR="001201EE" w:rsidRPr="00F05640">
              <w:rPr>
                <w:rFonts w:cs="Times New Roman"/>
                <w:b/>
                <w:bCs/>
                <w:color w:val="FF0000"/>
                <w:sz w:val="22"/>
              </w:rPr>
              <w:t>↓</w:t>
            </w:r>
          </w:p>
        </w:tc>
        <w:tc>
          <w:tcPr>
            <w:tcW w:w="1257" w:type="dxa"/>
            <w:vAlign w:val="center"/>
          </w:tcPr>
          <w:p w14:paraId="3D2BEF2F" w14:textId="1A472A63" w:rsidR="00966523" w:rsidRPr="00300B3C" w:rsidRDefault="0043371E" w:rsidP="00966523">
            <w:pPr>
              <w:jc w:val="center"/>
              <w:rPr>
                <w:rFonts w:cs="Times New Roman"/>
                <w:sz w:val="22"/>
              </w:rPr>
            </w:pPr>
            <w:r>
              <w:rPr>
                <w:rFonts w:cs="Times New Roman"/>
                <w:sz w:val="22"/>
              </w:rPr>
              <w:t>7,2</w:t>
            </w:r>
          </w:p>
        </w:tc>
        <w:tc>
          <w:tcPr>
            <w:tcW w:w="1257" w:type="dxa"/>
            <w:vAlign w:val="center"/>
          </w:tcPr>
          <w:p w14:paraId="3D2BEF30" w14:textId="3080F0E1" w:rsidR="00966523" w:rsidRPr="00300B3C" w:rsidRDefault="00CC4A65" w:rsidP="00966523">
            <w:pPr>
              <w:jc w:val="center"/>
              <w:rPr>
                <w:rFonts w:cs="Times New Roman"/>
                <w:sz w:val="22"/>
              </w:rPr>
            </w:pPr>
            <w:r>
              <w:rPr>
                <w:rFonts w:cs="Times New Roman"/>
                <w:sz w:val="22"/>
              </w:rPr>
              <w:t>2,5</w:t>
            </w:r>
          </w:p>
        </w:tc>
        <w:tc>
          <w:tcPr>
            <w:tcW w:w="1259" w:type="dxa"/>
            <w:vAlign w:val="center"/>
          </w:tcPr>
          <w:p w14:paraId="3D2BEF31" w14:textId="654B9757" w:rsidR="00966523" w:rsidRPr="00300B3C" w:rsidRDefault="00CC4A65" w:rsidP="00966523">
            <w:pPr>
              <w:jc w:val="center"/>
              <w:rPr>
                <w:rFonts w:cs="Times New Roman"/>
                <w:sz w:val="22"/>
              </w:rPr>
            </w:pPr>
            <w:r>
              <w:rPr>
                <w:rFonts w:cs="Times New Roman"/>
                <w:sz w:val="22"/>
              </w:rPr>
              <w:t>13,5</w:t>
            </w:r>
          </w:p>
        </w:tc>
        <w:tc>
          <w:tcPr>
            <w:tcW w:w="1885" w:type="dxa"/>
            <w:shd w:val="clear" w:color="auto" w:fill="00B050"/>
            <w:vAlign w:val="center"/>
          </w:tcPr>
          <w:p w14:paraId="3D2BEF32" w14:textId="3F6F9016" w:rsidR="00966523" w:rsidRPr="00300B3C" w:rsidRDefault="00CC4A65" w:rsidP="00966523">
            <w:pPr>
              <w:jc w:val="center"/>
              <w:rPr>
                <w:rFonts w:cs="Times New Roman"/>
                <w:sz w:val="22"/>
              </w:rPr>
            </w:pPr>
            <w:r>
              <w:rPr>
                <w:rFonts w:cs="Times New Roman"/>
                <w:sz w:val="22"/>
              </w:rPr>
              <w:t>1,89</w:t>
            </w:r>
          </w:p>
        </w:tc>
      </w:tr>
      <w:tr w:rsidR="00966523" w:rsidRPr="00300B3C" w14:paraId="3D2BEF3C" w14:textId="77777777" w:rsidTr="00E5407B">
        <w:trPr>
          <w:jc w:val="center"/>
        </w:trPr>
        <w:tc>
          <w:tcPr>
            <w:tcW w:w="601" w:type="dxa"/>
          </w:tcPr>
          <w:p w14:paraId="3D2BEF34" w14:textId="77777777" w:rsidR="00966523" w:rsidRPr="00300B3C" w:rsidRDefault="00966523" w:rsidP="00966523">
            <w:pPr>
              <w:rPr>
                <w:rFonts w:cs="Times New Roman"/>
                <w:sz w:val="22"/>
              </w:rPr>
            </w:pPr>
            <w:r w:rsidRPr="00300B3C">
              <w:rPr>
                <w:rFonts w:cs="Times New Roman"/>
                <w:sz w:val="22"/>
              </w:rPr>
              <w:t>34.</w:t>
            </w:r>
          </w:p>
        </w:tc>
        <w:tc>
          <w:tcPr>
            <w:tcW w:w="4945" w:type="dxa"/>
          </w:tcPr>
          <w:p w14:paraId="3D2BEF35" w14:textId="77777777" w:rsidR="00966523" w:rsidRPr="00300B3C" w:rsidRDefault="00966523" w:rsidP="00966523">
            <w:pPr>
              <w:rPr>
                <w:rFonts w:cs="Times New Roman"/>
                <w:sz w:val="22"/>
              </w:rPr>
            </w:pPr>
            <w:r w:rsidRPr="00300B3C">
              <w:rPr>
                <w:rFonts w:cs="Times New Roman"/>
                <w:sz w:val="22"/>
              </w:rPr>
              <w:t>Apsilankymų pas gydytojus skaičius, tenkantis vienam gyventojui</w:t>
            </w:r>
          </w:p>
        </w:tc>
        <w:tc>
          <w:tcPr>
            <w:tcW w:w="1787" w:type="dxa"/>
            <w:vAlign w:val="center"/>
          </w:tcPr>
          <w:p w14:paraId="3D2BEF36" w14:textId="49191FEE" w:rsidR="00966523" w:rsidRPr="00300B3C" w:rsidRDefault="00966523" w:rsidP="00966523">
            <w:pPr>
              <w:jc w:val="center"/>
              <w:rPr>
                <w:rFonts w:cs="Times New Roman"/>
                <w:sz w:val="22"/>
              </w:rPr>
            </w:pPr>
            <w:r w:rsidRPr="00300B3C">
              <w:rPr>
                <w:rFonts w:cs="Times New Roman"/>
                <w:sz w:val="22"/>
              </w:rPr>
              <w:t>10,3</w:t>
            </w:r>
          </w:p>
        </w:tc>
        <w:tc>
          <w:tcPr>
            <w:tcW w:w="1787" w:type="dxa"/>
            <w:vAlign w:val="center"/>
          </w:tcPr>
          <w:p w14:paraId="3D2BEF37" w14:textId="7E6737CA" w:rsidR="00966523" w:rsidRPr="00300B3C" w:rsidRDefault="00B235D3" w:rsidP="00966523">
            <w:pPr>
              <w:jc w:val="center"/>
              <w:rPr>
                <w:rFonts w:cs="Times New Roman"/>
                <w:sz w:val="22"/>
              </w:rPr>
            </w:pPr>
            <w:r>
              <w:rPr>
                <w:rFonts w:cs="Times New Roman"/>
                <w:sz w:val="22"/>
              </w:rPr>
              <w:t>10,7</w:t>
            </w:r>
            <w:r w:rsidR="006E419B">
              <w:rPr>
                <w:rFonts w:cs="Times New Roman"/>
                <w:sz w:val="22"/>
              </w:rPr>
              <w:t xml:space="preserve"> </w:t>
            </w:r>
            <w:r w:rsidR="006871C1" w:rsidRPr="008002E0">
              <w:rPr>
                <w:rFonts w:cs="Times New Roman"/>
                <w:b/>
                <w:bCs/>
                <w:color w:val="00B050"/>
                <w:sz w:val="22"/>
              </w:rPr>
              <w:t>↑</w:t>
            </w:r>
          </w:p>
        </w:tc>
        <w:tc>
          <w:tcPr>
            <w:tcW w:w="1257" w:type="dxa"/>
            <w:vAlign w:val="center"/>
          </w:tcPr>
          <w:p w14:paraId="3D2BEF38" w14:textId="44B8C735" w:rsidR="00966523" w:rsidRPr="00300B3C" w:rsidRDefault="00B235D3" w:rsidP="00966523">
            <w:pPr>
              <w:jc w:val="center"/>
              <w:rPr>
                <w:rFonts w:cs="Times New Roman"/>
                <w:sz w:val="22"/>
              </w:rPr>
            </w:pPr>
            <w:r>
              <w:rPr>
                <w:rFonts w:cs="Times New Roman"/>
                <w:sz w:val="22"/>
              </w:rPr>
              <w:t>9,5</w:t>
            </w:r>
          </w:p>
        </w:tc>
        <w:tc>
          <w:tcPr>
            <w:tcW w:w="1257" w:type="dxa"/>
            <w:vAlign w:val="center"/>
          </w:tcPr>
          <w:p w14:paraId="3D2BEF39" w14:textId="7F62768C" w:rsidR="00966523" w:rsidRPr="00300B3C" w:rsidRDefault="00AB595D" w:rsidP="00966523">
            <w:pPr>
              <w:jc w:val="center"/>
              <w:rPr>
                <w:rFonts w:cs="Times New Roman"/>
                <w:sz w:val="22"/>
              </w:rPr>
            </w:pPr>
            <w:r>
              <w:rPr>
                <w:rFonts w:cs="Times New Roman"/>
                <w:sz w:val="22"/>
              </w:rPr>
              <w:t>6,5</w:t>
            </w:r>
          </w:p>
        </w:tc>
        <w:tc>
          <w:tcPr>
            <w:tcW w:w="1259" w:type="dxa"/>
            <w:vAlign w:val="center"/>
          </w:tcPr>
          <w:p w14:paraId="3D2BEF3A" w14:textId="427CEE97" w:rsidR="00966523" w:rsidRPr="00300B3C" w:rsidRDefault="00AB595D" w:rsidP="00966523">
            <w:pPr>
              <w:jc w:val="center"/>
              <w:rPr>
                <w:rFonts w:cs="Times New Roman"/>
                <w:sz w:val="22"/>
              </w:rPr>
            </w:pPr>
            <w:r>
              <w:rPr>
                <w:rFonts w:cs="Times New Roman"/>
                <w:sz w:val="22"/>
              </w:rPr>
              <w:t>11,8</w:t>
            </w:r>
          </w:p>
        </w:tc>
        <w:tc>
          <w:tcPr>
            <w:tcW w:w="1885" w:type="dxa"/>
            <w:shd w:val="clear" w:color="auto" w:fill="00B050"/>
            <w:vAlign w:val="center"/>
          </w:tcPr>
          <w:p w14:paraId="3D2BEF3B" w14:textId="008351B3" w:rsidR="00966523" w:rsidRPr="00300B3C" w:rsidRDefault="00AB595D" w:rsidP="00966523">
            <w:pPr>
              <w:jc w:val="center"/>
              <w:rPr>
                <w:rFonts w:cs="Times New Roman"/>
                <w:sz w:val="22"/>
              </w:rPr>
            </w:pPr>
            <w:r>
              <w:rPr>
                <w:rFonts w:cs="Times New Roman"/>
                <w:sz w:val="22"/>
              </w:rPr>
              <w:t>1,13</w:t>
            </w:r>
          </w:p>
        </w:tc>
      </w:tr>
      <w:tr w:rsidR="00966523" w:rsidRPr="00300B3C" w14:paraId="3D2BEF40" w14:textId="77777777" w:rsidTr="001D248D">
        <w:trPr>
          <w:jc w:val="center"/>
        </w:trPr>
        <w:tc>
          <w:tcPr>
            <w:tcW w:w="601" w:type="dxa"/>
          </w:tcPr>
          <w:p w14:paraId="3D2BEF3D" w14:textId="77777777" w:rsidR="00966523" w:rsidRPr="00300B3C" w:rsidRDefault="00966523" w:rsidP="00966523">
            <w:pPr>
              <w:rPr>
                <w:rFonts w:cs="Times New Roman"/>
                <w:sz w:val="22"/>
              </w:rPr>
            </w:pPr>
            <w:r w:rsidRPr="00300B3C">
              <w:rPr>
                <w:rFonts w:cs="Times New Roman"/>
                <w:sz w:val="22"/>
              </w:rPr>
              <w:t>35.</w:t>
            </w:r>
          </w:p>
        </w:tc>
        <w:tc>
          <w:tcPr>
            <w:tcW w:w="4945" w:type="dxa"/>
          </w:tcPr>
          <w:p w14:paraId="3D2BEF3E" w14:textId="77777777" w:rsidR="00966523" w:rsidRPr="00300B3C" w:rsidRDefault="00966523" w:rsidP="00966523">
            <w:pPr>
              <w:rPr>
                <w:rFonts w:cs="Times New Roman"/>
                <w:sz w:val="22"/>
              </w:rPr>
            </w:pPr>
            <w:r w:rsidRPr="00300B3C">
              <w:rPr>
                <w:rFonts w:cs="Times New Roman"/>
                <w:sz w:val="22"/>
              </w:rPr>
              <w:t>Neteko galios</w:t>
            </w:r>
            <w:r>
              <w:rPr>
                <w:rFonts w:cs="Times New Roman"/>
                <w:sz w:val="22"/>
              </w:rPr>
              <w:t xml:space="preserve"> nuo 2018-01-01</w:t>
            </w:r>
          </w:p>
        </w:tc>
        <w:tc>
          <w:tcPr>
            <w:tcW w:w="9232" w:type="dxa"/>
            <w:gridSpan w:val="6"/>
            <w:shd w:val="clear" w:color="auto" w:fill="auto"/>
            <w:vAlign w:val="center"/>
          </w:tcPr>
          <w:p w14:paraId="3D2BEF3F" w14:textId="5DAB805D" w:rsidR="00966523" w:rsidRPr="00300B3C" w:rsidRDefault="00966523" w:rsidP="00966523">
            <w:pPr>
              <w:jc w:val="center"/>
              <w:rPr>
                <w:rFonts w:cs="Times New Roman"/>
                <w:sz w:val="22"/>
              </w:rPr>
            </w:pPr>
            <w:r>
              <w:rPr>
                <w:rFonts w:cs="Times New Roman"/>
                <w:sz w:val="22"/>
              </w:rPr>
              <w:t>-</w:t>
            </w:r>
          </w:p>
        </w:tc>
      </w:tr>
      <w:tr w:rsidR="00966523" w:rsidRPr="00300B3C" w14:paraId="3D2BEF49" w14:textId="77777777" w:rsidTr="002C6102">
        <w:trPr>
          <w:jc w:val="center"/>
        </w:trPr>
        <w:tc>
          <w:tcPr>
            <w:tcW w:w="601" w:type="dxa"/>
          </w:tcPr>
          <w:p w14:paraId="3D2BEF41" w14:textId="77777777" w:rsidR="00966523" w:rsidRPr="00300B3C" w:rsidRDefault="00966523" w:rsidP="00966523">
            <w:pPr>
              <w:rPr>
                <w:rFonts w:cs="Times New Roman"/>
                <w:sz w:val="22"/>
              </w:rPr>
            </w:pPr>
            <w:r w:rsidRPr="00300B3C">
              <w:rPr>
                <w:rFonts w:cs="Times New Roman"/>
                <w:sz w:val="22"/>
              </w:rPr>
              <w:t>36.</w:t>
            </w:r>
          </w:p>
        </w:tc>
        <w:tc>
          <w:tcPr>
            <w:tcW w:w="4945" w:type="dxa"/>
          </w:tcPr>
          <w:p w14:paraId="3D2BEF42" w14:textId="77777777" w:rsidR="00966523" w:rsidRPr="00300B3C" w:rsidRDefault="00966523" w:rsidP="00966523">
            <w:pPr>
              <w:rPr>
                <w:rFonts w:cs="Times New Roman"/>
                <w:sz w:val="22"/>
              </w:rPr>
            </w:pPr>
            <w:r w:rsidRPr="00300B3C">
              <w:rPr>
                <w:rFonts w:cs="Times New Roman"/>
                <w:sz w:val="22"/>
              </w:rPr>
              <w:t>Sergamumas vaistams atsparia tuberkulioze (A15-A19) 100 000 gyv. (visi)</w:t>
            </w:r>
          </w:p>
        </w:tc>
        <w:tc>
          <w:tcPr>
            <w:tcW w:w="1787" w:type="dxa"/>
            <w:vAlign w:val="center"/>
          </w:tcPr>
          <w:p w14:paraId="3D2BEF43" w14:textId="3EDE9E50" w:rsidR="00966523" w:rsidRPr="00300B3C" w:rsidRDefault="00966523" w:rsidP="00966523">
            <w:pPr>
              <w:jc w:val="center"/>
              <w:rPr>
                <w:rFonts w:cs="Times New Roman"/>
                <w:sz w:val="22"/>
              </w:rPr>
            </w:pPr>
            <w:r w:rsidRPr="00300B3C">
              <w:rPr>
                <w:rFonts w:cs="Times New Roman"/>
                <w:sz w:val="22"/>
              </w:rPr>
              <w:t>4,8</w:t>
            </w:r>
          </w:p>
        </w:tc>
        <w:tc>
          <w:tcPr>
            <w:tcW w:w="1787" w:type="dxa"/>
            <w:vAlign w:val="center"/>
          </w:tcPr>
          <w:p w14:paraId="3D2BEF44" w14:textId="6B049536" w:rsidR="00966523" w:rsidRPr="00300B3C" w:rsidRDefault="00E83622" w:rsidP="00966523">
            <w:pPr>
              <w:jc w:val="center"/>
              <w:rPr>
                <w:rFonts w:cs="Times New Roman"/>
                <w:sz w:val="22"/>
              </w:rPr>
            </w:pPr>
            <w:r>
              <w:rPr>
                <w:rFonts w:cs="Times New Roman"/>
                <w:sz w:val="22"/>
              </w:rPr>
              <w:t>5,2</w:t>
            </w:r>
            <w:r w:rsidR="006871C1">
              <w:rPr>
                <w:rFonts w:cs="Times New Roman"/>
                <w:sz w:val="22"/>
              </w:rPr>
              <w:t xml:space="preserve"> </w:t>
            </w:r>
            <w:r w:rsidR="006871C1" w:rsidRPr="00500250">
              <w:rPr>
                <w:rFonts w:cs="Times New Roman"/>
                <w:b/>
                <w:bCs/>
                <w:color w:val="FF0000"/>
                <w:sz w:val="22"/>
              </w:rPr>
              <w:t>↑</w:t>
            </w:r>
          </w:p>
        </w:tc>
        <w:tc>
          <w:tcPr>
            <w:tcW w:w="1257" w:type="dxa"/>
            <w:vAlign w:val="center"/>
          </w:tcPr>
          <w:p w14:paraId="3D2BEF45" w14:textId="2C4DF3EC" w:rsidR="00966523" w:rsidRPr="00300B3C" w:rsidRDefault="00B376BC" w:rsidP="00966523">
            <w:pPr>
              <w:jc w:val="center"/>
              <w:rPr>
                <w:rFonts w:cs="Times New Roman"/>
                <w:sz w:val="22"/>
              </w:rPr>
            </w:pPr>
            <w:r>
              <w:rPr>
                <w:rFonts w:cs="Times New Roman"/>
                <w:sz w:val="22"/>
              </w:rPr>
              <w:t>5,7</w:t>
            </w:r>
          </w:p>
        </w:tc>
        <w:tc>
          <w:tcPr>
            <w:tcW w:w="1257" w:type="dxa"/>
            <w:vAlign w:val="center"/>
          </w:tcPr>
          <w:p w14:paraId="3D2BEF46" w14:textId="0A5B4B6B" w:rsidR="00966523" w:rsidRPr="00300B3C" w:rsidRDefault="00B376BC" w:rsidP="00966523">
            <w:pPr>
              <w:jc w:val="center"/>
              <w:rPr>
                <w:rFonts w:cs="Times New Roman"/>
                <w:sz w:val="22"/>
              </w:rPr>
            </w:pPr>
            <w:r>
              <w:rPr>
                <w:rFonts w:cs="Times New Roman"/>
                <w:sz w:val="22"/>
              </w:rPr>
              <w:t>0,0</w:t>
            </w:r>
          </w:p>
        </w:tc>
        <w:tc>
          <w:tcPr>
            <w:tcW w:w="1259" w:type="dxa"/>
            <w:vAlign w:val="center"/>
          </w:tcPr>
          <w:p w14:paraId="3D2BEF47" w14:textId="47E9ABD2" w:rsidR="00966523" w:rsidRPr="00300B3C" w:rsidRDefault="00B376BC" w:rsidP="00966523">
            <w:pPr>
              <w:jc w:val="center"/>
              <w:rPr>
                <w:rFonts w:cs="Times New Roman"/>
                <w:sz w:val="22"/>
              </w:rPr>
            </w:pPr>
            <w:r>
              <w:rPr>
                <w:rFonts w:cs="Times New Roman"/>
                <w:sz w:val="22"/>
              </w:rPr>
              <w:t>14,5</w:t>
            </w:r>
          </w:p>
        </w:tc>
        <w:tc>
          <w:tcPr>
            <w:tcW w:w="1885" w:type="dxa"/>
            <w:shd w:val="clear" w:color="auto" w:fill="FFFF00"/>
            <w:vAlign w:val="center"/>
          </w:tcPr>
          <w:p w14:paraId="3D2BEF48" w14:textId="33A8D851" w:rsidR="00966523" w:rsidRPr="00300B3C" w:rsidRDefault="00E83622" w:rsidP="00966523">
            <w:pPr>
              <w:jc w:val="center"/>
              <w:rPr>
                <w:rFonts w:cs="Times New Roman"/>
                <w:sz w:val="22"/>
              </w:rPr>
            </w:pPr>
            <w:r>
              <w:rPr>
                <w:rFonts w:cs="Times New Roman"/>
                <w:sz w:val="22"/>
              </w:rPr>
              <w:t>0,74</w:t>
            </w:r>
          </w:p>
        </w:tc>
      </w:tr>
      <w:tr w:rsidR="00966523" w:rsidRPr="00300B3C" w14:paraId="3D2BEF52" w14:textId="77777777" w:rsidTr="00C215BB">
        <w:trPr>
          <w:jc w:val="center"/>
        </w:trPr>
        <w:tc>
          <w:tcPr>
            <w:tcW w:w="601" w:type="dxa"/>
          </w:tcPr>
          <w:p w14:paraId="3D2BEF4A" w14:textId="77777777" w:rsidR="00966523" w:rsidRPr="00300B3C" w:rsidRDefault="00966523" w:rsidP="00966523">
            <w:pPr>
              <w:rPr>
                <w:rFonts w:cs="Times New Roman"/>
                <w:sz w:val="22"/>
              </w:rPr>
            </w:pPr>
            <w:r w:rsidRPr="00300B3C">
              <w:rPr>
                <w:rFonts w:cs="Times New Roman"/>
                <w:sz w:val="22"/>
              </w:rPr>
              <w:t>36.1</w:t>
            </w:r>
          </w:p>
        </w:tc>
        <w:tc>
          <w:tcPr>
            <w:tcW w:w="4945" w:type="dxa"/>
          </w:tcPr>
          <w:p w14:paraId="3D2BEF4B" w14:textId="77777777" w:rsidR="00966523" w:rsidRPr="00300B3C" w:rsidRDefault="00966523" w:rsidP="00966523">
            <w:pPr>
              <w:rPr>
                <w:rFonts w:cs="Times New Roman"/>
                <w:sz w:val="22"/>
              </w:rPr>
            </w:pPr>
            <w:r w:rsidRPr="00300B3C">
              <w:rPr>
                <w:rFonts w:cs="Times New Roman"/>
                <w:sz w:val="22"/>
              </w:rPr>
              <w:t>Sergamumas vaistams atsparia tuberkulioze (A15-A19) 100 000 gyv. (nauji atvejai)</w:t>
            </w:r>
          </w:p>
        </w:tc>
        <w:tc>
          <w:tcPr>
            <w:tcW w:w="1787" w:type="dxa"/>
            <w:vAlign w:val="center"/>
          </w:tcPr>
          <w:p w14:paraId="3D2BEF4C" w14:textId="3A60F300" w:rsidR="00966523" w:rsidRPr="00300B3C" w:rsidRDefault="00966523" w:rsidP="00966523">
            <w:pPr>
              <w:jc w:val="center"/>
              <w:rPr>
                <w:rFonts w:cs="Times New Roman"/>
                <w:sz w:val="22"/>
              </w:rPr>
            </w:pPr>
            <w:r w:rsidRPr="00300B3C">
              <w:rPr>
                <w:rFonts w:cs="Times New Roman"/>
                <w:sz w:val="22"/>
              </w:rPr>
              <w:t>2,1</w:t>
            </w:r>
          </w:p>
        </w:tc>
        <w:tc>
          <w:tcPr>
            <w:tcW w:w="1787" w:type="dxa"/>
            <w:vAlign w:val="center"/>
          </w:tcPr>
          <w:p w14:paraId="3D2BEF4D" w14:textId="2497DC1B" w:rsidR="00966523" w:rsidRPr="00AA086B" w:rsidRDefault="00AA086B" w:rsidP="00966523">
            <w:pPr>
              <w:jc w:val="center"/>
              <w:rPr>
                <w:rFonts w:cs="Times New Roman"/>
                <w:bCs/>
                <w:sz w:val="22"/>
              </w:rPr>
            </w:pPr>
            <w:r w:rsidRPr="00AA086B">
              <w:rPr>
                <w:rFonts w:cs="Times New Roman"/>
                <w:bCs/>
                <w:sz w:val="22"/>
              </w:rPr>
              <w:t>2,8</w:t>
            </w:r>
            <w:r w:rsidR="006871C1">
              <w:rPr>
                <w:rFonts w:cs="Times New Roman"/>
                <w:bCs/>
                <w:sz w:val="22"/>
              </w:rPr>
              <w:t xml:space="preserve"> </w:t>
            </w:r>
            <w:r w:rsidR="006871C1" w:rsidRPr="00500250">
              <w:rPr>
                <w:rFonts w:cs="Times New Roman"/>
                <w:b/>
                <w:bCs/>
                <w:color w:val="FF0000"/>
                <w:sz w:val="22"/>
              </w:rPr>
              <w:t>↑</w:t>
            </w:r>
          </w:p>
        </w:tc>
        <w:tc>
          <w:tcPr>
            <w:tcW w:w="1257" w:type="dxa"/>
            <w:vAlign w:val="center"/>
          </w:tcPr>
          <w:p w14:paraId="3D2BEF4E" w14:textId="36D77D57" w:rsidR="00966523" w:rsidRPr="00300B3C" w:rsidRDefault="00AA086B" w:rsidP="00966523">
            <w:pPr>
              <w:jc w:val="center"/>
              <w:rPr>
                <w:rFonts w:cs="Times New Roman"/>
                <w:sz w:val="22"/>
              </w:rPr>
            </w:pPr>
            <w:r>
              <w:rPr>
                <w:rFonts w:cs="Times New Roman"/>
                <w:sz w:val="22"/>
              </w:rPr>
              <w:t>3,3</w:t>
            </w:r>
          </w:p>
        </w:tc>
        <w:tc>
          <w:tcPr>
            <w:tcW w:w="1257" w:type="dxa"/>
            <w:vAlign w:val="center"/>
          </w:tcPr>
          <w:p w14:paraId="3D2BEF4F" w14:textId="5796FAB9" w:rsidR="00966523" w:rsidRPr="00300B3C" w:rsidRDefault="00C215BB" w:rsidP="00966523">
            <w:pPr>
              <w:jc w:val="center"/>
              <w:rPr>
                <w:rFonts w:cs="Times New Roman"/>
                <w:sz w:val="22"/>
              </w:rPr>
            </w:pPr>
            <w:r>
              <w:rPr>
                <w:rFonts w:cs="Times New Roman"/>
                <w:sz w:val="22"/>
              </w:rPr>
              <w:t>0,0</w:t>
            </w:r>
          </w:p>
        </w:tc>
        <w:tc>
          <w:tcPr>
            <w:tcW w:w="1259" w:type="dxa"/>
            <w:vAlign w:val="center"/>
          </w:tcPr>
          <w:p w14:paraId="3D2BEF50" w14:textId="78C6F850" w:rsidR="00966523" w:rsidRPr="00300B3C" w:rsidRDefault="00C215BB" w:rsidP="00966523">
            <w:pPr>
              <w:jc w:val="center"/>
              <w:rPr>
                <w:rFonts w:cs="Times New Roman"/>
                <w:sz w:val="22"/>
              </w:rPr>
            </w:pPr>
            <w:r>
              <w:rPr>
                <w:rFonts w:cs="Times New Roman"/>
                <w:sz w:val="22"/>
              </w:rPr>
              <w:t>12,6</w:t>
            </w:r>
          </w:p>
        </w:tc>
        <w:tc>
          <w:tcPr>
            <w:tcW w:w="1885" w:type="dxa"/>
            <w:shd w:val="clear" w:color="auto" w:fill="FFFF00"/>
            <w:vAlign w:val="center"/>
          </w:tcPr>
          <w:p w14:paraId="3D2BEF51" w14:textId="4EE87156" w:rsidR="00966523" w:rsidRPr="00300B3C" w:rsidRDefault="00694F4F" w:rsidP="00966523">
            <w:pPr>
              <w:jc w:val="center"/>
              <w:rPr>
                <w:rFonts w:cs="Times New Roman"/>
                <w:sz w:val="22"/>
              </w:rPr>
            </w:pPr>
            <w:r>
              <w:rPr>
                <w:rFonts w:cs="Times New Roman"/>
                <w:sz w:val="22"/>
              </w:rPr>
              <w:t>0,85</w:t>
            </w:r>
          </w:p>
        </w:tc>
      </w:tr>
      <w:tr w:rsidR="00966523" w:rsidRPr="00300B3C" w14:paraId="3D2BEF5B" w14:textId="77777777" w:rsidTr="0072306B">
        <w:trPr>
          <w:jc w:val="center"/>
        </w:trPr>
        <w:tc>
          <w:tcPr>
            <w:tcW w:w="601" w:type="dxa"/>
          </w:tcPr>
          <w:p w14:paraId="3D2BEF53" w14:textId="77777777" w:rsidR="00966523" w:rsidRPr="00300B3C" w:rsidRDefault="00966523" w:rsidP="00966523">
            <w:pPr>
              <w:rPr>
                <w:rFonts w:cs="Times New Roman"/>
                <w:sz w:val="22"/>
              </w:rPr>
            </w:pPr>
            <w:r w:rsidRPr="00300B3C">
              <w:rPr>
                <w:rFonts w:cs="Times New Roman"/>
                <w:sz w:val="22"/>
              </w:rPr>
              <w:t>37.</w:t>
            </w:r>
          </w:p>
        </w:tc>
        <w:tc>
          <w:tcPr>
            <w:tcW w:w="4945" w:type="dxa"/>
          </w:tcPr>
          <w:p w14:paraId="3D2BEF54" w14:textId="77777777" w:rsidR="00966523" w:rsidRPr="00300B3C" w:rsidRDefault="00966523" w:rsidP="00966523">
            <w:pPr>
              <w:rPr>
                <w:rFonts w:cs="Times New Roman"/>
                <w:sz w:val="22"/>
              </w:rPr>
            </w:pPr>
            <w:r w:rsidRPr="00300B3C">
              <w:rPr>
                <w:rFonts w:cs="Times New Roman"/>
                <w:sz w:val="22"/>
              </w:rPr>
              <w:t>Sergamumas ŽIV ir lytiškai plintančiomis ligomis (B20-B22, B23 (B23.0-B23.2, B23.8), B24, Z21, A50 (A50.0-A50.7, A50.9), A51-A53, A54 (A54.0-A54.6, A54.8-A54.9), A56 (A56.0-A56.4, A56.8)) 10 000 gyv.</w:t>
            </w:r>
          </w:p>
        </w:tc>
        <w:tc>
          <w:tcPr>
            <w:tcW w:w="1787" w:type="dxa"/>
            <w:vAlign w:val="center"/>
          </w:tcPr>
          <w:p w14:paraId="3D2BEF55" w14:textId="0A520F49" w:rsidR="00966523" w:rsidRPr="00300B3C" w:rsidRDefault="00966523" w:rsidP="00966523">
            <w:pPr>
              <w:jc w:val="center"/>
              <w:rPr>
                <w:rFonts w:cs="Times New Roman"/>
                <w:sz w:val="22"/>
              </w:rPr>
            </w:pPr>
            <w:r w:rsidRPr="00300B3C">
              <w:rPr>
                <w:rFonts w:cs="Times New Roman"/>
                <w:sz w:val="22"/>
              </w:rPr>
              <w:t>3,5</w:t>
            </w:r>
          </w:p>
        </w:tc>
        <w:tc>
          <w:tcPr>
            <w:tcW w:w="1787" w:type="dxa"/>
            <w:vAlign w:val="center"/>
          </w:tcPr>
          <w:p w14:paraId="3D2BEF56" w14:textId="6E9B42B9" w:rsidR="00966523" w:rsidRPr="00AA086B" w:rsidRDefault="00663046" w:rsidP="00966523">
            <w:pPr>
              <w:jc w:val="center"/>
              <w:rPr>
                <w:rFonts w:cs="Times New Roman"/>
                <w:bCs/>
                <w:sz w:val="22"/>
              </w:rPr>
            </w:pPr>
            <w:r>
              <w:rPr>
                <w:rFonts w:cs="Times New Roman"/>
                <w:bCs/>
                <w:sz w:val="22"/>
              </w:rPr>
              <w:t>3,7</w:t>
            </w:r>
            <w:r w:rsidR="006871C1">
              <w:rPr>
                <w:rFonts w:cs="Times New Roman"/>
                <w:bCs/>
                <w:sz w:val="22"/>
              </w:rPr>
              <w:t xml:space="preserve"> </w:t>
            </w:r>
            <w:r w:rsidR="006871C1" w:rsidRPr="00500250">
              <w:rPr>
                <w:rFonts w:cs="Times New Roman"/>
                <w:b/>
                <w:bCs/>
                <w:color w:val="FF0000"/>
                <w:sz w:val="22"/>
              </w:rPr>
              <w:t>↑</w:t>
            </w:r>
          </w:p>
        </w:tc>
        <w:tc>
          <w:tcPr>
            <w:tcW w:w="1257" w:type="dxa"/>
            <w:vAlign w:val="center"/>
          </w:tcPr>
          <w:p w14:paraId="3D2BEF57" w14:textId="3E70336C" w:rsidR="00966523" w:rsidRPr="00300B3C" w:rsidRDefault="00663046" w:rsidP="00966523">
            <w:pPr>
              <w:jc w:val="center"/>
              <w:rPr>
                <w:rFonts w:cs="Times New Roman"/>
                <w:sz w:val="22"/>
              </w:rPr>
            </w:pPr>
            <w:r>
              <w:rPr>
                <w:rFonts w:cs="Times New Roman"/>
                <w:sz w:val="22"/>
              </w:rPr>
              <w:t>2,0</w:t>
            </w:r>
          </w:p>
        </w:tc>
        <w:tc>
          <w:tcPr>
            <w:tcW w:w="1257" w:type="dxa"/>
            <w:vAlign w:val="center"/>
          </w:tcPr>
          <w:p w14:paraId="3D2BEF58" w14:textId="38806BF0" w:rsidR="00966523" w:rsidRPr="00300B3C" w:rsidRDefault="00663046" w:rsidP="00966523">
            <w:pPr>
              <w:jc w:val="center"/>
              <w:rPr>
                <w:rFonts w:cs="Times New Roman"/>
                <w:sz w:val="22"/>
              </w:rPr>
            </w:pPr>
            <w:r>
              <w:rPr>
                <w:rFonts w:cs="Times New Roman"/>
                <w:sz w:val="22"/>
              </w:rPr>
              <w:t>0,0</w:t>
            </w:r>
          </w:p>
        </w:tc>
        <w:tc>
          <w:tcPr>
            <w:tcW w:w="1259" w:type="dxa"/>
            <w:vAlign w:val="center"/>
          </w:tcPr>
          <w:p w14:paraId="3D2BEF59" w14:textId="60397589" w:rsidR="00966523" w:rsidRPr="00300B3C" w:rsidRDefault="00663046" w:rsidP="00966523">
            <w:pPr>
              <w:jc w:val="center"/>
              <w:rPr>
                <w:rFonts w:cs="Times New Roman"/>
                <w:sz w:val="22"/>
              </w:rPr>
            </w:pPr>
            <w:r>
              <w:rPr>
                <w:rFonts w:cs="Times New Roman"/>
                <w:sz w:val="22"/>
              </w:rPr>
              <w:t>4,9</w:t>
            </w:r>
          </w:p>
        </w:tc>
        <w:tc>
          <w:tcPr>
            <w:tcW w:w="1885" w:type="dxa"/>
            <w:shd w:val="clear" w:color="auto" w:fill="FF0000"/>
            <w:vAlign w:val="center"/>
          </w:tcPr>
          <w:p w14:paraId="3D2BEF5A" w14:textId="0FD1C4A8" w:rsidR="00966523" w:rsidRPr="00300B3C" w:rsidRDefault="0072306B" w:rsidP="00966523">
            <w:pPr>
              <w:jc w:val="center"/>
              <w:rPr>
                <w:rFonts w:cs="Times New Roman"/>
                <w:sz w:val="22"/>
              </w:rPr>
            </w:pPr>
            <w:r>
              <w:rPr>
                <w:rFonts w:cs="Times New Roman"/>
                <w:sz w:val="22"/>
              </w:rPr>
              <w:t>1,85</w:t>
            </w:r>
          </w:p>
        </w:tc>
      </w:tr>
      <w:tr w:rsidR="00966523" w:rsidRPr="00300B3C" w14:paraId="3D2BEF5D" w14:textId="77777777" w:rsidTr="004C0D66">
        <w:trPr>
          <w:jc w:val="center"/>
        </w:trPr>
        <w:tc>
          <w:tcPr>
            <w:tcW w:w="14778" w:type="dxa"/>
            <w:gridSpan w:val="8"/>
            <w:shd w:val="clear" w:color="auto" w:fill="D6E3BC" w:themeFill="accent3" w:themeFillTint="66"/>
          </w:tcPr>
          <w:p w14:paraId="3D2BEF5C" w14:textId="77777777" w:rsidR="00966523" w:rsidRPr="00300B3C" w:rsidRDefault="00966523" w:rsidP="00966523">
            <w:pPr>
              <w:jc w:val="center"/>
              <w:rPr>
                <w:rFonts w:cs="Times New Roman"/>
                <w:sz w:val="22"/>
              </w:rPr>
            </w:pPr>
            <w:r w:rsidRPr="00300B3C">
              <w:rPr>
                <w:rFonts w:cs="Times New Roman"/>
                <w:sz w:val="22"/>
              </w:rPr>
              <w:t>4.3 Pagerinti motinos ir vaiko sveikatą</w:t>
            </w:r>
          </w:p>
        </w:tc>
      </w:tr>
      <w:tr w:rsidR="00966523" w:rsidRPr="00300B3C" w14:paraId="3D2BEF66" w14:textId="77777777" w:rsidTr="005E59F9">
        <w:trPr>
          <w:jc w:val="center"/>
        </w:trPr>
        <w:tc>
          <w:tcPr>
            <w:tcW w:w="601" w:type="dxa"/>
          </w:tcPr>
          <w:p w14:paraId="3D2BEF5E" w14:textId="77777777" w:rsidR="00966523" w:rsidRPr="00300B3C" w:rsidRDefault="00966523" w:rsidP="00966523">
            <w:pPr>
              <w:rPr>
                <w:rFonts w:cs="Times New Roman"/>
                <w:sz w:val="22"/>
              </w:rPr>
            </w:pPr>
            <w:r w:rsidRPr="00300B3C">
              <w:rPr>
                <w:rFonts w:cs="Times New Roman"/>
                <w:sz w:val="22"/>
              </w:rPr>
              <w:t>38.</w:t>
            </w:r>
          </w:p>
        </w:tc>
        <w:tc>
          <w:tcPr>
            <w:tcW w:w="4945" w:type="dxa"/>
          </w:tcPr>
          <w:p w14:paraId="3D2BEF5F" w14:textId="0D4DC85D" w:rsidR="00966523" w:rsidRPr="00300B3C" w:rsidRDefault="00966523" w:rsidP="00966523">
            <w:pPr>
              <w:rPr>
                <w:rFonts w:cs="Times New Roman"/>
                <w:sz w:val="22"/>
              </w:rPr>
            </w:pPr>
            <w:r w:rsidRPr="00300B3C">
              <w:rPr>
                <w:rFonts w:cs="Times New Roman"/>
                <w:sz w:val="22"/>
              </w:rPr>
              <w:t xml:space="preserve">Kūdikių (vaikų iki 1 m. amžiaus) mirtingumas 1000 gyvų </w:t>
            </w:r>
            <w:r>
              <w:rPr>
                <w:rFonts w:cs="Times New Roman"/>
                <w:sz w:val="22"/>
              </w:rPr>
              <w:t xml:space="preserve">gimusių </w:t>
            </w:r>
            <w:r w:rsidRPr="00300B3C">
              <w:rPr>
                <w:rFonts w:cs="Times New Roman"/>
                <w:sz w:val="22"/>
              </w:rPr>
              <w:t>kūdikių</w:t>
            </w:r>
          </w:p>
        </w:tc>
        <w:tc>
          <w:tcPr>
            <w:tcW w:w="1787" w:type="dxa"/>
            <w:vAlign w:val="center"/>
          </w:tcPr>
          <w:p w14:paraId="3D2BEF60" w14:textId="31342912" w:rsidR="00966523" w:rsidRPr="00300B3C" w:rsidRDefault="00966523" w:rsidP="00966523">
            <w:pPr>
              <w:jc w:val="center"/>
              <w:rPr>
                <w:rFonts w:cs="Times New Roman"/>
                <w:sz w:val="22"/>
              </w:rPr>
            </w:pPr>
            <w:r w:rsidRPr="00300B3C">
              <w:rPr>
                <w:rFonts w:cs="Times New Roman"/>
                <w:sz w:val="22"/>
              </w:rPr>
              <w:t>3,0</w:t>
            </w:r>
          </w:p>
        </w:tc>
        <w:tc>
          <w:tcPr>
            <w:tcW w:w="1787" w:type="dxa"/>
            <w:vAlign w:val="center"/>
          </w:tcPr>
          <w:p w14:paraId="3D2BEF61" w14:textId="3E8DA6EF" w:rsidR="00966523" w:rsidRPr="00300B3C" w:rsidRDefault="0072306B" w:rsidP="00966523">
            <w:pPr>
              <w:jc w:val="center"/>
              <w:rPr>
                <w:rFonts w:cs="Times New Roman"/>
                <w:sz w:val="22"/>
              </w:rPr>
            </w:pPr>
            <w:r>
              <w:rPr>
                <w:rFonts w:cs="Times New Roman"/>
                <w:sz w:val="22"/>
              </w:rPr>
              <w:t>2,9</w:t>
            </w:r>
            <w:r w:rsidR="00015D88">
              <w:rPr>
                <w:rFonts w:cs="Times New Roman"/>
                <w:sz w:val="22"/>
              </w:rPr>
              <w:t xml:space="preserve"> </w:t>
            </w:r>
            <w:r w:rsidR="00015D88" w:rsidRPr="00880C89">
              <w:rPr>
                <w:rFonts w:cs="Times New Roman"/>
                <w:b/>
                <w:bCs/>
                <w:color w:val="00B050"/>
                <w:sz w:val="22"/>
              </w:rPr>
              <w:t>↓</w:t>
            </w:r>
          </w:p>
        </w:tc>
        <w:tc>
          <w:tcPr>
            <w:tcW w:w="1257" w:type="dxa"/>
            <w:vAlign w:val="center"/>
          </w:tcPr>
          <w:p w14:paraId="3D2BEF62" w14:textId="62C9A54E" w:rsidR="00966523" w:rsidRPr="00300B3C" w:rsidRDefault="0072306B" w:rsidP="00966523">
            <w:pPr>
              <w:jc w:val="center"/>
              <w:rPr>
                <w:rFonts w:cs="Times New Roman"/>
                <w:sz w:val="22"/>
              </w:rPr>
            </w:pPr>
            <w:r>
              <w:rPr>
                <w:rFonts w:cs="Times New Roman"/>
                <w:sz w:val="22"/>
              </w:rPr>
              <w:t>3,3</w:t>
            </w:r>
          </w:p>
        </w:tc>
        <w:tc>
          <w:tcPr>
            <w:tcW w:w="1257" w:type="dxa"/>
            <w:vAlign w:val="center"/>
          </w:tcPr>
          <w:p w14:paraId="3D2BEF63" w14:textId="3B27367B" w:rsidR="00966523" w:rsidRPr="00300B3C" w:rsidRDefault="005E59F9" w:rsidP="00966523">
            <w:pPr>
              <w:jc w:val="center"/>
              <w:rPr>
                <w:rFonts w:cs="Times New Roman"/>
                <w:sz w:val="22"/>
              </w:rPr>
            </w:pPr>
            <w:r>
              <w:rPr>
                <w:rFonts w:cs="Times New Roman"/>
                <w:sz w:val="22"/>
              </w:rPr>
              <w:t>0,0</w:t>
            </w:r>
          </w:p>
        </w:tc>
        <w:tc>
          <w:tcPr>
            <w:tcW w:w="1259" w:type="dxa"/>
            <w:vAlign w:val="center"/>
          </w:tcPr>
          <w:p w14:paraId="3D2BEF64" w14:textId="7BE8495B" w:rsidR="00966523" w:rsidRPr="00300B3C" w:rsidRDefault="005E59F9" w:rsidP="00966523">
            <w:pPr>
              <w:jc w:val="center"/>
              <w:rPr>
                <w:rFonts w:cs="Times New Roman"/>
                <w:sz w:val="22"/>
              </w:rPr>
            </w:pPr>
            <w:r>
              <w:rPr>
                <w:rFonts w:cs="Times New Roman"/>
                <w:sz w:val="22"/>
              </w:rPr>
              <w:t>14,4</w:t>
            </w:r>
          </w:p>
        </w:tc>
        <w:tc>
          <w:tcPr>
            <w:tcW w:w="1885" w:type="dxa"/>
            <w:shd w:val="clear" w:color="auto" w:fill="FFFF00"/>
            <w:vAlign w:val="center"/>
          </w:tcPr>
          <w:p w14:paraId="3D2BEF65" w14:textId="1AF67255" w:rsidR="00966523" w:rsidRPr="00300B3C" w:rsidRDefault="005E59F9" w:rsidP="00966523">
            <w:pPr>
              <w:jc w:val="center"/>
              <w:rPr>
                <w:rFonts w:cs="Times New Roman"/>
                <w:sz w:val="22"/>
              </w:rPr>
            </w:pPr>
            <w:r>
              <w:rPr>
                <w:rFonts w:cs="Times New Roman"/>
                <w:sz w:val="22"/>
              </w:rPr>
              <w:t>0,88</w:t>
            </w:r>
          </w:p>
        </w:tc>
      </w:tr>
      <w:tr w:rsidR="00966523" w:rsidRPr="00300B3C" w14:paraId="3D2BEF6F" w14:textId="77777777" w:rsidTr="00AB16B5">
        <w:trPr>
          <w:jc w:val="center"/>
        </w:trPr>
        <w:tc>
          <w:tcPr>
            <w:tcW w:w="601" w:type="dxa"/>
          </w:tcPr>
          <w:p w14:paraId="3D2BEF67" w14:textId="77777777" w:rsidR="00966523" w:rsidRPr="00300B3C" w:rsidRDefault="00966523" w:rsidP="00966523">
            <w:pPr>
              <w:rPr>
                <w:rFonts w:cs="Times New Roman"/>
                <w:sz w:val="22"/>
              </w:rPr>
            </w:pPr>
            <w:r w:rsidRPr="00300B3C">
              <w:rPr>
                <w:rFonts w:cs="Times New Roman"/>
                <w:sz w:val="22"/>
              </w:rPr>
              <w:t>39.</w:t>
            </w:r>
          </w:p>
        </w:tc>
        <w:tc>
          <w:tcPr>
            <w:tcW w:w="4945" w:type="dxa"/>
          </w:tcPr>
          <w:p w14:paraId="3D2BEF68" w14:textId="77777777" w:rsidR="00966523" w:rsidRPr="00300B3C" w:rsidRDefault="00966523" w:rsidP="00966523">
            <w:pPr>
              <w:rPr>
                <w:rFonts w:cs="Times New Roman"/>
                <w:sz w:val="22"/>
              </w:rPr>
            </w:pPr>
            <w:r w:rsidRPr="00300B3C">
              <w:rPr>
                <w:rFonts w:cs="Times New Roman"/>
                <w:sz w:val="22"/>
              </w:rPr>
              <w:t>2 metų amžiaus vaikų MMR1 (tymų, epideminio parotito, raudonukės vakcina, 1 dozė) skiepijimo apimtys, proc.</w:t>
            </w:r>
          </w:p>
        </w:tc>
        <w:tc>
          <w:tcPr>
            <w:tcW w:w="1787" w:type="dxa"/>
            <w:vAlign w:val="center"/>
          </w:tcPr>
          <w:p w14:paraId="3D2BEF69" w14:textId="76F6A81C" w:rsidR="00966523" w:rsidRPr="00300B3C" w:rsidRDefault="00966523" w:rsidP="00966523">
            <w:pPr>
              <w:jc w:val="center"/>
              <w:rPr>
                <w:rFonts w:cs="Times New Roman"/>
                <w:sz w:val="22"/>
              </w:rPr>
            </w:pPr>
            <w:r w:rsidRPr="00300B3C">
              <w:rPr>
                <w:rFonts w:cs="Times New Roman"/>
                <w:sz w:val="22"/>
              </w:rPr>
              <w:t>89,4</w:t>
            </w:r>
          </w:p>
        </w:tc>
        <w:tc>
          <w:tcPr>
            <w:tcW w:w="1787" w:type="dxa"/>
            <w:vAlign w:val="center"/>
          </w:tcPr>
          <w:p w14:paraId="3D2BEF6A" w14:textId="4BBD2E38" w:rsidR="00966523" w:rsidRPr="00300B3C" w:rsidRDefault="00E568F0" w:rsidP="00966523">
            <w:pPr>
              <w:jc w:val="center"/>
              <w:rPr>
                <w:rFonts w:cs="Times New Roman"/>
                <w:sz w:val="22"/>
              </w:rPr>
            </w:pPr>
            <w:r>
              <w:rPr>
                <w:rFonts w:cs="Times New Roman"/>
                <w:sz w:val="22"/>
              </w:rPr>
              <w:t>91,5</w:t>
            </w:r>
            <w:r w:rsidR="00015D88">
              <w:rPr>
                <w:rFonts w:cs="Times New Roman"/>
                <w:sz w:val="22"/>
              </w:rPr>
              <w:t xml:space="preserve"> </w:t>
            </w:r>
            <w:r w:rsidR="00015D88" w:rsidRPr="008002E0">
              <w:rPr>
                <w:rFonts w:cs="Times New Roman"/>
                <w:b/>
                <w:bCs/>
                <w:color w:val="00B050"/>
                <w:sz w:val="22"/>
              </w:rPr>
              <w:t>↑</w:t>
            </w:r>
          </w:p>
        </w:tc>
        <w:tc>
          <w:tcPr>
            <w:tcW w:w="1257" w:type="dxa"/>
            <w:vAlign w:val="center"/>
          </w:tcPr>
          <w:p w14:paraId="3D2BEF6B" w14:textId="0898AFFE" w:rsidR="00966523" w:rsidRPr="00300B3C" w:rsidRDefault="00E568F0" w:rsidP="00966523">
            <w:pPr>
              <w:jc w:val="center"/>
              <w:rPr>
                <w:rFonts w:cs="Times New Roman"/>
                <w:sz w:val="22"/>
              </w:rPr>
            </w:pPr>
            <w:r>
              <w:rPr>
                <w:rFonts w:cs="Times New Roman"/>
                <w:sz w:val="22"/>
              </w:rPr>
              <w:t>92,7</w:t>
            </w:r>
          </w:p>
        </w:tc>
        <w:tc>
          <w:tcPr>
            <w:tcW w:w="1257" w:type="dxa"/>
            <w:vAlign w:val="center"/>
          </w:tcPr>
          <w:p w14:paraId="3D2BEF6C" w14:textId="2B454C31" w:rsidR="00966523" w:rsidRPr="00300B3C" w:rsidRDefault="00E568F0" w:rsidP="00966523">
            <w:pPr>
              <w:jc w:val="center"/>
              <w:rPr>
                <w:rFonts w:cs="Times New Roman"/>
                <w:sz w:val="22"/>
              </w:rPr>
            </w:pPr>
            <w:r>
              <w:rPr>
                <w:rFonts w:cs="Times New Roman"/>
                <w:sz w:val="22"/>
              </w:rPr>
              <w:t>87,7</w:t>
            </w:r>
          </w:p>
        </w:tc>
        <w:tc>
          <w:tcPr>
            <w:tcW w:w="1259" w:type="dxa"/>
            <w:vAlign w:val="center"/>
          </w:tcPr>
          <w:p w14:paraId="3D2BEF6D" w14:textId="2D559465" w:rsidR="00966523" w:rsidRPr="00300B3C" w:rsidRDefault="00E568F0" w:rsidP="00966523">
            <w:pPr>
              <w:jc w:val="center"/>
              <w:rPr>
                <w:rFonts w:cs="Times New Roman"/>
                <w:sz w:val="22"/>
              </w:rPr>
            </w:pPr>
            <w:r>
              <w:rPr>
                <w:rFonts w:cs="Times New Roman"/>
                <w:sz w:val="22"/>
              </w:rPr>
              <w:t>99,3</w:t>
            </w:r>
          </w:p>
        </w:tc>
        <w:tc>
          <w:tcPr>
            <w:tcW w:w="1885" w:type="dxa"/>
            <w:shd w:val="clear" w:color="auto" w:fill="FFFF00"/>
            <w:vAlign w:val="center"/>
          </w:tcPr>
          <w:p w14:paraId="3D2BEF6E" w14:textId="6D1E548F" w:rsidR="00966523" w:rsidRPr="00300B3C" w:rsidRDefault="00AB16B5" w:rsidP="00966523">
            <w:pPr>
              <w:jc w:val="center"/>
              <w:rPr>
                <w:rFonts w:cs="Times New Roman"/>
                <w:sz w:val="22"/>
              </w:rPr>
            </w:pPr>
            <w:r>
              <w:rPr>
                <w:rFonts w:cs="Times New Roman"/>
                <w:sz w:val="22"/>
              </w:rPr>
              <w:t>0,99</w:t>
            </w:r>
          </w:p>
        </w:tc>
      </w:tr>
      <w:tr w:rsidR="00966523" w:rsidRPr="00300B3C" w14:paraId="3D2BEF78" w14:textId="77777777" w:rsidTr="00130AD6">
        <w:trPr>
          <w:jc w:val="center"/>
        </w:trPr>
        <w:tc>
          <w:tcPr>
            <w:tcW w:w="601" w:type="dxa"/>
          </w:tcPr>
          <w:p w14:paraId="3D2BEF70" w14:textId="77777777" w:rsidR="00966523" w:rsidRPr="00300B3C" w:rsidRDefault="00966523" w:rsidP="00966523">
            <w:pPr>
              <w:rPr>
                <w:rFonts w:cs="Times New Roman"/>
                <w:sz w:val="22"/>
              </w:rPr>
            </w:pPr>
            <w:r w:rsidRPr="00300B3C">
              <w:rPr>
                <w:rFonts w:cs="Times New Roman"/>
                <w:sz w:val="22"/>
              </w:rPr>
              <w:t>40.</w:t>
            </w:r>
          </w:p>
        </w:tc>
        <w:tc>
          <w:tcPr>
            <w:tcW w:w="4945" w:type="dxa"/>
          </w:tcPr>
          <w:p w14:paraId="3D2BEF71" w14:textId="77777777" w:rsidR="00966523" w:rsidRPr="00300B3C" w:rsidRDefault="00966523" w:rsidP="00966523">
            <w:pPr>
              <w:rPr>
                <w:rFonts w:cs="Times New Roman"/>
                <w:sz w:val="22"/>
              </w:rPr>
            </w:pPr>
            <w:r w:rsidRPr="00300B3C">
              <w:rPr>
                <w:rFonts w:cs="Times New Roman"/>
                <w:sz w:val="22"/>
              </w:rPr>
              <w:t xml:space="preserve">1 metų amžiaus vaikų DTP3 (difterijos, stabligės, kokliušo vakcina), poliomielito ir B tipo </w:t>
            </w:r>
            <w:proofErr w:type="spellStart"/>
            <w:r w:rsidRPr="00300B3C">
              <w:rPr>
                <w:rFonts w:cs="Times New Roman"/>
                <w:sz w:val="22"/>
              </w:rPr>
              <w:t>Haemophilus</w:t>
            </w:r>
            <w:proofErr w:type="spellEnd"/>
            <w:r w:rsidRPr="00300B3C">
              <w:rPr>
                <w:rFonts w:cs="Times New Roman"/>
                <w:sz w:val="22"/>
              </w:rPr>
              <w:t xml:space="preserve"> </w:t>
            </w:r>
            <w:proofErr w:type="spellStart"/>
            <w:r w:rsidRPr="00300B3C">
              <w:rPr>
                <w:rFonts w:cs="Times New Roman"/>
                <w:sz w:val="22"/>
              </w:rPr>
              <w:t>influenzae</w:t>
            </w:r>
            <w:proofErr w:type="spellEnd"/>
            <w:r w:rsidRPr="00300B3C">
              <w:rPr>
                <w:rFonts w:cs="Times New Roman"/>
                <w:sz w:val="22"/>
              </w:rPr>
              <w:t xml:space="preserve"> infekcijos skiepijimo apimtys (3 dozės), proc.</w:t>
            </w:r>
          </w:p>
        </w:tc>
        <w:tc>
          <w:tcPr>
            <w:tcW w:w="1787" w:type="dxa"/>
          </w:tcPr>
          <w:p w14:paraId="3D2BEF72" w14:textId="55F43801" w:rsidR="00966523" w:rsidRPr="00300B3C" w:rsidRDefault="00966523" w:rsidP="00966523">
            <w:pPr>
              <w:jc w:val="center"/>
              <w:rPr>
                <w:rFonts w:cs="Times New Roman"/>
                <w:sz w:val="22"/>
              </w:rPr>
            </w:pPr>
            <w:r w:rsidRPr="00300B3C">
              <w:rPr>
                <w:rFonts w:cs="Times New Roman"/>
                <w:sz w:val="22"/>
              </w:rPr>
              <w:t>91,5</w:t>
            </w:r>
          </w:p>
        </w:tc>
        <w:tc>
          <w:tcPr>
            <w:tcW w:w="1787" w:type="dxa"/>
          </w:tcPr>
          <w:p w14:paraId="3D2BEF73" w14:textId="0F616B06" w:rsidR="00966523" w:rsidRPr="00300B3C" w:rsidRDefault="00AB16B5" w:rsidP="00966523">
            <w:pPr>
              <w:jc w:val="center"/>
              <w:rPr>
                <w:rFonts w:cs="Times New Roman"/>
                <w:sz w:val="22"/>
              </w:rPr>
            </w:pPr>
            <w:r>
              <w:rPr>
                <w:rFonts w:cs="Times New Roman"/>
                <w:sz w:val="22"/>
              </w:rPr>
              <w:t>92,0</w:t>
            </w:r>
            <w:r w:rsidR="00015D88">
              <w:rPr>
                <w:rFonts w:cs="Times New Roman"/>
                <w:sz w:val="22"/>
              </w:rPr>
              <w:t xml:space="preserve"> </w:t>
            </w:r>
            <w:r w:rsidR="00015D88" w:rsidRPr="008002E0">
              <w:rPr>
                <w:rFonts w:cs="Times New Roman"/>
                <w:b/>
                <w:bCs/>
                <w:color w:val="00B050"/>
                <w:sz w:val="22"/>
              </w:rPr>
              <w:t>↑</w:t>
            </w:r>
          </w:p>
        </w:tc>
        <w:tc>
          <w:tcPr>
            <w:tcW w:w="1257" w:type="dxa"/>
          </w:tcPr>
          <w:p w14:paraId="3D2BEF74" w14:textId="5BD82107" w:rsidR="00966523" w:rsidRPr="00300B3C" w:rsidRDefault="00AB16B5" w:rsidP="00966523">
            <w:pPr>
              <w:jc w:val="center"/>
              <w:rPr>
                <w:rFonts w:cs="Times New Roman"/>
                <w:sz w:val="22"/>
              </w:rPr>
            </w:pPr>
            <w:r>
              <w:rPr>
                <w:rFonts w:cs="Times New Roman"/>
                <w:sz w:val="22"/>
              </w:rPr>
              <w:t>92,1</w:t>
            </w:r>
          </w:p>
        </w:tc>
        <w:tc>
          <w:tcPr>
            <w:tcW w:w="1257" w:type="dxa"/>
          </w:tcPr>
          <w:p w14:paraId="3D2BEF75" w14:textId="40F03B59" w:rsidR="00966523" w:rsidRPr="00300B3C" w:rsidRDefault="00130AD6" w:rsidP="00966523">
            <w:pPr>
              <w:jc w:val="center"/>
              <w:rPr>
                <w:rFonts w:cs="Times New Roman"/>
                <w:sz w:val="22"/>
              </w:rPr>
            </w:pPr>
            <w:r>
              <w:rPr>
                <w:rFonts w:cs="Times New Roman"/>
                <w:sz w:val="22"/>
              </w:rPr>
              <w:t>86,5</w:t>
            </w:r>
          </w:p>
        </w:tc>
        <w:tc>
          <w:tcPr>
            <w:tcW w:w="1259" w:type="dxa"/>
          </w:tcPr>
          <w:p w14:paraId="3D2BEF76" w14:textId="2C9066F2" w:rsidR="00966523" w:rsidRPr="00300B3C" w:rsidRDefault="00130AD6" w:rsidP="00966523">
            <w:pPr>
              <w:jc w:val="center"/>
              <w:rPr>
                <w:rFonts w:cs="Times New Roman"/>
                <w:sz w:val="22"/>
              </w:rPr>
            </w:pPr>
            <w:r>
              <w:rPr>
                <w:rFonts w:cs="Times New Roman"/>
                <w:sz w:val="22"/>
              </w:rPr>
              <w:t>100,0</w:t>
            </w:r>
          </w:p>
        </w:tc>
        <w:tc>
          <w:tcPr>
            <w:tcW w:w="1885" w:type="dxa"/>
            <w:shd w:val="clear" w:color="auto" w:fill="FFFF00"/>
          </w:tcPr>
          <w:p w14:paraId="3D2BEF77" w14:textId="2682B1C3" w:rsidR="00966523" w:rsidRPr="00300B3C" w:rsidRDefault="00130AD6" w:rsidP="00966523">
            <w:pPr>
              <w:jc w:val="center"/>
              <w:rPr>
                <w:rFonts w:cs="Times New Roman"/>
                <w:sz w:val="22"/>
              </w:rPr>
            </w:pPr>
            <w:r>
              <w:rPr>
                <w:rFonts w:cs="Times New Roman"/>
                <w:sz w:val="22"/>
              </w:rPr>
              <w:t>1,0</w:t>
            </w:r>
          </w:p>
        </w:tc>
      </w:tr>
      <w:tr w:rsidR="00966523" w:rsidRPr="00300B3C" w14:paraId="3D2BEF81" w14:textId="77777777" w:rsidTr="00477472">
        <w:trPr>
          <w:jc w:val="center"/>
        </w:trPr>
        <w:tc>
          <w:tcPr>
            <w:tcW w:w="601" w:type="dxa"/>
          </w:tcPr>
          <w:p w14:paraId="3D2BEF79" w14:textId="77777777" w:rsidR="00966523" w:rsidRPr="00300B3C" w:rsidRDefault="00966523" w:rsidP="00966523">
            <w:pPr>
              <w:rPr>
                <w:rFonts w:cs="Times New Roman"/>
                <w:sz w:val="22"/>
              </w:rPr>
            </w:pPr>
            <w:r w:rsidRPr="00300B3C">
              <w:rPr>
                <w:rFonts w:cs="Times New Roman"/>
                <w:sz w:val="22"/>
              </w:rPr>
              <w:t>41.</w:t>
            </w:r>
          </w:p>
        </w:tc>
        <w:tc>
          <w:tcPr>
            <w:tcW w:w="4945" w:type="dxa"/>
          </w:tcPr>
          <w:p w14:paraId="3D2BEF7A" w14:textId="77777777" w:rsidR="00966523" w:rsidRPr="00300B3C" w:rsidRDefault="00966523" w:rsidP="00966523">
            <w:pPr>
              <w:rPr>
                <w:rFonts w:cs="Times New Roman"/>
                <w:sz w:val="22"/>
              </w:rPr>
            </w:pPr>
            <w:r w:rsidRPr="00300B3C">
              <w:rPr>
                <w:rFonts w:cs="Times New Roman"/>
                <w:sz w:val="22"/>
              </w:rPr>
              <w:t xml:space="preserve">Tikslinės populiacijos (6–14 m.) dalis, dalyvavusių vaikų krūminių dantų dengimo </w:t>
            </w:r>
            <w:proofErr w:type="spellStart"/>
            <w:r w:rsidRPr="00300B3C">
              <w:rPr>
                <w:rFonts w:cs="Times New Roman"/>
                <w:sz w:val="22"/>
              </w:rPr>
              <w:t>silantinėmis</w:t>
            </w:r>
            <w:proofErr w:type="spellEnd"/>
            <w:r w:rsidRPr="00300B3C">
              <w:rPr>
                <w:rFonts w:cs="Times New Roman"/>
                <w:sz w:val="22"/>
              </w:rPr>
              <w:t xml:space="preserve"> medžiagomis programoje, proc.</w:t>
            </w:r>
          </w:p>
        </w:tc>
        <w:tc>
          <w:tcPr>
            <w:tcW w:w="1787" w:type="dxa"/>
          </w:tcPr>
          <w:p w14:paraId="3D2BEF7B" w14:textId="71B9F3F8" w:rsidR="00966523" w:rsidRPr="00300B3C" w:rsidRDefault="00966523" w:rsidP="00966523">
            <w:pPr>
              <w:jc w:val="center"/>
              <w:rPr>
                <w:rFonts w:cs="Times New Roman"/>
                <w:sz w:val="22"/>
              </w:rPr>
            </w:pPr>
            <w:r w:rsidRPr="00300B3C">
              <w:rPr>
                <w:rFonts w:cs="Times New Roman"/>
                <w:sz w:val="22"/>
              </w:rPr>
              <w:t>11,1</w:t>
            </w:r>
          </w:p>
        </w:tc>
        <w:tc>
          <w:tcPr>
            <w:tcW w:w="1787" w:type="dxa"/>
          </w:tcPr>
          <w:p w14:paraId="3D2BEF7C" w14:textId="47F25A95" w:rsidR="00966523" w:rsidRPr="00300B3C" w:rsidRDefault="009848E9" w:rsidP="00966523">
            <w:pPr>
              <w:jc w:val="center"/>
              <w:rPr>
                <w:rFonts w:cs="Times New Roman"/>
                <w:sz w:val="22"/>
              </w:rPr>
            </w:pPr>
            <w:r>
              <w:rPr>
                <w:rFonts w:cs="Times New Roman"/>
                <w:sz w:val="22"/>
              </w:rPr>
              <w:t>11,5</w:t>
            </w:r>
            <w:r w:rsidR="00015D88">
              <w:rPr>
                <w:rFonts w:cs="Times New Roman"/>
                <w:sz w:val="22"/>
              </w:rPr>
              <w:t xml:space="preserve"> </w:t>
            </w:r>
            <w:r w:rsidR="00015D88" w:rsidRPr="008002E0">
              <w:rPr>
                <w:rFonts w:cs="Times New Roman"/>
                <w:b/>
                <w:bCs/>
                <w:color w:val="00B050"/>
                <w:sz w:val="22"/>
              </w:rPr>
              <w:t>↑</w:t>
            </w:r>
          </w:p>
        </w:tc>
        <w:tc>
          <w:tcPr>
            <w:tcW w:w="1257" w:type="dxa"/>
          </w:tcPr>
          <w:p w14:paraId="3D2BEF7D" w14:textId="2D337EC2" w:rsidR="00966523" w:rsidRPr="00300B3C" w:rsidRDefault="009848E9" w:rsidP="00966523">
            <w:pPr>
              <w:jc w:val="center"/>
              <w:rPr>
                <w:rFonts w:cs="Times New Roman"/>
                <w:sz w:val="22"/>
              </w:rPr>
            </w:pPr>
            <w:r>
              <w:rPr>
                <w:rFonts w:cs="Times New Roman"/>
                <w:sz w:val="22"/>
              </w:rPr>
              <w:t>15,0</w:t>
            </w:r>
          </w:p>
        </w:tc>
        <w:tc>
          <w:tcPr>
            <w:tcW w:w="1257" w:type="dxa"/>
          </w:tcPr>
          <w:p w14:paraId="3D2BEF7E" w14:textId="2F41F262" w:rsidR="00966523" w:rsidRPr="00300B3C" w:rsidRDefault="00477472" w:rsidP="00966523">
            <w:pPr>
              <w:jc w:val="center"/>
              <w:rPr>
                <w:rFonts w:cs="Times New Roman"/>
                <w:sz w:val="22"/>
              </w:rPr>
            </w:pPr>
            <w:r>
              <w:rPr>
                <w:rFonts w:cs="Times New Roman"/>
                <w:sz w:val="22"/>
              </w:rPr>
              <w:t>1,6</w:t>
            </w:r>
          </w:p>
        </w:tc>
        <w:tc>
          <w:tcPr>
            <w:tcW w:w="1259" w:type="dxa"/>
          </w:tcPr>
          <w:p w14:paraId="3D2BEF7F" w14:textId="6BBC0F46" w:rsidR="00966523" w:rsidRPr="00300B3C" w:rsidRDefault="00477472" w:rsidP="00966523">
            <w:pPr>
              <w:jc w:val="center"/>
              <w:rPr>
                <w:rFonts w:cs="Times New Roman"/>
                <w:sz w:val="22"/>
              </w:rPr>
            </w:pPr>
            <w:r>
              <w:rPr>
                <w:rFonts w:cs="Times New Roman"/>
                <w:sz w:val="22"/>
              </w:rPr>
              <w:t>57,0</w:t>
            </w:r>
          </w:p>
        </w:tc>
        <w:tc>
          <w:tcPr>
            <w:tcW w:w="1885" w:type="dxa"/>
            <w:shd w:val="clear" w:color="auto" w:fill="FFFF00"/>
          </w:tcPr>
          <w:p w14:paraId="3D2BEF80" w14:textId="68E19ADD" w:rsidR="00966523" w:rsidRPr="00300B3C" w:rsidRDefault="00477472" w:rsidP="00966523">
            <w:pPr>
              <w:jc w:val="center"/>
              <w:rPr>
                <w:rFonts w:cs="Times New Roman"/>
                <w:sz w:val="22"/>
              </w:rPr>
            </w:pPr>
            <w:r>
              <w:rPr>
                <w:rFonts w:cs="Times New Roman"/>
                <w:sz w:val="22"/>
              </w:rPr>
              <w:t>0,77</w:t>
            </w:r>
          </w:p>
        </w:tc>
      </w:tr>
      <w:tr w:rsidR="00966523" w:rsidRPr="00300B3C" w14:paraId="3D2BEF8A" w14:textId="77777777" w:rsidTr="00182B07">
        <w:trPr>
          <w:jc w:val="center"/>
        </w:trPr>
        <w:tc>
          <w:tcPr>
            <w:tcW w:w="601" w:type="dxa"/>
          </w:tcPr>
          <w:p w14:paraId="3D2BEF82" w14:textId="77777777" w:rsidR="00966523" w:rsidRPr="00300B3C" w:rsidRDefault="00966523" w:rsidP="00966523">
            <w:pPr>
              <w:rPr>
                <w:rFonts w:cs="Times New Roman"/>
                <w:sz w:val="22"/>
              </w:rPr>
            </w:pPr>
            <w:r w:rsidRPr="00300B3C">
              <w:rPr>
                <w:rFonts w:cs="Times New Roman"/>
                <w:sz w:val="22"/>
              </w:rPr>
              <w:t>42.</w:t>
            </w:r>
          </w:p>
        </w:tc>
        <w:tc>
          <w:tcPr>
            <w:tcW w:w="4945" w:type="dxa"/>
          </w:tcPr>
          <w:p w14:paraId="3D2BEF83" w14:textId="77777777" w:rsidR="00966523" w:rsidRPr="00300B3C" w:rsidRDefault="00966523" w:rsidP="00966523">
            <w:pPr>
              <w:rPr>
                <w:rFonts w:cs="Times New Roman"/>
                <w:sz w:val="22"/>
              </w:rPr>
            </w:pPr>
            <w:r w:rsidRPr="00300B3C">
              <w:rPr>
                <w:rFonts w:cs="Times New Roman"/>
                <w:sz w:val="22"/>
              </w:rPr>
              <w:t>Vaikų, neturinčių ėduonies pažeistų, plombuotų ir išrautų dantų, dalis (proc.)</w:t>
            </w:r>
          </w:p>
        </w:tc>
        <w:tc>
          <w:tcPr>
            <w:tcW w:w="1787" w:type="dxa"/>
          </w:tcPr>
          <w:p w14:paraId="3D2BEF84" w14:textId="4E7B87CA" w:rsidR="00966523" w:rsidRPr="00300B3C" w:rsidRDefault="00966523" w:rsidP="00966523">
            <w:pPr>
              <w:jc w:val="center"/>
              <w:rPr>
                <w:rFonts w:cs="Times New Roman"/>
                <w:sz w:val="22"/>
              </w:rPr>
            </w:pPr>
            <w:r w:rsidRPr="00300B3C">
              <w:rPr>
                <w:rFonts w:cs="Times New Roman"/>
                <w:sz w:val="22"/>
              </w:rPr>
              <w:t>16,6</w:t>
            </w:r>
          </w:p>
        </w:tc>
        <w:tc>
          <w:tcPr>
            <w:tcW w:w="1787" w:type="dxa"/>
          </w:tcPr>
          <w:p w14:paraId="3D2BEF85" w14:textId="409870CC" w:rsidR="00966523" w:rsidRPr="00300B3C" w:rsidRDefault="00912B83" w:rsidP="00966523">
            <w:pPr>
              <w:jc w:val="center"/>
              <w:rPr>
                <w:rFonts w:cs="Times New Roman"/>
                <w:sz w:val="22"/>
              </w:rPr>
            </w:pPr>
            <w:r>
              <w:rPr>
                <w:rFonts w:cs="Times New Roman"/>
                <w:sz w:val="22"/>
              </w:rPr>
              <w:t>18,4</w:t>
            </w:r>
            <w:r w:rsidR="00015D88">
              <w:rPr>
                <w:rFonts w:cs="Times New Roman"/>
                <w:sz w:val="22"/>
              </w:rPr>
              <w:t xml:space="preserve"> </w:t>
            </w:r>
            <w:r w:rsidR="00015D88" w:rsidRPr="008002E0">
              <w:rPr>
                <w:rFonts w:cs="Times New Roman"/>
                <w:b/>
                <w:bCs/>
                <w:color w:val="00B050"/>
                <w:sz w:val="22"/>
              </w:rPr>
              <w:t>↑</w:t>
            </w:r>
          </w:p>
        </w:tc>
        <w:tc>
          <w:tcPr>
            <w:tcW w:w="1257" w:type="dxa"/>
          </w:tcPr>
          <w:p w14:paraId="3D2BEF86" w14:textId="23123CF8" w:rsidR="00966523" w:rsidRPr="00300B3C" w:rsidRDefault="00912B83" w:rsidP="00966523">
            <w:pPr>
              <w:jc w:val="center"/>
              <w:rPr>
                <w:rFonts w:cs="Times New Roman"/>
                <w:sz w:val="22"/>
              </w:rPr>
            </w:pPr>
            <w:r>
              <w:rPr>
                <w:rFonts w:cs="Times New Roman"/>
                <w:sz w:val="22"/>
              </w:rPr>
              <w:t>20,0</w:t>
            </w:r>
          </w:p>
        </w:tc>
        <w:tc>
          <w:tcPr>
            <w:tcW w:w="1257" w:type="dxa"/>
          </w:tcPr>
          <w:p w14:paraId="3D2BEF87" w14:textId="43129AB2" w:rsidR="00966523" w:rsidRPr="00300B3C" w:rsidRDefault="00912B83" w:rsidP="00966523">
            <w:pPr>
              <w:jc w:val="center"/>
              <w:rPr>
                <w:rFonts w:cs="Times New Roman"/>
                <w:sz w:val="22"/>
              </w:rPr>
            </w:pPr>
            <w:r>
              <w:rPr>
                <w:rFonts w:cs="Times New Roman"/>
                <w:sz w:val="22"/>
              </w:rPr>
              <w:t>10,9</w:t>
            </w:r>
          </w:p>
        </w:tc>
        <w:tc>
          <w:tcPr>
            <w:tcW w:w="1259" w:type="dxa"/>
          </w:tcPr>
          <w:p w14:paraId="3D2BEF88" w14:textId="450FD7AB" w:rsidR="00966523" w:rsidRPr="00300B3C" w:rsidRDefault="00912B83" w:rsidP="00966523">
            <w:pPr>
              <w:jc w:val="center"/>
              <w:rPr>
                <w:rFonts w:cs="Times New Roman"/>
                <w:sz w:val="22"/>
              </w:rPr>
            </w:pPr>
            <w:r>
              <w:rPr>
                <w:rFonts w:cs="Times New Roman"/>
                <w:sz w:val="22"/>
              </w:rPr>
              <w:t>30,4</w:t>
            </w:r>
          </w:p>
        </w:tc>
        <w:tc>
          <w:tcPr>
            <w:tcW w:w="1885" w:type="dxa"/>
            <w:shd w:val="clear" w:color="auto" w:fill="FFFF00"/>
          </w:tcPr>
          <w:p w14:paraId="3D2BEF89" w14:textId="39D44B72" w:rsidR="00966523" w:rsidRPr="00300B3C" w:rsidRDefault="00182B07" w:rsidP="00966523">
            <w:pPr>
              <w:jc w:val="center"/>
              <w:rPr>
                <w:rFonts w:cs="Times New Roman"/>
                <w:sz w:val="22"/>
              </w:rPr>
            </w:pPr>
            <w:r>
              <w:rPr>
                <w:rFonts w:cs="Times New Roman"/>
                <w:sz w:val="22"/>
              </w:rPr>
              <w:t>0,92</w:t>
            </w:r>
          </w:p>
        </w:tc>
      </w:tr>
      <w:tr w:rsidR="00966523" w:rsidRPr="00300B3C" w14:paraId="700EA89F" w14:textId="77777777" w:rsidTr="00E5407B">
        <w:trPr>
          <w:jc w:val="center"/>
        </w:trPr>
        <w:tc>
          <w:tcPr>
            <w:tcW w:w="601" w:type="dxa"/>
          </w:tcPr>
          <w:p w14:paraId="6C97B874" w14:textId="497D2A2E" w:rsidR="00966523" w:rsidRPr="00300B3C" w:rsidRDefault="00966523" w:rsidP="00966523">
            <w:pPr>
              <w:rPr>
                <w:rFonts w:cs="Times New Roman"/>
                <w:sz w:val="22"/>
              </w:rPr>
            </w:pPr>
            <w:r w:rsidRPr="00300B3C">
              <w:rPr>
                <w:rFonts w:cs="Times New Roman"/>
                <w:sz w:val="22"/>
              </w:rPr>
              <w:t>43.</w:t>
            </w:r>
          </w:p>
        </w:tc>
        <w:tc>
          <w:tcPr>
            <w:tcW w:w="4945" w:type="dxa"/>
          </w:tcPr>
          <w:p w14:paraId="138C388C" w14:textId="61C7FFA6" w:rsidR="00966523" w:rsidRPr="00300B3C" w:rsidRDefault="00966523" w:rsidP="00966523">
            <w:pPr>
              <w:rPr>
                <w:rFonts w:cs="Times New Roman"/>
                <w:sz w:val="22"/>
              </w:rPr>
            </w:pPr>
            <w:r w:rsidRPr="00300B3C">
              <w:rPr>
                <w:rFonts w:cs="Times New Roman"/>
                <w:sz w:val="22"/>
              </w:rPr>
              <w:t>Paauglių (15–17 m.) gimdymų skaičius 1000 gyv.</w:t>
            </w:r>
          </w:p>
        </w:tc>
        <w:tc>
          <w:tcPr>
            <w:tcW w:w="1787" w:type="dxa"/>
            <w:vAlign w:val="center"/>
          </w:tcPr>
          <w:p w14:paraId="056216D3" w14:textId="50A77472" w:rsidR="00966523" w:rsidRPr="00300B3C" w:rsidRDefault="00966523" w:rsidP="00966523">
            <w:pPr>
              <w:jc w:val="center"/>
              <w:rPr>
                <w:rFonts w:cs="Times New Roman"/>
                <w:sz w:val="22"/>
              </w:rPr>
            </w:pPr>
            <w:r w:rsidRPr="00300B3C">
              <w:rPr>
                <w:rFonts w:cs="Times New Roman"/>
                <w:sz w:val="22"/>
              </w:rPr>
              <w:t>2,9</w:t>
            </w:r>
          </w:p>
        </w:tc>
        <w:tc>
          <w:tcPr>
            <w:tcW w:w="1787" w:type="dxa"/>
          </w:tcPr>
          <w:p w14:paraId="1F124677" w14:textId="462EA77E" w:rsidR="00966523" w:rsidRPr="00300B3C" w:rsidRDefault="00182B07" w:rsidP="00966523">
            <w:pPr>
              <w:jc w:val="center"/>
              <w:rPr>
                <w:rFonts w:cs="Times New Roman"/>
                <w:sz w:val="22"/>
              </w:rPr>
            </w:pPr>
            <w:r>
              <w:rPr>
                <w:rFonts w:cs="Times New Roman"/>
                <w:sz w:val="22"/>
              </w:rPr>
              <w:t>1,5</w:t>
            </w:r>
            <w:r w:rsidR="00015D88">
              <w:rPr>
                <w:rFonts w:cs="Times New Roman"/>
                <w:sz w:val="22"/>
              </w:rPr>
              <w:t xml:space="preserve"> </w:t>
            </w:r>
            <w:r w:rsidR="00015D88" w:rsidRPr="00880C89">
              <w:rPr>
                <w:rFonts w:cs="Times New Roman"/>
                <w:b/>
                <w:bCs/>
                <w:color w:val="00B050"/>
                <w:sz w:val="22"/>
              </w:rPr>
              <w:t>↓</w:t>
            </w:r>
          </w:p>
        </w:tc>
        <w:tc>
          <w:tcPr>
            <w:tcW w:w="1257" w:type="dxa"/>
          </w:tcPr>
          <w:p w14:paraId="1B260459" w14:textId="0EFE3D67" w:rsidR="00966523" w:rsidRPr="00300B3C" w:rsidRDefault="00182B07" w:rsidP="00966523">
            <w:pPr>
              <w:jc w:val="center"/>
              <w:rPr>
                <w:rFonts w:cs="Times New Roman"/>
                <w:sz w:val="22"/>
              </w:rPr>
            </w:pPr>
            <w:r>
              <w:rPr>
                <w:rFonts w:cs="Times New Roman"/>
                <w:sz w:val="22"/>
              </w:rPr>
              <w:t>3,9</w:t>
            </w:r>
          </w:p>
        </w:tc>
        <w:tc>
          <w:tcPr>
            <w:tcW w:w="1257" w:type="dxa"/>
          </w:tcPr>
          <w:p w14:paraId="1C8177E4" w14:textId="68436890" w:rsidR="00966523" w:rsidRPr="00300B3C" w:rsidRDefault="005C59B9" w:rsidP="00966523">
            <w:pPr>
              <w:jc w:val="center"/>
              <w:rPr>
                <w:rFonts w:cs="Times New Roman"/>
                <w:sz w:val="22"/>
              </w:rPr>
            </w:pPr>
            <w:r>
              <w:rPr>
                <w:rFonts w:cs="Times New Roman"/>
                <w:sz w:val="22"/>
              </w:rPr>
              <w:t>0,0</w:t>
            </w:r>
          </w:p>
        </w:tc>
        <w:tc>
          <w:tcPr>
            <w:tcW w:w="1259" w:type="dxa"/>
          </w:tcPr>
          <w:p w14:paraId="2DE12A17" w14:textId="5C3A243E" w:rsidR="00966523" w:rsidRPr="00300B3C" w:rsidRDefault="005C59B9" w:rsidP="00966523">
            <w:pPr>
              <w:jc w:val="center"/>
              <w:rPr>
                <w:rFonts w:cs="Times New Roman"/>
                <w:sz w:val="22"/>
              </w:rPr>
            </w:pPr>
            <w:r>
              <w:rPr>
                <w:rFonts w:cs="Times New Roman"/>
                <w:sz w:val="22"/>
              </w:rPr>
              <w:t>14,0</w:t>
            </w:r>
          </w:p>
        </w:tc>
        <w:tc>
          <w:tcPr>
            <w:tcW w:w="1885" w:type="dxa"/>
            <w:shd w:val="clear" w:color="auto" w:fill="00B050"/>
          </w:tcPr>
          <w:p w14:paraId="32187A0A" w14:textId="1AD51C47" w:rsidR="00966523" w:rsidRPr="00300B3C" w:rsidRDefault="005C59B9" w:rsidP="00966523">
            <w:pPr>
              <w:jc w:val="center"/>
              <w:rPr>
                <w:rFonts w:cs="Times New Roman"/>
                <w:sz w:val="22"/>
              </w:rPr>
            </w:pPr>
            <w:r>
              <w:rPr>
                <w:rFonts w:cs="Times New Roman"/>
                <w:sz w:val="22"/>
              </w:rPr>
              <w:t>0,34</w:t>
            </w:r>
          </w:p>
        </w:tc>
      </w:tr>
    </w:tbl>
    <w:p w14:paraId="3D2BEF8B" w14:textId="624A757A" w:rsidR="00300B3C" w:rsidRPr="00300B3C" w:rsidRDefault="00966523" w:rsidP="00300B3C">
      <w:pPr>
        <w:spacing w:after="0" w:line="240" w:lineRule="auto"/>
        <w:ind w:left="720"/>
        <w:jc w:val="center"/>
        <w:rPr>
          <w:rFonts w:cs="Times New Roman"/>
        </w:rPr>
      </w:pPr>
      <w:r w:rsidRPr="00300B3C">
        <w:rPr>
          <w:rFonts w:cs="Times New Roman"/>
        </w:rPr>
        <w:lastRenderedPageBreak/>
        <w:t>5 lentelė</w:t>
      </w:r>
      <w:r>
        <w:rPr>
          <w:rFonts w:cs="Times New Roman"/>
        </w:rPr>
        <w:t>s tęsinys</w:t>
      </w:r>
      <w:r w:rsidR="00300B3C" w:rsidRPr="00300B3C">
        <w:rPr>
          <w:rFonts w:cs="Times New Roman"/>
        </w:rPr>
        <w:t>. Kauno miesto savivaldybės visuomenės sveikatos stebėsenos rodiklių profilis</w:t>
      </w:r>
    </w:p>
    <w:tbl>
      <w:tblPr>
        <w:tblStyle w:val="Lentelstinklelis1"/>
        <w:tblW w:w="0" w:type="auto"/>
        <w:jc w:val="center"/>
        <w:tblLook w:val="04A0" w:firstRow="1" w:lastRow="0" w:firstColumn="1" w:lastColumn="0" w:noHBand="0" w:noVBand="1"/>
      </w:tblPr>
      <w:tblGrid>
        <w:gridCol w:w="601"/>
        <w:gridCol w:w="4945"/>
        <w:gridCol w:w="1787"/>
        <w:gridCol w:w="1787"/>
        <w:gridCol w:w="1257"/>
        <w:gridCol w:w="1257"/>
        <w:gridCol w:w="1259"/>
        <w:gridCol w:w="1885"/>
      </w:tblGrid>
      <w:tr w:rsidR="00300B3C" w:rsidRPr="00300B3C" w14:paraId="3D2BEF9E" w14:textId="77777777" w:rsidTr="004C0D66">
        <w:trPr>
          <w:jc w:val="center"/>
        </w:trPr>
        <w:tc>
          <w:tcPr>
            <w:tcW w:w="14778" w:type="dxa"/>
            <w:gridSpan w:val="8"/>
            <w:shd w:val="clear" w:color="auto" w:fill="D6E3BC" w:themeFill="accent3" w:themeFillTint="66"/>
          </w:tcPr>
          <w:p w14:paraId="3D2BEF9D" w14:textId="77777777" w:rsidR="00300B3C" w:rsidRPr="00300B3C" w:rsidRDefault="00300B3C" w:rsidP="00300B3C">
            <w:pPr>
              <w:jc w:val="center"/>
              <w:rPr>
                <w:rFonts w:cs="Times New Roman"/>
                <w:sz w:val="22"/>
              </w:rPr>
            </w:pPr>
            <w:r w:rsidRPr="00300B3C">
              <w:rPr>
                <w:rFonts w:cs="Times New Roman"/>
                <w:sz w:val="22"/>
              </w:rPr>
              <w:t>4.4 Stiprinti lėtinių neinfekcinių ligų prevenciją ir kontrolę</w:t>
            </w:r>
          </w:p>
        </w:tc>
      </w:tr>
      <w:tr w:rsidR="00966523" w:rsidRPr="00300B3C" w14:paraId="0865B48B" w14:textId="77777777" w:rsidTr="00966523">
        <w:trPr>
          <w:jc w:val="center"/>
        </w:trPr>
        <w:tc>
          <w:tcPr>
            <w:tcW w:w="5546" w:type="dxa"/>
            <w:gridSpan w:val="2"/>
            <w:shd w:val="clear" w:color="auto" w:fill="D6E3BC" w:themeFill="accent3" w:themeFillTint="66"/>
            <w:vAlign w:val="center"/>
          </w:tcPr>
          <w:p w14:paraId="0A98D841" w14:textId="4374DCB3" w:rsidR="00966523" w:rsidRPr="00300B3C" w:rsidRDefault="00966523" w:rsidP="00966523">
            <w:pPr>
              <w:jc w:val="center"/>
              <w:rPr>
                <w:rFonts w:cs="Times New Roman"/>
                <w:sz w:val="22"/>
              </w:rPr>
            </w:pPr>
            <w:r w:rsidRPr="00300B3C">
              <w:rPr>
                <w:rFonts w:cs="Times New Roman"/>
                <w:sz w:val="22"/>
              </w:rPr>
              <w:t>Rodiklis</w:t>
            </w:r>
          </w:p>
        </w:tc>
        <w:tc>
          <w:tcPr>
            <w:tcW w:w="1787" w:type="dxa"/>
            <w:shd w:val="clear" w:color="auto" w:fill="D6E3BC" w:themeFill="accent3" w:themeFillTint="66"/>
            <w:vAlign w:val="center"/>
          </w:tcPr>
          <w:p w14:paraId="24ACE5B8" w14:textId="75439E8F" w:rsidR="00966523" w:rsidRPr="00300B3C" w:rsidRDefault="00966523" w:rsidP="00966523">
            <w:pPr>
              <w:jc w:val="center"/>
              <w:rPr>
                <w:rFonts w:cs="Times New Roman"/>
                <w:sz w:val="22"/>
              </w:rPr>
            </w:pPr>
            <w:r w:rsidRPr="00300B3C">
              <w:rPr>
                <w:rFonts w:cs="Times New Roman"/>
                <w:sz w:val="22"/>
              </w:rPr>
              <w:t>Kauno miesto rodiklis 201</w:t>
            </w:r>
            <w:r>
              <w:rPr>
                <w:rFonts w:cs="Times New Roman"/>
                <w:sz w:val="22"/>
              </w:rPr>
              <w:t>8</w:t>
            </w:r>
            <w:r w:rsidRPr="00300B3C">
              <w:rPr>
                <w:rFonts w:cs="Times New Roman"/>
                <w:sz w:val="22"/>
              </w:rPr>
              <w:t xml:space="preserve"> m.</w:t>
            </w:r>
          </w:p>
        </w:tc>
        <w:tc>
          <w:tcPr>
            <w:tcW w:w="1787" w:type="dxa"/>
            <w:shd w:val="clear" w:color="auto" w:fill="D6E3BC" w:themeFill="accent3" w:themeFillTint="66"/>
            <w:vAlign w:val="center"/>
          </w:tcPr>
          <w:p w14:paraId="17F58EDA" w14:textId="3E26C47E" w:rsidR="00966523" w:rsidRPr="00300B3C" w:rsidRDefault="00966523" w:rsidP="00966523">
            <w:pPr>
              <w:jc w:val="center"/>
              <w:rPr>
                <w:rFonts w:cs="Times New Roman"/>
                <w:sz w:val="22"/>
              </w:rPr>
            </w:pPr>
            <w:r w:rsidRPr="00300B3C">
              <w:rPr>
                <w:rFonts w:cs="Times New Roman"/>
                <w:sz w:val="22"/>
              </w:rPr>
              <w:t>Kauno miesto rodiklis 201</w:t>
            </w:r>
            <w:r>
              <w:rPr>
                <w:rFonts w:cs="Times New Roman"/>
                <w:sz w:val="22"/>
              </w:rPr>
              <w:t>9</w:t>
            </w:r>
            <w:r w:rsidRPr="00300B3C">
              <w:rPr>
                <w:rFonts w:cs="Times New Roman"/>
                <w:sz w:val="22"/>
              </w:rPr>
              <w:t xml:space="preserve"> m.</w:t>
            </w:r>
          </w:p>
        </w:tc>
        <w:tc>
          <w:tcPr>
            <w:tcW w:w="1257" w:type="dxa"/>
            <w:shd w:val="clear" w:color="auto" w:fill="D6E3BC" w:themeFill="accent3" w:themeFillTint="66"/>
            <w:vAlign w:val="center"/>
          </w:tcPr>
          <w:p w14:paraId="4275EDDA" w14:textId="704CE904" w:rsidR="00966523" w:rsidRPr="00300B3C" w:rsidRDefault="00966523" w:rsidP="00966523">
            <w:pPr>
              <w:jc w:val="center"/>
              <w:rPr>
                <w:rFonts w:cs="Times New Roman"/>
                <w:sz w:val="22"/>
                <w:lang w:val="en-US"/>
              </w:rPr>
            </w:pPr>
            <w:r w:rsidRPr="00300B3C">
              <w:rPr>
                <w:rFonts w:cs="Times New Roman"/>
                <w:sz w:val="22"/>
              </w:rPr>
              <w:t>Lietuvos rodiklis</w:t>
            </w:r>
          </w:p>
        </w:tc>
        <w:tc>
          <w:tcPr>
            <w:tcW w:w="1257" w:type="dxa"/>
            <w:shd w:val="clear" w:color="auto" w:fill="D6E3BC" w:themeFill="accent3" w:themeFillTint="66"/>
            <w:vAlign w:val="center"/>
          </w:tcPr>
          <w:p w14:paraId="4132A7ED" w14:textId="51943716" w:rsidR="00966523" w:rsidRPr="00300B3C" w:rsidRDefault="00966523" w:rsidP="00966523">
            <w:pPr>
              <w:jc w:val="center"/>
              <w:rPr>
                <w:rFonts w:cs="Times New Roman"/>
                <w:sz w:val="22"/>
              </w:rPr>
            </w:pPr>
            <w:r w:rsidRPr="00300B3C">
              <w:rPr>
                <w:rFonts w:cs="Times New Roman"/>
                <w:sz w:val="22"/>
              </w:rPr>
              <w:t>Minimali reikšmė</w:t>
            </w:r>
          </w:p>
        </w:tc>
        <w:tc>
          <w:tcPr>
            <w:tcW w:w="1259" w:type="dxa"/>
            <w:shd w:val="clear" w:color="auto" w:fill="D6E3BC" w:themeFill="accent3" w:themeFillTint="66"/>
            <w:vAlign w:val="center"/>
          </w:tcPr>
          <w:p w14:paraId="4F60FFDF" w14:textId="3E1231EA" w:rsidR="00966523" w:rsidRPr="00300B3C" w:rsidRDefault="00966523" w:rsidP="00966523">
            <w:pPr>
              <w:jc w:val="center"/>
              <w:rPr>
                <w:rFonts w:cs="Times New Roman"/>
                <w:sz w:val="22"/>
              </w:rPr>
            </w:pPr>
            <w:r w:rsidRPr="00300B3C">
              <w:rPr>
                <w:rFonts w:cs="Times New Roman"/>
                <w:sz w:val="22"/>
              </w:rPr>
              <w:t>Maksimali reikšmė</w:t>
            </w:r>
          </w:p>
        </w:tc>
        <w:tc>
          <w:tcPr>
            <w:tcW w:w="1885" w:type="dxa"/>
            <w:shd w:val="clear" w:color="auto" w:fill="D6E3BC" w:themeFill="accent3" w:themeFillTint="66"/>
            <w:vAlign w:val="center"/>
          </w:tcPr>
          <w:p w14:paraId="5744E082" w14:textId="5B11BF90" w:rsidR="00966523" w:rsidRPr="00300B3C" w:rsidRDefault="00966523" w:rsidP="00966523">
            <w:pPr>
              <w:jc w:val="center"/>
              <w:rPr>
                <w:rFonts w:cs="Times New Roman"/>
                <w:sz w:val="22"/>
              </w:rPr>
            </w:pPr>
            <w:r w:rsidRPr="00300B3C">
              <w:rPr>
                <w:rFonts w:cs="Times New Roman"/>
                <w:sz w:val="22"/>
              </w:rPr>
              <w:t>Kauno miesto ir Lietuvos rodiklio santykis</w:t>
            </w:r>
          </w:p>
        </w:tc>
      </w:tr>
      <w:tr w:rsidR="00966523" w:rsidRPr="00300B3C" w14:paraId="3D2BEFA7" w14:textId="77777777" w:rsidTr="00A67E0B">
        <w:trPr>
          <w:jc w:val="center"/>
        </w:trPr>
        <w:tc>
          <w:tcPr>
            <w:tcW w:w="601" w:type="dxa"/>
          </w:tcPr>
          <w:p w14:paraId="3D2BEF9F" w14:textId="77777777" w:rsidR="00966523" w:rsidRPr="00300B3C" w:rsidRDefault="00966523" w:rsidP="00966523">
            <w:pPr>
              <w:rPr>
                <w:rFonts w:cs="Times New Roman"/>
                <w:sz w:val="22"/>
              </w:rPr>
            </w:pPr>
            <w:r w:rsidRPr="00300B3C">
              <w:rPr>
                <w:rFonts w:cs="Times New Roman"/>
                <w:sz w:val="22"/>
              </w:rPr>
              <w:t>44.</w:t>
            </w:r>
          </w:p>
        </w:tc>
        <w:tc>
          <w:tcPr>
            <w:tcW w:w="4945" w:type="dxa"/>
          </w:tcPr>
          <w:p w14:paraId="3D2BEFA0" w14:textId="77777777" w:rsidR="00966523" w:rsidRPr="00300B3C" w:rsidRDefault="00966523" w:rsidP="00966523">
            <w:pPr>
              <w:rPr>
                <w:rFonts w:cs="Times New Roman"/>
                <w:sz w:val="22"/>
              </w:rPr>
            </w:pPr>
            <w:r w:rsidRPr="00300B3C">
              <w:rPr>
                <w:rFonts w:cs="Times New Roman"/>
                <w:sz w:val="22"/>
              </w:rPr>
              <w:t>Mirtingumas nuo kraujotakos sistemos ligų rodiklis (I00-I99) 100 000 gyv.</w:t>
            </w:r>
          </w:p>
        </w:tc>
        <w:tc>
          <w:tcPr>
            <w:tcW w:w="1787" w:type="dxa"/>
            <w:vAlign w:val="center"/>
          </w:tcPr>
          <w:p w14:paraId="3D2BEFA1" w14:textId="17B019C5" w:rsidR="00966523" w:rsidRPr="00300B3C" w:rsidRDefault="00966523" w:rsidP="00966523">
            <w:pPr>
              <w:jc w:val="center"/>
              <w:rPr>
                <w:rFonts w:cs="Times New Roman"/>
                <w:sz w:val="22"/>
              </w:rPr>
            </w:pPr>
            <w:r w:rsidRPr="00300B3C">
              <w:rPr>
                <w:rFonts w:cs="Times New Roman"/>
                <w:sz w:val="22"/>
              </w:rPr>
              <w:t>800,2</w:t>
            </w:r>
          </w:p>
        </w:tc>
        <w:tc>
          <w:tcPr>
            <w:tcW w:w="1787" w:type="dxa"/>
            <w:vAlign w:val="center"/>
          </w:tcPr>
          <w:p w14:paraId="3D2BEFA2" w14:textId="52FFC82F" w:rsidR="00966523" w:rsidRPr="00300B3C" w:rsidRDefault="00C105FD" w:rsidP="00966523">
            <w:pPr>
              <w:jc w:val="center"/>
              <w:rPr>
                <w:rFonts w:cs="Times New Roman"/>
                <w:sz w:val="22"/>
              </w:rPr>
            </w:pPr>
            <w:r>
              <w:rPr>
                <w:rFonts w:cs="Times New Roman"/>
                <w:sz w:val="22"/>
              </w:rPr>
              <w:t>721,0</w:t>
            </w:r>
            <w:r w:rsidR="00015D88">
              <w:rPr>
                <w:rFonts w:cs="Times New Roman"/>
                <w:sz w:val="22"/>
              </w:rPr>
              <w:t xml:space="preserve"> </w:t>
            </w:r>
            <w:r w:rsidR="00015D88" w:rsidRPr="00880C89">
              <w:rPr>
                <w:rFonts w:cs="Times New Roman"/>
                <w:b/>
                <w:bCs/>
                <w:color w:val="00B050"/>
                <w:sz w:val="22"/>
              </w:rPr>
              <w:t>↓</w:t>
            </w:r>
          </w:p>
        </w:tc>
        <w:tc>
          <w:tcPr>
            <w:tcW w:w="1257" w:type="dxa"/>
            <w:vAlign w:val="center"/>
          </w:tcPr>
          <w:p w14:paraId="3D2BEFA3" w14:textId="66BBF9DE" w:rsidR="00966523" w:rsidRPr="00300B3C" w:rsidRDefault="00C105FD" w:rsidP="00966523">
            <w:pPr>
              <w:jc w:val="center"/>
              <w:rPr>
                <w:rFonts w:cs="Times New Roman"/>
                <w:sz w:val="22"/>
                <w:lang w:val="en-US"/>
              </w:rPr>
            </w:pPr>
            <w:r>
              <w:rPr>
                <w:rFonts w:cs="Times New Roman"/>
                <w:sz w:val="22"/>
                <w:lang w:val="en-US"/>
              </w:rPr>
              <w:t>748,0</w:t>
            </w:r>
          </w:p>
        </w:tc>
        <w:tc>
          <w:tcPr>
            <w:tcW w:w="1257" w:type="dxa"/>
            <w:vAlign w:val="center"/>
          </w:tcPr>
          <w:p w14:paraId="3D2BEFA4" w14:textId="239F25F3" w:rsidR="00966523" w:rsidRPr="00300B3C" w:rsidRDefault="00A67E0B" w:rsidP="00966523">
            <w:pPr>
              <w:jc w:val="center"/>
              <w:rPr>
                <w:rFonts w:cs="Times New Roman"/>
                <w:sz w:val="22"/>
              </w:rPr>
            </w:pPr>
            <w:r>
              <w:rPr>
                <w:rFonts w:cs="Times New Roman"/>
                <w:sz w:val="22"/>
              </w:rPr>
              <w:t>575,7</w:t>
            </w:r>
          </w:p>
        </w:tc>
        <w:tc>
          <w:tcPr>
            <w:tcW w:w="1259" w:type="dxa"/>
            <w:vAlign w:val="center"/>
          </w:tcPr>
          <w:p w14:paraId="3D2BEFA5" w14:textId="68D2E423" w:rsidR="00966523" w:rsidRPr="00300B3C" w:rsidRDefault="00A67E0B" w:rsidP="00966523">
            <w:pPr>
              <w:jc w:val="center"/>
              <w:rPr>
                <w:rFonts w:cs="Times New Roman"/>
                <w:sz w:val="22"/>
              </w:rPr>
            </w:pPr>
            <w:r>
              <w:rPr>
                <w:rFonts w:cs="Times New Roman"/>
                <w:sz w:val="22"/>
              </w:rPr>
              <w:t>1238,2</w:t>
            </w:r>
          </w:p>
        </w:tc>
        <w:tc>
          <w:tcPr>
            <w:tcW w:w="1885" w:type="dxa"/>
            <w:shd w:val="clear" w:color="auto" w:fill="FFFF00"/>
            <w:vAlign w:val="center"/>
          </w:tcPr>
          <w:p w14:paraId="3D2BEFA6" w14:textId="056B4400" w:rsidR="00966523" w:rsidRPr="00300B3C" w:rsidRDefault="00A67E0B" w:rsidP="00966523">
            <w:pPr>
              <w:jc w:val="center"/>
              <w:rPr>
                <w:rFonts w:cs="Times New Roman"/>
                <w:sz w:val="22"/>
              </w:rPr>
            </w:pPr>
            <w:r>
              <w:rPr>
                <w:rFonts w:cs="Times New Roman"/>
                <w:sz w:val="22"/>
              </w:rPr>
              <w:t>0,96</w:t>
            </w:r>
          </w:p>
        </w:tc>
      </w:tr>
      <w:tr w:rsidR="00966523" w:rsidRPr="00300B3C" w14:paraId="3D2BEFB0" w14:textId="77777777" w:rsidTr="00B174EF">
        <w:trPr>
          <w:jc w:val="center"/>
        </w:trPr>
        <w:tc>
          <w:tcPr>
            <w:tcW w:w="601" w:type="dxa"/>
          </w:tcPr>
          <w:p w14:paraId="3D2BEFA8" w14:textId="77777777" w:rsidR="00966523" w:rsidRPr="00300B3C" w:rsidRDefault="00966523" w:rsidP="00966523">
            <w:pPr>
              <w:rPr>
                <w:rFonts w:cs="Times New Roman"/>
                <w:sz w:val="22"/>
              </w:rPr>
            </w:pPr>
            <w:r w:rsidRPr="00300B3C">
              <w:rPr>
                <w:rFonts w:cs="Times New Roman"/>
                <w:sz w:val="22"/>
              </w:rPr>
              <w:t>44.1</w:t>
            </w:r>
          </w:p>
        </w:tc>
        <w:tc>
          <w:tcPr>
            <w:tcW w:w="4945" w:type="dxa"/>
          </w:tcPr>
          <w:p w14:paraId="3D2BEFA9" w14:textId="1D33E630" w:rsidR="00966523" w:rsidRPr="00300B3C" w:rsidRDefault="00966523" w:rsidP="00966523">
            <w:pPr>
              <w:rPr>
                <w:rFonts w:cs="Times New Roman"/>
                <w:sz w:val="22"/>
              </w:rPr>
            </w:pPr>
            <w:r w:rsidRPr="00300B3C">
              <w:rPr>
                <w:rFonts w:cs="Times New Roman"/>
                <w:sz w:val="22"/>
              </w:rPr>
              <w:t>Standartizuotas mirtingum</w:t>
            </w:r>
            <w:r w:rsidR="000808FA">
              <w:rPr>
                <w:rFonts w:cs="Times New Roman"/>
                <w:sz w:val="22"/>
              </w:rPr>
              <w:t>o</w:t>
            </w:r>
            <w:r w:rsidRPr="00300B3C">
              <w:rPr>
                <w:rFonts w:cs="Times New Roman"/>
                <w:sz w:val="22"/>
              </w:rPr>
              <w:t xml:space="preserve"> nuo kraujotakos sistemos ligų (I00-I99) rodiklis 100 000 gyv.</w:t>
            </w:r>
          </w:p>
        </w:tc>
        <w:tc>
          <w:tcPr>
            <w:tcW w:w="1787" w:type="dxa"/>
            <w:vAlign w:val="center"/>
          </w:tcPr>
          <w:p w14:paraId="3D2BEFAA" w14:textId="026E1855" w:rsidR="00966523" w:rsidRPr="00300B3C" w:rsidRDefault="00966523" w:rsidP="00966523">
            <w:pPr>
              <w:jc w:val="center"/>
              <w:rPr>
                <w:rFonts w:cs="Times New Roman"/>
                <w:sz w:val="22"/>
              </w:rPr>
            </w:pPr>
            <w:r w:rsidRPr="00300B3C">
              <w:rPr>
                <w:rFonts w:cs="Times New Roman"/>
                <w:sz w:val="22"/>
              </w:rPr>
              <w:t>718,6</w:t>
            </w:r>
          </w:p>
        </w:tc>
        <w:tc>
          <w:tcPr>
            <w:tcW w:w="1787" w:type="dxa"/>
            <w:vAlign w:val="center"/>
          </w:tcPr>
          <w:p w14:paraId="3D2BEFAB" w14:textId="2266D486" w:rsidR="00966523" w:rsidRPr="00300B3C" w:rsidRDefault="00B06016" w:rsidP="00966523">
            <w:pPr>
              <w:jc w:val="center"/>
              <w:rPr>
                <w:rFonts w:cs="Times New Roman"/>
                <w:sz w:val="22"/>
              </w:rPr>
            </w:pPr>
            <w:r>
              <w:rPr>
                <w:rFonts w:cs="Times New Roman"/>
                <w:sz w:val="22"/>
              </w:rPr>
              <w:t>659,3</w:t>
            </w:r>
            <w:r w:rsidR="00015D88">
              <w:rPr>
                <w:rFonts w:cs="Times New Roman"/>
                <w:sz w:val="22"/>
              </w:rPr>
              <w:t xml:space="preserve"> </w:t>
            </w:r>
            <w:r w:rsidR="00015D88" w:rsidRPr="00880C89">
              <w:rPr>
                <w:rFonts w:cs="Times New Roman"/>
                <w:b/>
                <w:bCs/>
                <w:color w:val="00B050"/>
                <w:sz w:val="22"/>
              </w:rPr>
              <w:t>↓</w:t>
            </w:r>
          </w:p>
        </w:tc>
        <w:tc>
          <w:tcPr>
            <w:tcW w:w="1257" w:type="dxa"/>
            <w:vAlign w:val="center"/>
          </w:tcPr>
          <w:p w14:paraId="3D2BEFAC" w14:textId="691A8024" w:rsidR="00966523" w:rsidRPr="00300B3C" w:rsidRDefault="00B06016" w:rsidP="00966523">
            <w:pPr>
              <w:jc w:val="center"/>
              <w:rPr>
                <w:rFonts w:cs="Times New Roman"/>
                <w:sz w:val="22"/>
                <w:lang w:val="en-US"/>
              </w:rPr>
            </w:pPr>
            <w:r>
              <w:rPr>
                <w:rFonts w:cs="Times New Roman"/>
                <w:sz w:val="22"/>
                <w:lang w:val="en-US"/>
              </w:rPr>
              <w:t>733,0</w:t>
            </w:r>
          </w:p>
        </w:tc>
        <w:tc>
          <w:tcPr>
            <w:tcW w:w="1257" w:type="dxa"/>
            <w:vAlign w:val="center"/>
          </w:tcPr>
          <w:p w14:paraId="3D2BEFAD" w14:textId="78C262D6" w:rsidR="00966523" w:rsidRPr="00300B3C" w:rsidRDefault="001415E0" w:rsidP="00966523">
            <w:pPr>
              <w:jc w:val="center"/>
              <w:rPr>
                <w:rFonts w:cs="Times New Roman"/>
                <w:sz w:val="22"/>
              </w:rPr>
            </w:pPr>
            <w:r>
              <w:rPr>
                <w:rFonts w:cs="Times New Roman"/>
                <w:sz w:val="22"/>
              </w:rPr>
              <w:t>575,7</w:t>
            </w:r>
          </w:p>
        </w:tc>
        <w:tc>
          <w:tcPr>
            <w:tcW w:w="1259" w:type="dxa"/>
            <w:vAlign w:val="center"/>
          </w:tcPr>
          <w:p w14:paraId="3D2BEFAE" w14:textId="4D578E54" w:rsidR="00966523" w:rsidRPr="00300B3C" w:rsidRDefault="001415E0" w:rsidP="00966523">
            <w:pPr>
              <w:jc w:val="center"/>
              <w:rPr>
                <w:rFonts w:cs="Times New Roman"/>
                <w:sz w:val="22"/>
              </w:rPr>
            </w:pPr>
            <w:r>
              <w:rPr>
                <w:rFonts w:cs="Times New Roman"/>
                <w:sz w:val="22"/>
              </w:rPr>
              <w:t>1467,1</w:t>
            </w:r>
          </w:p>
        </w:tc>
        <w:tc>
          <w:tcPr>
            <w:tcW w:w="1885" w:type="dxa"/>
            <w:shd w:val="clear" w:color="auto" w:fill="FFFF00"/>
            <w:vAlign w:val="center"/>
          </w:tcPr>
          <w:p w14:paraId="3D2BEFAF" w14:textId="7C3C46DC" w:rsidR="00966523" w:rsidRPr="00300B3C" w:rsidRDefault="001415E0" w:rsidP="00966523">
            <w:pPr>
              <w:jc w:val="center"/>
              <w:rPr>
                <w:rFonts w:cs="Times New Roman"/>
                <w:sz w:val="22"/>
              </w:rPr>
            </w:pPr>
            <w:r>
              <w:rPr>
                <w:rFonts w:cs="Times New Roman"/>
                <w:sz w:val="22"/>
              </w:rPr>
              <w:t>0,90</w:t>
            </w:r>
          </w:p>
        </w:tc>
      </w:tr>
      <w:tr w:rsidR="00966523" w:rsidRPr="00300B3C" w14:paraId="3D2BEFB9" w14:textId="77777777" w:rsidTr="000C63E4">
        <w:trPr>
          <w:jc w:val="center"/>
        </w:trPr>
        <w:tc>
          <w:tcPr>
            <w:tcW w:w="601" w:type="dxa"/>
          </w:tcPr>
          <w:p w14:paraId="3D2BEFB1" w14:textId="77777777" w:rsidR="00966523" w:rsidRPr="00300B3C" w:rsidRDefault="00966523" w:rsidP="00966523">
            <w:pPr>
              <w:rPr>
                <w:rFonts w:cs="Times New Roman"/>
                <w:sz w:val="22"/>
              </w:rPr>
            </w:pPr>
            <w:r w:rsidRPr="00300B3C">
              <w:rPr>
                <w:rFonts w:cs="Times New Roman"/>
                <w:sz w:val="22"/>
              </w:rPr>
              <w:t>45.</w:t>
            </w:r>
          </w:p>
        </w:tc>
        <w:tc>
          <w:tcPr>
            <w:tcW w:w="4945" w:type="dxa"/>
          </w:tcPr>
          <w:p w14:paraId="3D2BEFB2" w14:textId="77777777" w:rsidR="00966523" w:rsidRPr="00300B3C" w:rsidRDefault="00966523" w:rsidP="00966523">
            <w:pPr>
              <w:rPr>
                <w:rFonts w:cs="Times New Roman"/>
                <w:sz w:val="22"/>
              </w:rPr>
            </w:pPr>
            <w:r w:rsidRPr="00300B3C">
              <w:rPr>
                <w:rFonts w:cs="Times New Roman"/>
                <w:sz w:val="22"/>
              </w:rPr>
              <w:t>Mirtingumas nuo piktybinių navikų rodiklis (C00-C97) 100 000 gyv.</w:t>
            </w:r>
          </w:p>
        </w:tc>
        <w:tc>
          <w:tcPr>
            <w:tcW w:w="1787" w:type="dxa"/>
            <w:vAlign w:val="center"/>
          </w:tcPr>
          <w:p w14:paraId="3D2BEFB3" w14:textId="53A50B46" w:rsidR="00966523" w:rsidRPr="00300B3C" w:rsidRDefault="00966523" w:rsidP="00966523">
            <w:pPr>
              <w:jc w:val="center"/>
              <w:rPr>
                <w:rFonts w:cs="Times New Roman"/>
                <w:sz w:val="22"/>
              </w:rPr>
            </w:pPr>
            <w:r w:rsidRPr="00300B3C">
              <w:rPr>
                <w:rFonts w:cs="Times New Roman"/>
                <w:sz w:val="22"/>
              </w:rPr>
              <w:t>302,5</w:t>
            </w:r>
          </w:p>
        </w:tc>
        <w:tc>
          <w:tcPr>
            <w:tcW w:w="1787" w:type="dxa"/>
            <w:vAlign w:val="center"/>
          </w:tcPr>
          <w:p w14:paraId="3D2BEFB4" w14:textId="6CBDEE45" w:rsidR="00966523" w:rsidRPr="0094205D" w:rsidRDefault="00B174EF" w:rsidP="00966523">
            <w:pPr>
              <w:jc w:val="center"/>
              <w:rPr>
                <w:rFonts w:cs="Times New Roman"/>
                <w:sz w:val="22"/>
              </w:rPr>
            </w:pPr>
            <w:r>
              <w:rPr>
                <w:rFonts w:cs="Times New Roman"/>
                <w:sz w:val="22"/>
              </w:rPr>
              <w:t>280,8</w:t>
            </w:r>
            <w:r w:rsidR="00015D88">
              <w:rPr>
                <w:rFonts w:cs="Times New Roman"/>
                <w:sz w:val="22"/>
              </w:rPr>
              <w:t xml:space="preserve"> </w:t>
            </w:r>
            <w:r w:rsidR="00015D88" w:rsidRPr="00880C89">
              <w:rPr>
                <w:rFonts w:cs="Times New Roman"/>
                <w:b/>
                <w:bCs/>
                <w:color w:val="00B050"/>
                <w:sz w:val="22"/>
              </w:rPr>
              <w:t>↓</w:t>
            </w:r>
          </w:p>
        </w:tc>
        <w:tc>
          <w:tcPr>
            <w:tcW w:w="1257" w:type="dxa"/>
            <w:vAlign w:val="center"/>
          </w:tcPr>
          <w:p w14:paraId="3D2BEFB5" w14:textId="41CF8FDD" w:rsidR="00966523" w:rsidRPr="00300B3C" w:rsidRDefault="00B174EF" w:rsidP="00966523">
            <w:pPr>
              <w:jc w:val="center"/>
              <w:rPr>
                <w:rFonts w:cs="Times New Roman"/>
                <w:sz w:val="22"/>
              </w:rPr>
            </w:pPr>
            <w:r>
              <w:rPr>
                <w:rFonts w:cs="Times New Roman"/>
                <w:sz w:val="22"/>
              </w:rPr>
              <w:t>287,8</w:t>
            </w:r>
          </w:p>
        </w:tc>
        <w:tc>
          <w:tcPr>
            <w:tcW w:w="1257" w:type="dxa"/>
            <w:vAlign w:val="center"/>
          </w:tcPr>
          <w:p w14:paraId="3D2BEFB6" w14:textId="0C2E0795" w:rsidR="00966523" w:rsidRPr="00300B3C" w:rsidRDefault="001247BD" w:rsidP="00966523">
            <w:pPr>
              <w:jc w:val="center"/>
              <w:rPr>
                <w:rFonts w:cs="Times New Roman"/>
                <w:sz w:val="22"/>
              </w:rPr>
            </w:pPr>
            <w:r>
              <w:rPr>
                <w:rFonts w:cs="Times New Roman"/>
                <w:sz w:val="22"/>
              </w:rPr>
              <w:t>223,3</w:t>
            </w:r>
          </w:p>
        </w:tc>
        <w:tc>
          <w:tcPr>
            <w:tcW w:w="1259" w:type="dxa"/>
            <w:vAlign w:val="center"/>
          </w:tcPr>
          <w:p w14:paraId="3D2BEFB7" w14:textId="43D760B9" w:rsidR="00966523" w:rsidRPr="00300B3C" w:rsidRDefault="001247BD" w:rsidP="00966523">
            <w:pPr>
              <w:jc w:val="center"/>
              <w:rPr>
                <w:rFonts w:cs="Times New Roman"/>
                <w:sz w:val="22"/>
              </w:rPr>
            </w:pPr>
            <w:r>
              <w:rPr>
                <w:rFonts w:cs="Times New Roman"/>
                <w:sz w:val="22"/>
              </w:rPr>
              <w:t>366,2</w:t>
            </w:r>
          </w:p>
        </w:tc>
        <w:tc>
          <w:tcPr>
            <w:tcW w:w="1885" w:type="dxa"/>
            <w:shd w:val="clear" w:color="auto" w:fill="FFFF00"/>
            <w:vAlign w:val="center"/>
          </w:tcPr>
          <w:p w14:paraId="3D2BEFB8" w14:textId="006E6CAF" w:rsidR="00966523" w:rsidRPr="00300B3C" w:rsidRDefault="001247BD" w:rsidP="00966523">
            <w:pPr>
              <w:jc w:val="center"/>
              <w:rPr>
                <w:rFonts w:cs="Times New Roman"/>
                <w:sz w:val="22"/>
              </w:rPr>
            </w:pPr>
            <w:r>
              <w:rPr>
                <w:rFonts w:cs="Times New Roman"/>
                <w:sz w:val="22"/>
              </w:rPr>
              <w:t>0,96</w:t>
            </w:r>
          </w:p>
        </w:tc>
      </w:tr>
      <w:tr w:rsidR="00966523" w:rsidRPr="00300B3C" w14:paraId="3D2BEFC2" w14:textId="77777777" w:rsidTr="009D1D3A">
        <w:trPr>
          <w:jc w:val="center"/>
        </w:trPr>
        <w:tc>
          <w:tcPr>
            <w:tcW w:w="601" w:type="dxa"/>
          </w:tcPr>
          <w:p w14:paraId="3D2BEFBA" w14:textId="77777777" w:rsidR="00966523" w:rsidRPr="00300B3C" w:rsidRDefault="00966523" w:rsidP="00966523">
            <w:pPr>
              <w:rPr>
                <w:rFonts w:cs="Times New Roman"/>
                <w:sz w:val="22"/>
              </w:rPr>
            </w:pPr>
            <w:r w:rsidRPr="00300B3C">
              <w:rPr>
                <w:rFonts w:cs="Times New Roman"/>
                <w:sz w:val="22"/>
              </w:rPr>
              <w:t>45.1</w:t>
            </w:r>
          </w:p>
        </w:tc>
        <w:tc>
          <w:tcPr>
            <w:tcW w:w="4945" w:type="dxa"/>
          </w:tcPr>
          <w:p w14:paraId="3D2BEFBB" w14:textId="56EC9514" w:rsidR="00966523" w:rsidRPr="00300B3C" w:rsidRDefault="00966523" w:rsidP="00966523">
            <w:pPr>
              <w:rPr>
                <w:rFonts w:cs="Times New Roman"/>
                <w:sz w:val="22"/>
              </w:rPr>
            </w:pPr>
            <w:r w:rsidRPr="00300B3C">
              <w:rPr>
                <w:rFonts w:cs="Times New Roman"/>
                <w:sz w:val="22"/>
              </w:rPr>
              <w:t>Standartizuotas mirtingum</w:t>
            </w:r>
            <w:r w:rsidR="000808FA">
              <w:rPr>
                <w:rFonts w:cs="Times New Roman"/>
                <w:sz w:val="22"/>
              </w:rPr>
              <w:t>o</w:t>
            </w:r>
            <w:r w:rsidRPr="00300B3C">
              <w:rPr>
                <w:rFonts w:cs="Times New Roman"/>
                <w:sz w:val="22"/>
              </w:rPr>
              <w:t xml:space="preserve"> nuo piktybinių navikų (C00-C97) </w:t>
            </w:r>
            <w:r w:rsidR="00C639F0">
              <w:rPr>
                <w:rFonts w:cs="Times New Roman"/>
                <w:sz w:val="22"/>
              </w:rPr>
              <w:t xml:space="preserve">rodiklis </w:t>
            </w:r>
            <w:r w:rsidRPr="00300B3C">
              <w:rPr>
                <w:rFonts w:cs="Times New Roman"/>
                <w:sz w:val="22"/>
              </w:rPr>
              <w:t>100 000 gyv.</w:t>
            </w:r>
          </w:p>
        </w:tc>
        <w:tc>
          <w:tcPr>
            <w:tcW w:w="1787" w:type="dxa"/>
            <w:vAlign w:val="center"/>
          </w:tcPr>
          <w:p w14:paraId="3D2BEFBC" w14:textId="24AEE10D" w:rsidR="00966523" w:rsidRPr="00300B3C" w:rsidRDefault="00966523" w:rsidP="00966523">
            <w:pPr>
              <w:jc w:val="center"/>
              <w:rPr>
                <w:rFonts w:cs="Times New Roman"/>
                <w:sz w:val="22"/>
              </w:rPr>
            </w:pPr>
            <w:r w:rsidRPr="00300B3C">
              <w:rPr>
                <w:rFonts w:cs="Times New Roman"/>
                <w:sz w:val="22"/>
              </w:rPr>
              <w:t>282,2</w:t>
            </w:r>
          </w:p>
        </w:tc>
        <w:tc>
          <w:tcPr>
            <w:tcW w:w="1787" w:type="dxa"/>
            <w:vAlign w:val="center"/>
          </w:tcPr>
          <w:p w14:paraId="3D2BEFBD" w14:textId="13A27537" w:rsidR="00966523" w:rsidRPr="00C9172F" w:rsidRDefault="00C9172F" w:rsidP="00966523">
            <w:pPr>
              <w:jc w:val="center"/>
              <w:rPr>
                <w:rFonts w:cs="Times New Roman"/>
                <w:bCs/>
                <w:sz w:val="22"/>
              </w:rPr>
            </w:pPr>
            <w:r w:rsidRPr="00C9172F">
              <w:rPr>
                <w:rFonts w:cs="Times New Roman"/>
                <w:bCs/>
                <w:sz w:val="22"/>
              </w:rPr>
              <w:t>260,2</w:t>
            </w:r>
            <w:r w:rsidR="00015D88">
              <w:rPr>
                <w:rFonts w:cs="Times New Roman"/>
                <w:bCs/>
                <w:sz w:val="22"/>
              </w:rPr>
              <w:t xml:space="preserve"> </w:t>
            </w:r>
            <w:r w:rsidR="00015D88" w:rsidRPr="00880C89">
              <w:rPr>
                <w:rFonts w:cs="Times New Roman"/>
                <w:b/>
                <w:bCs/>
                <w:color w:val="00B050"/>
                <w:sz w:val="22"/>
              </w:rPr>
              <w:t>↓</w:t>
            </w:r>
          </w:p>
        </w:tc>
        <w:tc>
          <w:tcPr>
            <w:tcW w:w="1257" w:type="dxa"/>
            <w:vAlign w:val="center"/>
          </w:tcPr>
          <w:p w14:paraId="3D2BEFBE" w14:textId="77FBDDDB" w:rsidR="00966523" w:rsidRPr="00300B3C" w:rsidRDefault="00C9172F" w:rsidP="00966523">
            <w:pPr>
              <w:jc w:val="center"/>
              <w:rPr>
                <w:rFonts w:cs="Times New Roman"/>
                <w:sz w:val="22"/>
              </w:rPr>
            </w:pPr>
            <w:r>
              <w:rPr>
                <w:rFonts w:cs="Times New Roman"/>
                <w:sz w:val="22"/>
              </w:rPr>
              <w:t>273,5</w:t>
            </w:r>
          </w:p>
        </w:tc>
        <w:tc>
          <w:tcPr>
            <w:tcW w:w="1257" w:type="dxa"/>
            <w:vAlign w:val="center"/>
          </w:tcPr>
          <w:p w14:paraId="3D2BEFBF" w14:textId="2CAFFC23" w:rsidR="00966523" w:rsidRPr="00300B3C" w:rsidRDefault="000A5A82" w:rsidP="00966523">
            <w:pPr>
              <w:jc w:val="center"/>
              <w:rPr>
                <w:rFonts w:cs="Times New Roman"/>
                <w:sz w:val="22"/>
              </w:rPr>
            </w:pPr>
            <w:r>
              <w:rPr>
                <w:rFonts w:cs="Times New Roman"/>
                <w:sz w:val="22"/>
              </w:rPr>
              <w:t>210,0</w:t>
            </w:r>
          </w:p>
        </w:tc>
        <w:tc>
          <w:tcPr>
            <w:tcW w:w="1259" w:type="dxa"/>
            <w:vAlign w:val="center"/>
          </w:tcPr>
          <w:p w14:paraId="3D2BEFC0" w14:textId="5CFC376A" w:rsidR="00966523" w:rsidRPr="00300B3C" w:rsidRDefault="009D1D3A" w:rsidP="00966523">
            <w:pPr>
              <w:jc w:val="center"/>
              <w:rPr>
                <w:rFonts w:cs="Times New Roman"/>
                <w:sz w:val="22"/>
              </w:rPr>
            </w:pPr>
            <w:r>
              <w:rPr>
                <w:rFonts w:cs="Times New Roman"/>
                <w:sz w:val="22"/>
              </w:rPr>
              <w:t>366,2</w:t>
            </w:r>
          </w:p>
        </w:tc>
        <w:tc>
          <w:tcPr>
            <w:tcW w:w="1885" w:type="dxa"/>
            <w:shd w:val="clear" w:color="auto" w:fill="FFFF00"/>
            <w:vAlign w:val="center"/>
          </w:tcPr>
          <w:p w14:paraId="3D2BEFC1" w14:textId="43337B6B" w:rsidR="00966523" w:rsidRPr="00300B3C" w:rsidRDefault="009D1D3A" w:rsidP="00966523">
            <w:pPr>
              <w:jc w:val="center"/>
              <w:rPr>
                <w:rFonts w:cs="Times New Roman"/>
                <w:sz w:val="22"/>
              </w:rPr>
            </w:pPr>
            <w:r>
              <w:rPr>
                <w:rFonts w:cs="Times New Roman"/>
                <w:sz w:val="22"/>
              </w:rPr>
              <w:t>0,95</w:t>
            </w:r>
          </w:p>
        </w:tc>
      </w:tr>
      <w:tr w:rsidR="00966523" w:rsidRPr="00300B3C" w14:paraId="3D2BEFCB" w14:textId="77777777" w:rsidTr="00E5407B">
        <w:trPr>
          <w:jc w:val="center"/>
        </w:trPr>
        <w:tc>
          <w:tcPr>
            <w:tcW w:w="601" w:type="dxa"/>
          </w:tcPr>
          <w:p w14:paraId="3D2BEFC3" w14:textId="77777777" w:rsidR="00966523" w:rsidRPr="00300B3C" w:rsidRDefault="00966523" w:rsidP="00966523">
            <w:pPr>
              <w:rPr>
                <w:rFonts w:cs="Times New Roman"/>
                <w:sz w:val="22"/>
              </w:rPr>
            </w:pPr>
            <w:r w:rsidRPr="00300B3C">
              <w:rPr>
                <w:rFonts w:cs="Times New Roman"/>
                <w:sz w:val="22"/>
              </w:rPr>
              <w:t>46.</w:t>
            </w:r>
          </w:p>
        </w:tc>
        <w:tc>
          <w:tcPr>
            <w:tcW w:w="4945" w:type="dxa"/>
          </w:tcPr>
          <w:p w14:paraId="3D2BEFC4" w14:textId="77777777" w:rsidR="00966523" w:rsidRPr="00300B3C" w:rsidRDefault="00966523" w:rsidP="00966523">
            <w:pPr>
              <w:rPr>
                <w:rFonts w:cs="Times New Roman"/>
                <w:sz w:val="22"/>
              </w:rPr>
            </w:pPr>
            <w:r w:rsidRPr="00300B3C">
              <w:rPr>
                <w:rFonts w:cs="Times New Roman"/>
                <w:sz w:val="22"/>
              </w:rPr>
              <w:t xml:space="preserve">Mirtingumas nuo </w:t>
            </w:r>
            <w:proofErr w:type="spellStart"/>
            <w:r w:rsidRPr="00300B3C">
              <w:rPr>
                <w:rFonts w:cs="Times New Roman"/>
                <w:sz w:val="22"/>
              </w:rPr>
              <w:t>cerebrovaskulinių</w:t>
            </w:r>
            <w:proofErr w:type="spellEnd"/>
            <w:r w:rsidRPr="00300B3C">
              <w:rPr>
                <w:rFonts w:cs="Times New Roman"/>
                <w:sz w:val="22"/>
              </w:rPr>
              <w:t xml:space="preserve"> ligų rodiklis (I60-I69) 100 000 gyv.</w:t>
            </w:r>
          </w:p>
        </w:tc>
        <w:tc>
          <w:tcPr>
            <w:tcW w:w="1787" w:type="dxa"/>
            <w:vAlign w:val="center"/>
          </w:tcPr>
          <w:p w14:paraId="3D2BEFC5" w14:textId="65FD5B9C" w:rsidR="00966523" w:rsidRPr="00300B3C" w:rsidRDefault="00966523" w:rsidP="00966523">
            <w:pPr>
              <w:jc w:val="center"/>
              <w:rPr>
                <w:rFonts w:cs="Times New Roman"/>
                <w:sz w:val="22"/>
              </w:rPr>
            </w:pPr>
            <w:r w:rsidRPr="00300B3C">
              <w:rPr>
                <w:rFonts w:cs="Times New Roman"/>
                <w:sz w:val="22"/>
              </w:rPr>
              <w:t>170,1</w:t>
            </w:r>
          </w:p>
        </w:tc>
        <w:tc>
          <w:tcPr>
            <w:tcW w:w="1787" w:type="dxa"/>
            <w:vAlign w:val="center"/>
          </w:tcPr>
          <w:p w14:paraId="3D2BEFC6" w14:textId="350F916D" w:rsidR="00966523" w:rsidRPr="00C9172F" w:rsidRDefault="0095438A" w:rsidP="00966523">
            <w:pPr>
              <w:jc w:val="center"/>
              <w:rPr>
                <w:rFonts w:cs="Times New Roman"/>
                <w:bCs/>
                <w:sz w:val="22"/>
              </w:rPr>
            </w:pPr>
            <w:r>
              <w:rPr>
                <w:rFonts w:cs="Times New Roman"/>
                <w:bCs/>
                <w:sz w:val="22"/>
              </w:rPr>
              <w:t>126,0</w:t>
            </w:r>
            <w:r w:rsidR="00015D88">
              <w:rPr>
                <w:rFonts w:cs="Times New Roman"/>
                <w:bCs/>
                <w:sz w:val="22"/>
              </w:rPr>
              <w:t xml:space="preserve"> </w:t>
            </w:r>
            <w:r w:rsidR="00015D88" w:rsidRPr="00880C89">
              <w:rPr>
                <w:rFonts w:cs="Times New Roman"/>
                <w:b/>
                <w:bCs/>
                <w:color w:val="00B050"/>
                <w:sz w:val="22"/>
              </w:rPr>
              <w:t>↓</w:t>
            </w:r>
          </w:p>
        </w:tc>
        <w:tc>
          <w:tcPr>
            <w:tcW w:w="1257" w:type="dxa"/>
            <w:vAlign w:val="center"/>
          </w:tcPr>
          <w:p w14:paraId="3D2BEFC7" w14:textId="7C10A92C" w:rsidR="00966523" w:rsidRPr="00300B3C" w:rsidRDefault="0095438A" w:rsidP="00966523">
            <w:pPr>
              <w:jc w:val="center"/>
              <w:rPr>
                <w:rFonts w:cs="Times New Roman"/>
                <w:sz w:val="22"/>
              </w:rPr>
            </w:pPr>
            <w:r>
              <w:rPr>
                <w:rFonts w:cs="Times New Roman"/>
                <w:sz w:val="22"/>
              </w:rPr>
              <w:t>176,1</w:t>
            </w:r>
          </w:p>
        </w:tc>
        <w:tc>
          <w:tcPr>
            <w:tcW w:w="1257" w:type="dxa"/>
            <w:vAlign w:val="center"/>
          </w:tcPr>
          <w:p w14:paraId="3D2BEFC8" w14:textId="7BD9314E" w:rsidR="00966523" w:rsidRPr="00300B3C" w:rsidRDefault="0095438A" w:rsidP="00966523">
            <w:pPr>
              <w:jc w:val="center"/>
              <w:rPr>
                <w:rFonts w:cs="Times New Roman"/>
                <w:sz w:val="22"/>
              </w:rPr>
            </w:pPr>
            <w:r>
              <w:rPr>
                <w:rFonts w:cs="Times New Roman"/>
                <w:sz w:val="22"/>
              </w:rPr>
              <w:t>73,8</w:t>
            </w:r>
          </w:p>
        </w:tc>
        <w:tc>
          <w:tcPr>
            <w:tcW w:w="1259" w:type="dxa"/>
            <w:vAlign w:val="center"/>
          </w:tcPr>
          <w:p w14:paraId="3D2BEFC9" w14:textId="18C76A8C" w:rsidR="00966523" w:rsidRPr="00300B3C" w:rsidRDefault="0095438A" w:rsidP="00966523">
            <w:pPr>
              <w:jc w:val="center"/>
              <w:rPr>
                <w:rFonts w:cs="Times New Roman"/>
                <w:sz w:val="22"/>
              </w:rPr>
            </w:pPr>
            <w:r>
              <w:rPr>
                <w:rFonts w:cs="Times New Roman"/>
                <w:sz w:val="22"/>
              </w:rPr>
              <w:t>455,9</w:t>
            </w:r>
          </w:p>
        </w:tc>
        <w:tc>
          <w:tcPr>
            <w:tcW w:w="1885" w:type="dxa"/>
            <w:shd w:val="clear" w:color="auto" w:fill="00B050"/>
            <w:vAlign w:val="center"/>
          </w:tcPr>
          <w:p w14:paraId="3D2BEFCA" w14:textId="50DF5B30" w:rsidR="00966523" w:rsidRPr="00300B3C" w:rsidRDefault="000F3F31" w:rsidP="00966523">
            <w:pPr>
              <w:jc w:val="center"/>
              <w:rPr>
                <w:rFonts w:cs="Times New Roman"/>
                <w:sz w:val="22"/>
              </w:rPr>
            </w:pPr>
            <w:r>
              <w:rPr>
                <w:rFonts w:cs="Times New Roman"/>
                <w:sz w:val="22"/>
              </w:rPr>
              <w:t>0,72</w:t>
            </w:r>
          </w:p>
        </w:tc>
      </w:tr>
      <w:tr w:rsidR="00966523" w:rsidRPr="00300B3C" w14:paraId="3D2BEFD4" w14:textId="77777777" w:rsidTr="00E5407B">
        <w:trPr>
          <w:jc w:val="center"/>
        </w:trPr>
        <w:tc>
          <w:tcPr>
            <w:tcW w:w="601" w:type="dxa"/>
          </w:tcPr>
          <w:p w14:paraId="3D2BEFCC" w14:textId="77777777" w:rsidR="00966523" w:rsidRPr="00300B3C" w:rsidRDefault="00966523" w:rsidP="00966523">
            <w:pPr>
              <w:rPr>
                <w:rFonts w:cs="Times New Roman"/>
                <w:sz w:val="22"/>
              </w:rPr>
            </w:pPr>
            <w:r w:rsidRPr="00300B3C">
              <w:rPr>
                <w:rFonts w:cs="Times New Roman"/>
                <w:sz w:val="22"/>
              </w:rPr>
              <w:t>46.1</w:t>
            </w:r>
          </w:p>
        </w:tc>
        <w:tc>
          <w:tcPr>
            <w:tcW w:w="4945" w:type="dxa"/>
          </w:tcPr>
          <w:p w14:paraId="3D2BEFCD" w14:textId="1C2A568B" w:rsidR="00966523" w:rsidRPr="00300B3C" w:rsidRDefault="00966523" w:rsidP="00966523">
            <w:pPr>
              <w:rPr>
                <w:rFonts w:cs="Times New Roman"/>
                <w:sz w:val="22"/>
              </w:rPr>
            </w:pPr>
            <w:r w:rsidRPr="00300B3C">
              <w:rPr>
                <w:rFonts w:cs="Times New Roman"/>
                <w:sz w:val="22"/>
              </w:rPr>
              <w:t>Stan</w:t>
            </w:r>
            <w:r>
              <w:rPr>
                <w:rFonts w:cs="Times New Roman"/>
                <w:sz w:val="22"/>
              </w:rPr>
              <w:t>dartizuo</w:t>
            </w:r>
            <w:r w:rsidRPr="00300B3C">
              <w:rPr>
                <w:rFonts w:cs="Times New Roman"/>
                <w:sz w:val="22"/>
              </w:rPr>
              <w:t>tas mirtingum</w:t>
            </w:r>
            <w:r w:rsidR="000808FA">
              <w:rPr>
                <w:rFonts w:cs="Times New Roman"/>
                <w:sz w:val="22"/>
              </w:rPr>
              <w:t>o</w:t>
            </w:r>
            <w:r>
              <w:rPr>
                <w:rFonts w:cs="Times New Roman"/>
                <w:sz w:val="22"/>
              </w:rPr>
              <w:t xml:space="preserve"> nuo </w:t>
            </w:r>
            <w:proofErr w:type="spellStart"/>
            <w:r>
              <w:rPr>
                <w:rFonts w:cs="Times New Roman"/>
                <w:sz w:val="22"/>
              </w:rPr>
              <w:t>cerebrovaskulinių</w:t>
            </w:r>
            <w:proofErr w:type="spellEnd"/>
            <w:r>
              <w:rPr>
                <w:rFonts w:cs="Times New Roman"/>
                <w:sz w:val="22"/>
              </w:rPr>
              <w:t xml:space="preserve"> ligų</w:t>
            </w:r>
            <w:r w:rsidRPr="00300B3C">
              <w:rPr>
                <w:rFonts w:cs="Times New Roman"/>
                <w:sz w:val="22"/>
              </w:rPr>
              <w:t xml:space="preserve"> (I60-I69)</w:t>
            </w:r>
            <w:r w:rsidR="00C639F0">
              <w:rPr>
                <w:rFonts w:cs="Times New Roman"/>
                <w:sz w:val="22"/>
              </w:rPr>
              <w:t xml:space="preserve"> rodiklis</w:t>
            </w:r>
            <w:r w:rsidRPr="00300B3C">
              <w:rPr>
                <w:rFonts w:cs="Times New Roman"/>
                <w:sz w:val="22"/>
              </w:rPr>
              <w:t xml:space="preserve"> 100 000 gyv.</w:t>
            </w:r>
          </w:p>
        </w:tc>
        <w:tc>
          <w:tcPr>
            <w:tcW w:w="1787" w:type="dxa"/>
            <w:vAlign w:val="center"/>
          </w:tcPr>
          <w:p w14:paraId="3D2BEFCE" w14:textId="5F2E9F2C" w:rsidR="00966523" w:rsidRPr="00300B3C" w:rsidRDefault="00966523" w:rsidP="00966523">
            <w:pPr>
              <w:jc w:val="center"/>
              <w:rPr>
                <w:rFonts w:cs="Times New Roman"/>
                <w:sz w:val="22"/>
              </w:rPr>
            </w:pPr>
            <w:r w:rsidRPr="00300B3C">
              <w:rPr>
                <w:rFonts w:cs="Times New Roman"/>
                <w:sz w:val="22"/>
              </w:rPr>
              <w:t>153,1</w:t>
            </w:r>
          </w:p>
        </w:tc>
        <w:tc>
          <w:tcPr>
            <w:tcW w:w="1787" w:type="dxa"/>
            <w:vAlign w:val="center"/>
          </w:tcPr>
          <w:p w14:paraId="3D2BEFCF" w14:textId="1C964D4A" w:rsidR="00966523" w:rsidRPr="00C9172F" w:rsidRDefault="000F3F31" w:rsidP="00966523">
            <w:pPr>
              <w:jc w:val="center"/>
              <w:rPr>
                <w:rFonts w:cs="Times New Roman"/>
                <w:bCs/>
                <w:sz w:val="22"/>
              </w:rPr>
            </w:pPr>
            <w:r>
              <w:rPr>
                <w:rFonts w:cs="Times New Roman"/>
                <w:bCs/>
                <w:sz w:val="22"/>
              </w:rPr>
              <w:t>114,3</w:t>
            </w:r>
            <w:r w:rsidR="00015D88">
              <w:rPr>
                <w:rFonts w:cs="Times New Roman"/>
                <w:bCs/>
                <w:sz w:val="22"/>
              </w:rPr>
              <w:t xml:space="preserve"> </w:t>
            </w:r>
            <w:r w:rsidR="00015D88" w:rsidRPr="00880C89">
              <w:rPr>
                <w:rFonts w:cs="Times New Roman"/>
                <w:b/>
                <w:bCs/>
                <w:color w:val="00B050"/>
                <w:sz w:val="22"/>
              </w:rPr>
              <w:t>↓</w:t>
            </w:r>
          </w:p>
        </w:tc>
        <w:tc>
          <w:tcPr>
            <w:tcW w:w="1257" w:type="dxa"/>
            <w:vAlign w:val="center"/>
          </w:tcPr>
          <w:p w14:paraId="3D2BEFD0" w14:textId="04B516BE" w:rsidR="00966523" w:rsidRPr="00300B3C" w:rsidRDefault="000F3F31" w:rsidP="00966523">
            <w:pPr>
              <w:jc w:val="center"/>
              <w:rPr>
                <w:rFonts w:cs="Times New Roman"/>
                <w:sz w:val="22"/>
              </w:rPr>
            </w:pPr>
            <w:r>
              <w:rPr>
                <w:rFonts w:cs="Times New Roman"/>
                <w:sz w:val="22"/>
              </w:rPr>
              <w:t>172,4</w:t>
            </w:r>
          </w:p>
        </w:tc>
        <w:tc>
          <w:tcPr>
            <w:tcW w:w="1257" w:type="dxa"/>
            <w:vAlign w:val="center"/>
          </w:tcPr>
          <w:p w14:paraId="3D2BEFD1" w14:textId="1AFB4D8B" w:rsidR="00966523" w:rsidRPr="00300B3C" w:rsidRDefault="007D5EE9" w:rsidP="00966523">
            <w:pPr>
              <w:jc w:val="center"/>
              <w:rPr>
                <w:rFonts w:cs="Times New Roman"/>
                <w:sz w:val="22"/>
              </w:rPr>
            </w:pPr>
            <w:r>
              <w:rPr>
                <w:rFonts w:cs="Times New Roman"/>
                <w:sz w:val="22"/>
              </w:rPr>
              <w:t>48,1</w:t>
            </w:r>
          </w:p>
        </w:tc>
        <w:tc>
          <w:tcPr>
            <w:tcW w:w="1259" w:type="dxa"/>
            <w:vAlign w:val="center"/>
          </w:tcPr>
          <w:p w14:paraId="3D2BEFD2" w14:textId="20D406CC" w:rsidR="00966523" w:rsidRPr="00300B3C" w:rsidRDefault="007D5EE9" w:rsidP="00966523">
            <w:pPr>
              <w:jc w:val="center"/>
              <w:rPr>
                <w:rFonts w:cs="Times New Roman"/>
                <w:sz w:val="22"/>
              </w:rPr>
            </w:pPr>
            <w:r>
              <w:rPr>
                <w:rFonts w:cs="Times New Roman"/>
                <w:sz w:val="22"/>
              </w:rPr>
              <w:t>455,9</w:t>
            </w:r>
          </w:p>
        </w:tc>
        <w:tc>
          <w:tcPr>
            <w:tcW w:w="1885" w:type="dxa"/>
            <w:shd w:val="clear" w:color="auto" w:fill="00B050"/>
            <w:vAlign w:val="center"/>
          </w:tcPr>
          <w:p w14:paraId="3D2BEFD3" w14:textId="0BCDCFC5" w:rsidR="00966523" w:rsidRPr="00300B3C" w:rsidRDefault="00B401D3" w:rsidP="00966523">
            <w:pPr>
              <w:jc w:val="center"/>
              <w:rPr>
                <w:rFonts w:cs="Times New Roman"/>
                <w:sz w:val="22"/>
              </w:rPr>
            </w:pPr>
            <w:r>
              <w:rPr>
                <w:rFonts w:cs="Times New Roman"/>
                <w:sz w:val="22"/>
              </w:rPr>
              <w:t>0,66</w:t>
            </w:r>
          </w:p>
        </w:tc>
      </w:tr>
      <w:tr w:rsidR="00966523" w:rsidRPr="00300B3C" w14:paraId="3D2BEFDD" w14:textId="77777777" w:rsidTr="00C35371">
        <w:trPr>
          <w:jc w:val="center"/>
        </w:trPr>
        <w:tc>
          <w:tcPr>
            <w:tcW w:w="601" w:type="dxa"/>
          </w:tcPr>
          <w:p w14:paraId="3D2BEFD5" w14:textId="77777777" w:rsidR="00966523" w:rsidRPr="00300B3C" w:rsidRDefault="00966523" w:rsidP="00966523">
            <w:pPr>
              <w:rPr>
                <w:rFonts w:cs="Times New Roman"/>
                <w:sz w:val="22"/>
              </w:rPr>
            </w:pPr>
            <w:r w:rsidRPr="00300B3C">
              <w:rPr>
                <w:rFonts w:cs="Times New Roman"/>
                <w:sz w:val="22"/>
              </w:rPr>
              <w:t>47.</w:t>
            </w:r>
          </w:p>
        </w:tc>
        <w:tc>
          <w:tcPr>
            <w:tcW w:w="4945" w:type="dxa"/>
          </w:tcPr>
          <w:p w14:paraId="3D2BEFD6" w14:textId="77777777" w:rsidR="00966523" w:rsidRPr="00300B3C" w:rsidRDefault="00966523" w:rsidP="00966523">
            <w:pPr>
              <w:rPr>
                <w:rFonts w:cs="Times New Roman"/>
                <w:sz w:val="22"/>
              </w:rPr>
            </w:pPr>
            <w:r w:rsidRPr="00300B3C">
              <w:rPr>
                <w:rFonts w:cs="Times New Roman"/>
                <w:sz w:val="22"/>
              </w:rPr>
              <w:t>Sergamumas II tipo cukriniu diabetu (E11) 10 000 gyv.</w:t>
            </w:r>
          </w:p>
        </w:tc>
        <w:tc>
          <w:tcPr>
            <w:tcW w:w="1787" w:type="dxa"/>
            <w:vAlign w:val="center"/>
          </w:tcPr>
          <w:p w14:paraId="3D2BEFD7" w14:textId="1CDACA7F" w:rsidR="00966523" w:rsidRPr="00300B3C" w:rsidRDefault="00966523" w:rsidP="00966523">
            <w:pPr>
              <w:jc w:val="center"/>
              <w:rPr>
                <w:rFonts w:cs="Times New Roman"/>
                <w:sz w:val="22"/>
              </w:rPr>
            </w:pPr>
            <w:r w:rsidRPr="00300B3C">
              <w:rPr>
                <w:rFonts w:cs="Times New Roman"/>
                <w:sz w:val="22"/>
              </w:rPr>
              <w:t>77,3</w:t>
            </w:r>
          </w:p>
        </w:tc>
        <w:tc>
          <w:tcPr>
            <w:tcW w:w="1787" w:type="dxa"/>
            <w:vAlign w:val="center"/>
          </w:tcPr>
          <w:p w14:paraId="3D2BEFD8" w14:textId="2F96BACD" w:rsidR="00966523" w:rsidRPr="00C9172F" w:rsidRDefault="00B40893" w:rsidP="00966523">
            <w:pPr>
              <w:jc w:val="center"/>
              <w:rPr>
                <w:rFonts w:cs="Times New Roman"/>
                <w:bCs/>
                <w:sz w:val="22"/>
              </w:rPr>
            </w:pPr>
            <w:r>
              <w:rPr>
                <w:rFonts w:cs="Times New Roman"/>
                <w:bCs/>
                <w:sz w:val="22"/>
              </w:rPr>
              <w:t>83,4</w:t>
            </w:r>
            <w:r w:rsidR="00183C15">
              <w:rPr>
                <w:rFonts w:cs="Times New Roman"/>
                <w:bCs/>
                <w:sz w:val="22"/>
              </w:rPr>
              <w:t xml:space="preserve"> </w:t>
            </w:r>
            <w:r w:rsidR="00183C15" w:rsidRPr="008002E0">
              <w:rPr>
                <w:rFonts w:cs="Times New Roman"/>
                <w:b/>
                <w:bCs/>
                <w:color w:val="00B050"/>
                <w:sz w:val="22"/>
              </w:rPr>
              <w:t>↑</w:t>
            </w:r>
          </w:p>
        </w:tc>
        <w:tc>
          <w:tcPr>
            <w:tcW w:w="1257" w:type="dxa"/>
            <w:vAlign w:val="center"/>
          </w:tcPr>
          <w:p w14:paraId="3D2BEFD9" w14:textId="6B96D6F8" w:rsidR="00966523" w:rsidRPr="00300B3C" w:rsidRDefault="00B40893" w:rsidP="00966523">
            <w:pPr>
              <w:jc w:val="center"/>
              <w:rPr>
                <w:rFonts w:cs="Times New Roman"/>
                <w:sz w:val="22"/>
              </w:rPr>
            </w:pPr>
            <w:r>
              <w:rPr>
                <w:rFonts w:cs="Times New Roman"/>
                <w:sz w:val="22"/>
              </w:rPr>
              <w:t>61,2</w:t>
            </w:r>
          </w:p>
        </w:tc>
        <w:tc>
          <w:tcPr>
            <w:tcW w:w="1257" w:type="dxa"/>
            <w:vAlign w:val="center"/>
          </w:tcPr>
          <w:p w14:paraId="3D2BEFDA" w14:textId="3724D2EA" w:rsidR="00966523" w:rsidRPr="00300B3C" w:rsidRDefault="00B40893" w:rsidP="00966523">
            <w:pPr>
              <w:jc w:val="center"/>
              <w:rPr>
                <w:rFonts w:cs="Times New Roman"/>
                <w:sz w:val="22"/>
              </w:rPr>
            </w:pPr>
            <w:r>
              <w:rPr>
                <w:rFonts w:cs="Times New Roman"/>
                <w:sz w:val="22"/>
              </w:rPr>
              <w:t>30,0</w:t>
            </w:r>
          </w:p>
        </w:tc>
        <w:tc>
          <w:tcPr>
            <w:tcW w:w="1259" w:type="dxa"/>
            <w:vAlign w:val="center"/>
          </w:tcPr>
          <w:p w14:paraId="3D2BEFDB" w14:textId="55C803EA" w:rsidR="00966523" w:rsidRPr="00300B3C" w:rsidRDefault="00B40893" w:rsidP="00966523">
            <w:pPr>
              <w:jc w:val="center"/>
              <w:rPr>
                <w:rFonts w:cs="Times New Roman"/>
                <w:sz w:val="22"/>
              </w:rPr>
            </w:pPr>
            <w:r>
              <w:rPr>
                <w:rFonts w:cs="Times New Roman"/>
                <w:sz w:val="22"/>
              </w:rPr>
              <w:t>124,3</w:t>
            </w:r>
          </w:p>
        </w:tc>
        <w:tc>
          <w:tcPr>
            <w:tcW w:w="1885" w:type="dxa"/>
            <w:shd w:val="clear" w:color="auto" w:fill="FF0000"/>
            <w:vAlign w:val="center"/>
          </w:tcPr>
          <w:p w14:paraId="3D2BEFDC" w14:textId="3D6DF8AC" w:rsidR="00966523" w:rsidRPr="00300B3C" w:rsidRDefault="00B40893" w:rsidP="00966523">
            <w:pPr>
              <w:jc w:val="center"/>
              <w:rPr>
                <w:rFonts w:cs="Times New Roman"/>
                <w:sz w:val="22"/>
              </w:rPr>
            </w:pPr>
            <w:r>
              <w:rPr>
                <w:rFonts w:cs="Times New Roman"/>
                <w:sz w:val="22"/>
              </w:rPr>
              <w:t>1,36</w:t>
            </w:r>
          </w:p>
        </w:tc>
      </w:tr>
      <w:tr w:rsidR="00966523" w:rsidRPr="00300B3C" w14:paraId="3D2BEFE6" w14:textId="77777777" w:rsidTr="00E5407B">
        <w:trPr>
          <w:jc w:val="center"/>
        </w:trPr>
        <w:tc>
          <w:tcPr>
            <w:tcW w:w="601" w:type="dxa"/>
          </w:tcPr>
          <w:p w14:paraId="3D2BEFDE" w14:textId="77777777" w:rsidR="00966523" w:rsidRPr="00300B3C" w:rsidRDefault="00966523" w:rsidP="00966523">
            <w:pPr>
              <w:rPr>
                <w:rFonts w:cs="Times New Roman"/>
                <w:sz w:val="22"/>
              </w:rPr>
            </w:pPr>
            <w:r w:rsidRPr="00300B3C">
              <w:rPr>
                <w:rFonts w:cs="Times New Roman"/>
                <w:sz w:val="22"/>
              </w:rPr>
              <w:t>48.</w:t>
            </w:r>
          </w:p>
        </w:tc>
        <w:tc>
          <w:tcPr>
            <w:tcW w:w="4945" w:type="dxa"/>
          </w:tcPr>
          <w:p w14:paraId="3D2BEFDF" w14:textId="77777777" w:rsidR="00966523" w:rsidRPr="00300B3C" w:rsidRDefault="00966523" w:rsidP="00966523">
            <w:pPr>
              <w:rPr>
                <w:rFonts w:cs="Times New Roman"/>
                <w:sz w:val="22"/>
              </w:rPr>
            </w:pPr>
            <w:r w:rsidRPr="00300B3C">
              <w:rPr>
                <w:rFonts w:cs="Times New Roman"/>
                <w:sz w:val="22"/>
              </w:rPr>
              <w:t xml:space="preserve">Tikslinės populiacijos dalis (proc.), dalyvavusi atrankinės </w:t>
            </w:r>
            <w:proofErr w:type="spellStart"/>
            <w:r w:rsidRPr="00300B3C">
              <w:rPr>
                <w:rFonts w:cs="Times New Roman"/>
                <w:sz w:val="22"/>
              </w:rPr>
              <w:t>mamografinės</w:t>
            </w:r>
            <w:proofErr w:type="spellEnd"/>
            <w:r w:rsidRPr="00300B3C">
              <w:rPr>
                <w:rFonts w:cs="Times New Roman"/>
                <w:sz w:val="22"/>
              </w:rPr>
              <w:t xml:space="preserve"> patikros dėl krūties vėžio finansavimo programoje</w:t>
            </w:r>
          </w:p>
        </w:tc>
        <w:tc>
          <w:tcPr>
            <w:tcW w:w="1787" w:type="dxa"/>
            <w:vAlign w:val="center"/>
          </w:tcPr>
          <w:p w14:paraId="3D2BEFE0" w14:textId="1514EB22" w:rsidR="00966523" w:rsidRPr="00300B3C" w:rsidRDefault="00966523" w:rsidP="00966523">
            <w:pPr>
              <w:jc w:val="center"/>
              <w:rPr>
                <w:rFonts w:cs="Times New Roman"/>
                <w:sz w:val="22"/>
              </w:rPr>
            </w:pPr>
            <w:r w:rsidRPr="00300B3C">
              <w:rPr>
                <w:rFonts w:cs="Times New Roman"/>
                <w:sz w:val="22"/>
              </w:rPr>
              <w:t>56,5</w:t>
            </w:r>
          </w:p>
        </w:tc>
        <w:tc>
          <w:tcPr>
            <w:tcW w:w="1787" w:type="dxa"/>
            <w:vAlign w:val="center"/>
          </w:tcPr>
          <w:p w14:paraId="3D2BEFE1" w14:textId="590707FB" w:rsidR="00966523" w:rsidRPr="00C9172F" w:rsidRDefault="00C8539F" w:rsidP="00966523">
            <w:pPr>
              <w:jc w:val="center"/>
              <w:rPr>
                <w:rFonts w:cs="Times New Roman"/>
                <w:bCs/>
                <w:sz w:val="22"/>
              </w:rPr>
            </w:pPr>
            <w:r>
              <w:rPr>
                <w:rFonts w:cs="Times New Roman"/>
                <w:bCs/>
                <w:sz w:val="22"/>
              </w:rPr>
              <w:t>57,3</w:t>
            </w:r>
            <w:r w:rsidR="00183C15">
              <w:rPr>
                <w:rFonts w:cs="Times New Roman"/>
                <w:bCs/>
                <w:sz w:val="22"/>
              </w:rPr>
              <w:t xml:space="preserve"> </w:t>
            </w:r>
            <w:r w:rsidR="00183C15" w:rsidRPr="008002E0">
              <w:rPr>
                <w:rFonts w:cs="Times New Roman"/>
                <w:b/>
                <w:bCs/>
                <w:color w:val="00B050"/>
                <w:sz w:val="22"/>
              </w:rPr>
              <w:t>↑</w:t>
            </w:r>
          </w:p>
        </w:tc>
        <w:tc>
          <w:tcPr>
            <w:tcW w:w="1257" w:type="dxa"/>
            <w:vAlign w:val="center"/>
          </w:tcPr>
          <w:p w14:paraId="3D2BEFE2" w14:textId="1EC5C6D7" w:rsidR="00966523" w:rsidRPr="00300B3C" w:rsidRDefault="00C8539F" w:rsidP="00966523">
            <w:pPr>
              <w:jc w:val="center"/>
              <w:rPr>
                <w:rFonts w:cs="Times New Roman"/>
                <w:sz w:val="22"/>
              </w:rPr>
            </w:pPr>
            <w:r>
              <w:rPr>
                <w:rFonts w:cs="Times New Roman"/>
                <w:sz w:val="22"/>
              </w:rPr>
              <w:t>52,9</w:t>
            </w:r>
          </w:p>
        </w:tc>
        <w:tc>
          <w:tcPr>
            <w:tcW w:w="1257" w:type="dxa"/>
            <w:vAlign w:val="center"/>
          </w:tcPr>
          <w:p w14:paraId="3D2BEFE3" w14:textId="76916060" w:rsidR="00966523" w:rsidRPr="00300B3C" w:rsidRDefault="00C8539F" w:rsidP="00966523">
            <w:pPr>
              <w:jc w:val="center"/>
              <w:rPr>
                <w:rFonts w:cs="Times New Roman"/>
                <w:sz w:val="22"/>
              </w:rPr>
            </w:pPr>
            <w:r>
              <w:rPr>
                <w:rFonts w:cs="Times New Roman"/>
                <w:sz w:val="22"/>
              </w:rPr>
              <w:t>16,8</w:t>
            </w:r>
          </w:p>
        </w:tc>
        <w:tc>
          <w:tcPr>
            <w:tcW w:w="1259" w:type="dxa"/>
            <w:vAlign w:val="center"/>
          </w:tcPr>
          <w:p w14:paraId="3D2BEFE4" w14:textId="6095CA4C" w:rsidR="00966523" w:rsidRPr="00300B3C" w:rsidRDefault="00C8539F" w:rsidP="00966523">
            <w:pPr>
              <w:jc w:val="center"/>
              <w:rPr>
                <w:rFonts w:cs="Times New Roman"/>
                <w:sz w:val="22"/>
              </w:rPr>
            </w:pPr>
            <w:r>
              <w:rPr>
                <w:rFonts w:cs="Times New Roman"/>
                <w:sz w:val="22"/>
              </w:rPr>
              <w:t>73,2</w:t>
            </w:r>
          </w:p>
        </w:tc>
        <w:tc>
          <w:tcPr>
            <w:tcW w:w="1885" w:type="dxa"/>
            <w:shd w:val="clear" w:color="auto" w:fill="00B050"/>
            <w:vAlign w:val="center"/>
          </w:tcPr>
          <w:p w14:paraId="3D2BEFE5" w14:textId="5C9482BF" w:rsidR="00966523" w:rsidRPr="00300B3C" w:rsidRDefault="00376773" w:rsidP="00966523">
            <w:pPr>
              <w:jc w:val="center"/>
              <w:rPr>
                <w:rFonts w:cs="Times New Roman"/>
                <w:sz w:val="22"/>
              </w:rPr>
            </w:pPr>
            <w:r>
              <w:rPr>
                <w:rFonts w:cs="Times New Roman"/>
                <w:sz w:val="22"/>
              </w:rPr>
              <w:t>1,08</w:t>
            </w:r>
          </w:p>
        </w:tc>
      </w:tr>
      <w:tr w:rsidR="00966523" w:rsidRPr="00300B3C" w14:paraId="3D2BEFEF" w14:textId="77777777" w:rsidTr="00DD24BD">
        <w:trPr>
          <w:jc w:val="center"/>
        </w:trPr>
        <w:tc>
          <w:tcPr>
            <w:tcW w:w="601" w:type="dxa"/>
          </w:tcPr>
          <w:p w14:paraId="3D2BEFE7" w14:textId="77777777" w:rsidR="00966523" w:rsidRPr="00300B3C" w:rsidRDefault="00966523" w:rsidP="00966523">
            <w:pPr>
              <w:rPr>
                <w:rFonts w:cs="Times New Roman"/>
                <w:sz w:val="22"/>
              </w:rPr>
            </w:pPr>
            <w:r w:rsidRPr="00300B3C">
              <w:rPr>
                <w:rFonts w:cs="Times New Roman"/>
                <w:sz w:val="22"/>
              </w:rPr>
              <w:t>49.</w:t>
            </w:r>
          </w:p>
        </w:tc>
        <w:tc>
          <w:tcPr>
            <w:tcW w:w="4945" w:type="dxa"/>
          </w:tcPr>
          <w:p w14:paraId="3D2BEFE8" w14:textId="77777777" w:rsidR="00966523" w:rsidRPr="00300B3C" w:rsidRDefault="00966523" w:rsidP="00966523">
            <w:pPr>
              <w:rPr>
                <w:rFonts w:cs="Times New Roman"/>
                <w:sz w:val="22"/>
              </w:rPr>
            </w:pPr>
            <w:r w:rsidRPr="00300B3C">
              <w:rPr>
                <w:rFonts w:cs="Times New Roman"/>
                <w:sz w:val="22"/>
              </w:rPr>
              <w:t>Tikslinės populiacijos dalis (proc.), dalyvavusi gimdos kaklelio piktybinių navikų prevencinių priemonių, apmokamų iš Privalomojo sveikatos draudimo biudžeto lėšų, finansavimo programoje</w:t>
            </w:r>
          </w:p>
        </w:tc>
        <w:tc>
          <w:tcPr>
            <w:tcW w:w="1787" w:type="dxa"/>
            <w:vAlign w:val="center"/>
          </w:tcPr>
          <w:p w14:paraId="3D2BEFE9" w14:textId="6C76AD3B" w:rsidR="00966523" w:rsidRPr="00300B3C" w:rsidRDefault="00966523" w:rsidP="00966523">
            <w:pPr>
              <w:jc w:val="center"/>
              <w:rPr>
                <w:rFonts w:cs="Times New Roman"/>
                <w:sz w:val="22"/>
              </w:rPr>
            </w:pPr>
            <w:r w:rsidRPr="00300B3C">
              <w:rPr>
                <w:rFonts w:cs="Times New Roman"/>
                <w:sz w:val="22"/>
              </w:rPr>
              <w:t>53,4</w:t>
            </w:r>
          </w:p>
        </w:tc>
        <w:tc>
          <w:tcPr>
            <w:tcW w:w="1787" w:type="dxa"/>
            <w:vAlign w:val="center"/>
          </w:tcPr>
          <w:p w14:paraId="3D2BEFEA" w14:textId="494F36C4" w:rsidR="00966523" w:rsidRPr="00C9172F" w:rsidRDefault="00DD24BD" w:rsidP="00966523">
            <w:pPr>
              <w:jc w:val="center"/>
              <w:rPr>
                <w:rFonts w:cs="Times New Roman"/>
                <w:bCs/>
                <w:sz w:val="22"/>
              </w:rPr>
            </w:pPr>
            <w:r>
              <w:rPr>
                <w:rFonts w:cs="Times New Roman"/>
                <w:bCs/>
                <w:sz w:val="22"/>
              </w:rPr>
              <w:t>57,4</w:t>
            </w:r>
            <w:r w:rsidR="00183C15">
              <w:rPr>
                <w:rFonts w:cs="Times New Roman"/>
                <w:bCs/>
                <w:sz w:val="22"/>
              </w:rPr>
              <w:t xml:space="preserve"> </w:t>
            </w:r>
            <w:r w:rsidR="00183C15" w:rsidRPr="008002E0">
              <w:rPr>
                <w:rFonts w:cs="Times New Roman"/>
                <w:b/>
                <w:bCs/>
                <w:color w:val="00B050"/>
                <w:sz w:val="22"/>
              </w:rPr>
              <w:t>↑</w:t>
            </w:r>
          </w:p>
        </w:tc>
        <w:tc>
          <w:tcPr>
            <w:tcW w:w="1257" w:type="dxa"/>
            <w:vAlign w:val="center"/>
          </w:tcPr>
          <w:p w14:paraId="3D2BEFEB" w14:textId="4D260795" w:rsidR="00966523" w:rsidRPr="00300B3C" w:rsidRDefault="00DD24BD" w:rsidP="00966523">
            <w:pPr>
              <w:jc w:val="center"/>
              <w:rPr>
                <w:rFonts w:cs="Times New Roman"/>
                <w:sz w:val="22"/>
              </w:rPr>
            </w:pPr>
            <w:r>
              <w:rPr>
                <w:rFonts w:cs="Times New Roman"/>
                <w:sz w:val="22"/>
              </w:rPr>
              <w:t>56,4</w:t>
            </w:r>
          </w:p>
        </w:tc>
        <w:tc>
          <w:tcPr>
            <w:tcW w:w="1257" w:type="dxa"/>
            <w:vAlign w:val="center"/>
          </w:tcPr>
          <w:p w14:paraId="3D2BEFEC" w14:textId="07C10782" w:rsidR="00966523" w:rsidRPr="00300B3C" w:rsidRDefault="00DD24BD" w:rsidP="00966523">
            <w:pPr>
              <w:jc w:val="center"/>
              <w:rPr>
                <w:rFonts w:cs="Times New Roman"/>
                <w:sz w:val="22"/>
              </w:rPr>
            </w:pPr>
            <w:r>
              <w:rPr>
                <w:rFonts w:cs="Times New Roman"/>
                <w:sz w:val="22"/>
              </w:rPr>
              <w:t>30,6</w:t>
            </w:r>
          </w:p>
        </w:tc>
        <w:tc>
          <w:tcPr>
            <w:tcW w:w="1259" w:type="dxa"/>
            <w:vAlign w:val="center"/>
          </w:tcPr>
          <w:p w14:paraId="3D2BEFED" w14:textId="5CDFF4D5" w:rsidR="00966523" w:rsidRPr="00300B3C" w:rsidRDefault="00DD24BD" w:rsidP="00966523">
            <w:pPr>
              <w:jc w:val="center"/>
              <w:rPr>
                <w:rFonts w:cs="Times New Roman"/>
                <w:sz w:val="22"/>
              </w:rPr>
            </w:pPr>
            <w:r>
              <w:rPr>
                <w:rFonts w:cs="Times New Roman"/>
                <w:sz w:val="22"/>
              </w:rPr>
              <w:t>76,9</w:t>
            </w:r>
          </w:p>
        </w:tc>
        <w:tc>
          <w:tcPr>
            <w:tcW w:w="1885" w:type="dxa"/>
            <w:shd w:val="clear" w:color="auto" w:fill="FFFF00"/>
            <w:vAlign w:val="center"/>
          </w:tcPr>
          <w:p w14:paraId="3D2BEFEE" w14:textId="7C395124" w:rsidR="00966523" w:rsidRPr="00300B3C" w:rsidRDefault="00DD24BD" w:rsidP="00966523">
            <w:pPr>
              <w:jc w:val="center"/>
              <w:rPr>
                <w:rFonts w:cs="Times New Roman"/>
                <w:sz w:val="22"/>
              </w:rPr>
            </w:pPr>
            <w:r>
              <w:rPr>
                <w:rFonts w:cs="Times New Roman"/>
                <w:sz w:val="22"/>
              </w:rPr>
              <w:t>1,02</w:t>
            </w:r>
          </w:p>
        </w:tc>
      </w:tr>
      <w:tr w:rsidR="00966523" w:rsidRPr="00300B3C" w14:paraId="3D2BEFF8" w14:textId="77777777" w:rsidTr="00E5407B">
        <w:trPr>
          <w:jc w:val="center"/>
        </w:trPr>
        <w:tc>
          <w:tcPr>
            <w:tcW w:w="601" w:type="dxa"/>
          </w:tcPr>
          <w:p w14:paraId="3D2BEFF0" w14:textId="77777777" w:rsidR="00966523" w:rsidRPr="00300B3C" w:rsidRDefault="00966523" w:rsidP="00966523">
            <w:pPr>
              <w:rPr>
                <w:rFonts w:cs="Times New Roman"/>
                <w:sz w:val="22"/>
              </w:rPr>
            </w:pPr>
            <w:r w:rsidRPr="00300B3C">
              <w:rPr>
                <w:rFonts w:cs="Times New Roman"/>
                <w:sz w:val="22"/>
              </w:rPr>
              <w:t>50.</w:t>
            </w:r>
          </w:p>
        </w:tc>
        <w:tc>
          <w:tcPr>
            <w:tcW w:w="4945" w:type="dxa"/>
          </w:tcPr>
          <w:p w14:paraId="3D2BEFF1" w14:textId="77777777" w:rsidR="00966523" w:rsidRPr="00300B3C" w:rsidRDefault="00966523" w:rsidP="00966523">
            <w:pPr>
              <w:rPr>
                <w:rFonts w:cs="Times New Roman"/>
                <w:sz w:val="22"/>
              </w:rPr>
            </w:pPr>
            <w:r w:rsidRPr="00300B3C">
              <w:rPr>
                <w:rFonts w:cs="Times New Roman"/>
                <w:sz w:val="22"/>
              </w:rPr>
              <w:t>Tikslinės populiacijos dalis (proc.), dalyvavusi storosios žarnos vėžio ankstyvosios diagnostikos finansavimo programoje</w:t>
            </w:r>
          </w:p>
        </w:tc>
        <w:tc>
          <w:tcPr>
            <w:tcW w:w="1787" w:type="dxa"/>
            <w:vAlign w:val="center"/>
          </w:tcPr>
          <w:p w14:paraId="3D2BEFF2" w14:textId="0949F5F3" w:rsidR="00966523" w:rsidRPr="00300B3C" w:rsidRDefault="00966523" w:rsidP="00966523">
            <w:pPr>
              <w:jc w:val="center"/>
              <w:rPr>
                <w:rFonts w:cs="Times New Roman"/>
                <w:sz w:val="22"/>
              </w:rPr>
            </w:pPr>
            <w:r w:rsidRPr="00300B3C">
              <w:rPr>
                <w:rFonts w:cs="Times New Roman"/>
                <w:sz w:val="22"/>
              </w:rPr>
              <w:t>59,2</w:t>
            </w:r>
          </w:p>
        </w:tc>
        <w:tc>
          <w:tcPr>
            <w:tcW w:w="1787" w:type="dxa"/>
            <w:vAlign w:val="center"/>
          </w:tcPr>
          <w:p w14:paraId="3D2BEFF3" w14:textId="12520E04" w:rsidR="00966523" w:rsidRPr="00C9172F" w:rsidRDefault="00040AD6" w:rsidP="00966523">
            <w:pPr>
              <w:jc w:val="center"/>
              <w:rPr>
                <w:rFonts w:cs="Times New Roman"/>
                <w:bCs/>
                <w:sz w:val="22"/>
              </w:rPr>
            </w:pPr>
            <w:r>
              <w:rPr>
                <w:rFonts w:cs="Times New Roman"/>
                <w:bCs/>
                <w:sz w:val="22"/>
              </w:rPr>
              <w:t>61,9</w:t>
            </w:r>
            <w:r w:rsidR="00183C15">
              <w:rPr>
                <w:rFonts w:cs="Times New Roman"/>
                <w:bCs/>
                <w:sz w:val="22"/>
              </w:rPr>
              <w:t xml:space="preserve"> </w:t>
            </w:r>
            <w:r w:rsidR="00183C15" w:rsidRPr="008002E0">
              <w:rPr>
                <w:rFonts w:cs="Times New Roman"/>
                <w:b/>
                <w:bCs/>
                <w:color w:val="00B050"/>
                <w:sz w:val="22"/>
              </w:rPr>
              <w:t>↑</w:t>
            </w:r>
          </w:p>
        </w:tc>
        <w:tc>
          <w:tcPr>
            <w:tcW w:w="1257" w:type="dxa"/>
            <w:vAlign w:val="center"/>
          </w:tcPr>
          <w:p w14:paraId="3D2BEFF4" w14:textId="365F2BA8" w:rsidR="00966523" w:rsidRPr="00300B3C" w:rsidRDefault="00040AD6" w:rsidP="00966523">
            <w:pPr>
              <w:jc w:val="center"/>
              <w:rPr>
                <w:rFonts w:cs="Times New Roman"/>
                <w:sz w:val="22"/>
              </w:rPr>
            </w:pPr>
            <w:r>
              <w:rPr>
                <w:rFonts w:cs="Times New Roman"/>
                <w:sz w:val="22"/>
              </w:rPr>
              <w:t>56,3</w:t>
            </w:r>
          </w:p>
        </w:tc>
        <w:tc>
          <w:tcPr>
            <w:tcW w:w="1257" w:type="dxa"/>
            <w:vAlign w:val="center"/>
          </w:tcPr>
          <w:p w14:paraId="3D2BEFF5" w14:textId="508FAAF2" w:rsidR="00966523" w:rsidRPr="00300B3C" w:rsidRDefault="00040AD6" w:rsidP="00966523">
            <w:pPr>
              <w:jc w:val="center"/>
              <w:rPr>
                <w:rFonts w:cs="Times New Roman"/>
                <w:sz w:val="22"/>
              </w:rPr>
            </w:pPr>
            <w:r>
              <w:rPr>
                <w:rFonts w:cs="Times New Roman"/>
                <w:sz w:val="22"/>
              </w:rPr>
              <w:t>30,9</w:t>
            </w:r>
          </w:p>
        </w:tc>
        <w:tc>
          <w:tcPr>
            <w:tcW w:w="1259" w:type="dxa"/>
            <w:vAlign w:val="center"/>
          </w:tcPr>
          <w:p w14:paraId="3D2BEFF6" w14:textId="1B8BC20B" w:rsidR="00966523" w:rsidRPr="00300B3C" w:rsidRDefault="00040AD6" w:rsidP="00966523">
            <w:pPr>
              <w:jc w:val="center"/>
              <w:rPr>
                <w:rFonts w:cs="Times New Roman"/>
                <w:sz w:val="22"/>
              </w:rPr>
            </w:pPr>
            <w:r>
              <w:rPr>
                <w:rFonts w:cs="Times New Roman"/>
                <w:sz w:val="22"/>
              </w:rPr>
              <w:t>69,4</w:t>
            </w:r>
          </w:p>
        </w:tc>
        <w:tc>
          <w:tcPr>
            <w:tcW w:w="1885" w:type="dxa"/>
            <w:shd w:val="clear" w:color="auto" w:fill="00B050"/>
            <w:vAlign w:val="center"/>
          </w:tcPr>
          <w:p w14:paraId="3D2BEFF7" w14:textId="61101FAF" w:rsidR="00966523" w:rsidRPr="00300B3C" w:rsidRDefault="00443380" w:rsidP="00966523">
            <w:pPr>
              <w:jc w:val="center"/>
              <w:rPr>
                <w:rFonts w:cs="Times New Roman"/>
                <w:sz w:val="22"/>
              </w:rPr>
            </w:pPr>
            <w:r>
              <w:rPr>
                <w:rFonts w:cs="Times New Roman"/>
                <w:sz w:val="22"/>
              </w:rPr>
              <w:t>1,10</w:t>
            </w:r>
          </w:p>
        </w:tc>
      </w:tr>
      <w:tr w:rsidR="00966523" w:rsidRPr="00300B3C" w14:paraId="3D2BF001" w14:textId="77777777" w:rsidTr="00E01856">
        <w:trPr>
          <w:jc w:val="center"/>
        </w:trPr>
        <w:tc>
          <w:tcPr>
            <w:tcW w:w="601" w:type="dxa"/>
          </w:tcPr>
          <w:p w14:paraId="3D2BEFF9" w14:textId="77777777" w:rsidR="00966523" w:rsidRPr="00300B3C" w:rsidRDefault="00966523" w:rsidP="00966523">
            <w:pPr>
              <w:rPr>
                <w:rFonts w:cs="Times New Roman"/>
                <w:sz w:val="22"/>
              </w:rPr>
            </w:pPr>
            <w:r w:rsidRPr="00300B3C">
              <w:rPr>
                <w:rFonts w:cs="Times New Roman"/>
                <w:sz w:val="22"/>
              </w:rPr>
              <w:t>51.</w:t>
            </w:r>
          </w:p>
        </w:tc>
        <w:tc>
          <w:tcPr>
            <w:tcW w:w="4945" w:type="dxa"/>
          </w:tcPr>
          <w:p w14:paraId="3D2BEFFA" w14:textId="77777777" w:rsidR="00966523" w:rsidRPr="00300B3C" w:rsidRDefault="00966523" w:rsidP="00966523">
            <w:pPr>
              <w:rPr>
                <w:rFonts w:cs="Times New Roman"/>
                <w:sz w:val="22"/>
              </w:rPr>
            </w:pPr>
            <w:r w:rsidRPr="00300B3C">
              <w:rPr>
                <w:rFonts w:cs="Times New Roman"/>
                <w:sz w:val="22"/>
              </w:rPr>
              <w:t>Tikslinės populiacijos dalis (proc.), dalyvavusi asmenų, priskirtinų širdies ir kraujagyslių ligų didelės rizikos grupei, atrankos ir prevencijos priemonių finansavimo programoje</w:t>
            </w:r>
          </w:p>
        </w:tc>
        <w:tc>
          <w:tcPr>
            <w:tcW w:w="1787" w:type="dxa"/>
            <w:vAlign w:val="center"/>
          </w:tcPr>
          <w:p w14:paraId="3D2BEFFB" w14:textId="761685B9" w:rsidR="00966523" w:rsidRPr="00300B3C" w:rsidRDefault="00966523" w:rsidP="00966523">
            <w:pPr>
              <w:jc w:val="center"/>
              <w:rPr>
                <w:rFonts w:cs="Times New Roman"/>
                <w:sz w:val="22"/>
              </w:rPr>
            </w:pPr>
            <w:r w:rsidRPr="00300B3C">
              <w:rPr>
                <w:rFonts w:cs="Times New Roman"/>
                <w:sz w:val="22"/>
              </w:rPr>
              <w:t>39,0</w:t>
            </w:r>
          </w:p>
        </w:tc>
        <w:tc>
          <w:tcPr>
            <w:tcW w:w="1787" w:type="dxa"/>
            <w:vAlign w:val="center"/>
          </w:tcPr>
          <w:p w14:paraId="3D2BEFFC" w14:textId="51C80DDB" w:rsidR="00966523" w:rsidRPr="00C9172F" w:rsidRDefault="00443380" w:rsidP="00966523">
            <w:pPr>
              <w:jc w:val="center"/>
              <w:rPr>
                <w:rFonts w:cs="Times New Roman"/>
                <w:bCs/>
                <w:sz w:val="22"/>
              </w:rPr>
            </w:pPr>
            <w:r>
              <w:rPr>
                <w:rFonts w:cs="Times New Roman"/>
                <w:bCs/>
                <w:sz w:val="22"/>
              </w:rPr>
              <w:t>47,6</w:t>
            </w:r>
            <w:r w:rsidR="00183C15">
              <w:rPr>
                <w:rFonts w:cs="Times New Roman"/>
                <w:bCs/>
                <w:sz w:val="22"/>
              </w:rPr>
              <w:t xml:space="preserve"> </w:t>
            </w:r>
            <w:r w:rsidR="00183C15" w:rsidRPr="008002E0">
              <w:rPr>
                <w:rFonts w:cs="Times New Roman"/>
                <w:b/>
                <w:bCs/>
                <w:color w:val="00B050"/>
                <w:sz w:val="22"/>
              </w:rPr>
              <w:t>↑</w:t>
            </w:r>
          </w:p>
        </w:tc>
        <w:tc>
          <w:tcPr>
            <w:tcW w:w="1257" w:type="dxa"/>
            <w:vAlign w:val="center"/>
          </w:tcPr>
          <w:p w14:paraId="3D2BEFFD" w14:textId="5154CBEC" w:rsidR="00966523" w:rsidRPr="00300B3C" w:rsidRDefault="00443380" w:rsidP="00966523">
            <w:pPr>
              <w:jc w:val="center"/>
              <w:rPr>
                <w:rFonts w:cs="Times New Roman"/>
                <w:sz w:val="22"/>
              </w:rPr>
            </w:pPr>
            <w:r>
              <w:rPr>
                <w:rFonts w:cs="Times New Roman"/>
                <w:sz w:val="22"/>
              </w:rPr>
              <w:t>48,2</w:t>
            </w:r>
          </w:p>
        </w:tc>
        <w:tc>
          <w:tcPr>
            <w:tcW w:w="1257" w:type="dxa"/>
            <w:vAlign w:val="center"/>
          </w:tcPr>
          <w:p w14:paraId="3D2BEFFE" w14:textId="798859F9" w:rsidR="00966523" w:rsidRPr="00300B3C" w:rsidRDefault="00E01856" w:rsidP="00966523">
            <w:pPr>
              <w:jc w:val="center"/>
              <w:rPr>
                <w:rFonts w:cs="Times New Roman"/>
                <w:sz w:val="22"/>
              </w:rPr>
            </w:pPr>
            <w:r>
              <w:rPr>
                <w:rFonts w:cs="Times New Roman"/>
                <w:sz w:val="22"/>
              </w:rPr>
              <w:t>28,2</w:t>
            </w:r>
          </w:p>
        </w:tc>
        <w:tc>
          <w:tcPr>
            <w:tcW w:w="1259" w:type="dxa"/>
            <w:vAlign w:val="center"/>
          </w:tcPr>
          <w:p w14:paraId="3D2BEFFF" w14:textId="6F925517" w:rsidR="00966523" w:rsidRPr="00300B3C" w:rsidRDefault="00E01856" w:rsidP="00966523">
            <w:pPr>
              <w:jc w:val="center"/>
              <w:rPr>
                <w:rFonts w:cs="Times New Roman"/>
                <w:sz w:val="22"/>
              </w:rPr>
            </w:pPr>
            <w:r>
              <w:rPr>
                <w:rFonts w:cs="Times New Roman"/>
                <w:sz w:val="22"/>
              </w:rPr>
              <w:t>66,3</w:t>
            </w:r>
          </w:p>
        </w:tc>
        <w:tc>
          <w:tcPr>
            <w:tcW w:w="1885" w:type="dxa"/>
            <w:shd w:val="clear" w:color="auto" w:fill="FFFF00"/>
            <w:vAlign w:val="center"/>
          </w:tcPr>
          <w:p w14:paraId="3D2BF000" w14:textId="7E636D52" w:rsidR="00966523" w:rsidRPr="00300B3C" w:rsidRDefault="00E01856" w:rsidP="00966523">
            <w:pPr>
              <w:jc w:val="center"/>
              <w:rPr>
                <w:rFonts w:cs="Times New Roman"/>
                <w:sz w:val="22"/>
              </w:rPr>
            </w:pPr>
            <w:r>
              <w:rPr>
                <w:rFonts w:cs="Times New Roman"/>
                <w:sz w:val="22"/>
              </w:rPr>
              <w:t>0,99</w:t>
            </w:r>
          </w:p>
        </w:tc>
      </w:tr>
    </w:tbl>
    <w:p w14:paraId="3D2BF002" w14:textId="77777777" w:rsidR="005C50BF" w:rsidRDefault="005C50BF" w:rsidP="003770FF">
      <w:pPr>
        <w:spacing w:after="0" w:line="360" w:lineRule="auto"/>
        <w:jc w:val="both"/>
        <w:sectPr w:rsidR="005C50BF" w:rsidSect="00300B3C">
          <w:pgSz w:w="16839" w:h="11907" w:orient="landscape" w:code="9"/>
          <w:pgMar w:top="1152" w:right="562" w:bottom="562" w:left="562" w:header="720" w:footer="720" w:gutter="0"/>
          <w:cols w:space="720"/>
          <w:titlePg/>
          <w:docGrid w:linePitch="360"/>
        </w:sectPr>
      </w:pPr>
    </w:p>
    <w:p w14:paraId="3D2BF003" w14:textId="77777777" w:rsidR="00E94FE2" w:rsidRPr="00E92E3B" w:rsidRDefault="00B66D82" w:rsidP="00C93DF0">
      <w:pPr>
        <w:pStyle w:val="Antrat1"/>
        <w:spacing w:before="0"/>
        <w:ind w:firstLine="0"/>
        <w:jc w:val="center"/>
      </w:pPr>
      <w:bookmarkStart w:id="10" w:name="_Toc26535197"/>
      <w:bookmarkStart w:id="11" w:name="_Toc502140371"/>
      <w:bookmarkStart w:id="12" w:name="_Toc502140595"/>
      <w:bookmarkStart w:id="13" w:name="_Toc502235339"/>
      <w:r w:rsidRPr="00E92E3B">
        <w:rPr>
          <w:caps w:val="0"/>
        </w:rPr>
        <w:lastRenderedPageBreak/>
        <w:t>KAUNO MIESTO SAVIVALDYBĖS PROFILIS</w:t>
      </w:r>
      <w:bookmarkEnd w:id="10"/>
    </w:p>
    <w:p w14:paraId="3D2BF004" w14:textId="77777777" w:rsidR="00E94FE2" w:rsidRPr="00960FCF" w:rsidRDefault="00E94FE2" w:rsidP="00E92E3B">
      <w:pPr>
        <w:spacing w:after="0"/>
        <w:jc w:val="both"/>
        <w:rPr>
          <w:rFonts w:cs="Times New Roman"/>
          <w:szCs w:val="32"/>
        </w:rPr>
      </w:pPr>
    </w:p>
    <w:p w14:paraId="3D2BF005" w14:textId="77777777" w:rsidR="004E795A" w:rsidRPr="00E92E3B" w:rsidRDefault="00FF42D6" w:rsidP="004E795A">
      <w:pPr>
        <w:spacing w:after="0"/>
        <w:ind w:firstLine="720"/>
        <w:jc w:val="both"/>
        <w:rPr>
          <w:rFonts w:cs="Times New Roman"/>
          <w:szCs w:val="24"/>
        </w:rPr>
      </w:pPr>
      <w:r>
        <w:rPr>
          <w:rFonts w:cs="Times New Roman"/>
          <w:szCs w:val="24"/>
        </w:rPr>
        <w:t>Iš visų pateiktų pagrindinių</w:t>
      </w:r>
      <w:r w:rsidR="00E94FE2" w:rsidRPr="00E92E3B">
        <w:rPr>
          <w:rFonts w:cs="Times New Roman"/>
          <w:szCs w:val="24"/>
        </w:rPr>
        <w:t xml:space="preserve"> rodiklių </w:t>
      </w:r>
      <w:r>
        <w:rPr>
          <w:rFonts w:cs="Times New Roman"/>
          <w:szCs w:val="24"/>
        </w:rPr>
        <w:t xml:space="preserve">savivaldybėje </w:t>
      </w:r>
      <w:r w:rsidR="00E94FE2" w:rsidRPr="00E92E3B">
        <w:rPr>
          <w:rFonts w:cs="Times New Roman"/>
          <w:szCs w:val="24"/>
        </w:rPr>
        <w:t xml:space="preserve">reikšmių Kauno miesto savivaldybėje palyginimo su atitinkamu Lietuvos vidurkio rodikliu matyti, kad į žaliąją zoną pateko </w:t>
      </w:r>
      <w:r w:rsidR="004E795A">
        <w:rPr>
          <w:rFonts w:cs="Times New Roman"/>
          <w:szCs w:val="24"/>
        </w:rPr>
        <w:t xml:space="preserve">15 rodiklių, o į raudonąją 8 rodikliai iš 51 rodiklio (6 lentelė). </w:t>
      </w:r>
      <w:r w:rsidR="004E795A" w:rsidRPr="00E92E3B">
        <w:rPr>
          <w:rFonts w:cs="Times New Roman"/>
          <w:color w:val="000000" w:themeColor="text1"/>
          <w:szCs w:val="24"/>
        </w:rPr>
        <w:t>Likusios rodiklių reikšmės patenka į vidutinę, geltonąją zoną.</w:t>
      </w:r>
    </w:p>
    <w:p w14:paraId="3D2BF006" w14:textId="77777777" w:rsidR="004E795A" w:rsidRPr="00960FCF" w:rsidRDefault="004E795A" w:rsidP="004E795A">
      <w:pPr>
        <w:spacing w:after="0"/>
        <w:jc w:val="both"/>
        <w:rPr>
          <w:rFonts w:cs="Times New Roman"/>
          <w:szCs w:val="32"/>
        </w:rPr>
      </w:pPr>
    </w:p>
    <w:p w14:paraId="3D2BF007" w14:textId="77777777" w:rsidR="004E795A" w:rsidRDefault="004E795A" w:rsidP="004E795A">
      <w:pPr>
        <w:spacing w:after="0"/>
        <w:jc w:val="right"/>
        <w:rPr>
          <w:rFonts w:cs="Times New Roman"/>
          <w:szCs w:val="24"/>
        </w:rPr>
      </w:pPr>
      <w:r>
        <w:rPr>
          <w:rFonts w:cs="Times New Roman"/>
          <w:szCs w:val="24"/>
        </w:rPr>
        <w:t>6 lentelė. Kauno miesto visuomenės sveikatos stebėsenos rodiklių žalioji ir raudonoji zonos</w:t>
      </w:r>
    </w:p>
    <w:tbl>
      <w:tblPr>
        <w:tblStyle w:val="Lentelstinklelis"/>
        <w:tblW w:w="9865" w:type="dxa"/>
        <w:tblLook w:val="04A0" w:firstRow="1" w:lastRow="0" w:firstColumn="1" w:lastColumn="0" w:noHBand="0" w:noVBand="1"/>
      </w:tblPr>
      <w:tblGrid>
        <w:gridCol w:w="5046"/>
        <w:gridCol w:w="4819"/>
      </w:tblGrid>
      <w:tr w:rsidR="002B71AA" w:rsidRPr="004E795A" w14:paraId="2F2F0039" w14:textId="77777777" w:rsidTr="006A1386">
        <w:tc>
          <w:tcPr>
            <w:tcW w:w="5046" w:type="dxa"/>
          </w:tcPr>
          <w:bookmarkEnd w:id="11"/>
          <w:bookmarkEnd w:id="12"/>
          <w:bookmarkEnd w:id="13"/>
          <w:p w14:paraId="7A84687C" w14:textId="77777777" w:rsidR="002B71AA" w:rsidRPr="004E795A" w:rsidRDefault="002B71AA" w:rsidP="00B46F72">
            <w:pPr>
              <w:jc w:val="center"/>
              <w:rPr>
                <w:szCs w:val="24"/>
              </w:rPr>
            </w:pPr>
            <w:r>
              <w:rPr>
                <w:szCs w:val="24"/>
              </w:rPr>
              <w:t>Ž</w:t>
            </w:r>
            <w:r w:rsidRPr="004E795A">
              <w:rPr>
                <w:szCs w:val="24"/>
              </w:rPr>
              <w:t>alioji zona</w:t>
            </w:r>
          </w:p>
        </w:tc>
        <w:tc>
          <w:tcPr>
            <w:tcW w:w="4819" w:type="dxa"/>
          </w:tcPr>
          <w:p w14:paraId="44A95502" w14:textId="77777777" w:rsidR="002B71AA" w:rsidRPr="004E795A" w:rsidRDefault="002B71AA" w:rsidP="00B46F72">
            <w:pPr>
              <w:jc w:val="center"/>
              <w:rPr>
                <w:szCs w:val="24"/>
              </w:rPr>
            </w:pPr>
            <w:r w:rsidRPr="004E795A">
              <w:rPr>
                <w:szCs w:val="24"/>
              </w:rPr>
              <w:t>Raudonoji zona</w:t>
            </w:r>
          </w:p>
        </w:tc>
      </w:tr>
      <w:tr w:rsidR="002B71AA" w:rsidRPr="00C84342" w14:paraId="36658C85" w14:textId="77777777" w:rsidTr="006A1386">
        <w:trPr>
          <w:trHeight w:val="6802"/>
        </w:trPr>
        <w:tc>
          <w:tcPr>
            <w:tcW w:w="5046" w:type="dxa"/>
          </w:tcPr>
          <w:p w14:paraId="39286406" w14:textId="77777777" w:rsidR="002B71AA" w:rsidRPr="007978F1" w:rsidRDefault="002B71AA" w:rsidP="006A1386">
            <w:pPr>
              <w:pStyle w:val="Sraopastraipa"/>
              <w:numPr>
                <w:ilvl w:val="0"/>
                <w:numId w:val="7"/>
              </w:numPr>
              <w:jc w:val="both"/>
              <w:rPr>
                <w:color w:val="00B050"/>
                <w:szCs w:val="24"/>
              </w:rPr>
            </w:pPr>
            <w:r w:rsidRPr="007978F1">
              <w:rPr>
                <w:color w:val="00B050"/>
                <w:szCs w:val="24"/>
              </w:rPr>
              <w:t>Vidutinė tikėtina gyvenimo trukmė;</w:t>
            </w:r>
          </w:p>
          <w:p w14:paraId="5D92016F" w14:textId="77777777" w:rsidR="002B71AA" w:rsidRPr="007978F1" w:rsidRDefault="002B71AA" w:rsidP="006A1386">
            <w:pPr>
              <w:pStyle w:val="Sraopastraipa"/>
              <w:numPr>
                <w:ilvl w:val="0"/>
                <w:numId w:val="7"/>
              </w:numPr>
              <w:jc w:val="both"/>
              <w:rPr>
                <w:color w:val="00B050"/>
                <w:szCs w:val="24"/>
              </w:rPr>
            </w:pPr>
            <w:r w:rsidRPr="007978F1">
              <w:rPr>
                <w:color w:val="00B050"/>
                <w:szCs w:val="24"/>
              </w:rPr>
              <w:t>Išvengiamas mirtingumas (proc.);</w:t>
            </w:r>
          </w:p>
          <w:p w14:paraId="454DF590" w14:textId="77777777" w:rsidR="002B71AA" w:rsidRPr="007978F1" w:rsidRDefault="002B71AA" w:rsidP="006A1386">
            <w:pPr>
              <w:pStyle w:val="Sraopastraipa"/>
              <w:numPr>
                <w:ilvl w:val="0"/>
                <w:numId w:val="7"/>
              </w:numPr>
              <w:jc w:val="both"/>
              <w:rPr>
                <w:color w:val="00B050"/>
                <w:szCs w:val="24"/>
              </w:rPr>
            </w:pPr>
            <w:r w:rsidRPr="007978F1">
              <w:rPr>
                <w:color w:val="00B050"/>
                <w:szCs w:val="24"/>
              </w:rPr>
              <w:t>Gyventojų skaičiaus pokytis 1000 gyv.;</w:t>
            </w:r>
          </w:p>
          <w:p w14:paraId="5AD260EA" w14:textId="77777777" w:rsidR="002B71AA" w:rsidRPr="007978F1" w:rsidRDefault="002B71AA" w:rsidP="006A1386">
            <w:pPr>
              <w:pStyle w:val="Sraopastraipa"/>
              <w:numPr>
                <w:ilvl w:val="0"/>
                <w:numId w:val="7"/>
              </w:numPr>
              <w:jc w:val="both"/>
              <w:rPr>
                <w:color w:val="00B050"/>
                <w:szCs w:val="24"/>
              </w:rPr>
            </w:pPr>
            <w:r w:rsidRPr="007978F1">
              <w:rPr>
                <w:color w:val="00B050"/>
                <w:szCs w:val="24"/>
              </w:rPr>
              <w:t>Mirtingumas dėl išorinių priežasčių (V01-Y98) 100 000 gyv.;</w:t>
            </w:r>
          </w:p>
          <w:p w14:paraId="53DCD569" w14:textId="77777777" w:rsidR="002B71AA" w:rsidRPr="007978F1" w:rsidRDefault="002B71AA" w:rsidP="006A1386">
            <w:pPr>
              <w:pStyle w:val="Sraopastraipa"/>
              <w:numPr>
                <w:ilvl w:val="0"/>
                <w:numId w:val="7"/>
              </w:numPr>
              <w:jc w:val="both"/>
              <w:rPr>
                <w:color w:val="00B050"/>
                <w:szCs w:val="24"/>
              </w:rPr>
            </w:pPr>
            <w:r w:rsidRPr="007978F1">
              <w:rPr>
                <w:color w:val="00B050"/>
                <w:szCs w:val="24"/>
              </w:rPr>
              <w:t>Mokinių, gaunančių nemokamą maitinimą mokyklose, skaičius 1000 vaikų;</w:t>
            </w:r>
          </w:p>
          <w:p w14:paraId="59F40645" w14:textId="77777777" w:rsidR="002B71AA" w:rsidRPr="007978F1" w:rsidRDefault="002B71AA" w:rsidP="006A1386">
            <w:pPr>
              <w:pStyle w:val="Sraopastraipa"/>
              <w:numPr>
                <w:ilvl w:val="0"/>
                <w:numId w:val="7"/>
              </w:numPr>
              <w:jc w:val="both"/>
              <w:rPr>
                <w:color w:val="00B050"/>
                <w:szCs w:val="24"/>
              </w:rPr>
            </w:pPr>
            <w:r w:rsidRPr="007978F1">
              <w:rPr>
                <w:color w:val="00B050"/>
                <w:szCs w:val="24"/>
              </w:rPr>
              <w:t>Socialinės pašalpos gavėjų skaičius 1000 gyv.;</w:t>
            </w:r>
          </w:p>
          <w:p w14:paraId="01A158D7" w14:textId="77777777" w:rsidR="002B71AA" w:rsidRPr="007978F1" w:rsidRDefault="002B71AA" w:rsidP="006A1386">
            <w:pPr>
              <w:pStyle w:val="Sraopastraipa"/>
              <w:numPr>
                <w:ilvl w:val="0"/>
                <w:numId w:val="7"/>
              </w:numPr>
              <w:jc w:val="both"/>
              <w:rPr>
                <w:color w:val="00B050"/>
                <w:szCs w:val="24"/>
              </w:rPr>
            </w:pPr>
            <w:r w:rsidRPr="007978F1">
              <w:rPr>
                <w:color w:val="00B050"/>
                <w:szCs w:val="24"/>
              </w:rPr>
              <w:t>Sergamumas tuberkulioze (A15-A19) 100 000 gyv. (tik nauji atvejai);</w:t>
            </w:r>
          </w:p>
          <w:p w14:paraId="25D9E66E" w14:textId="77777777" w:rsidR="002B71AA" w:rsidRPr="007978F1" w:rsidRDefault="002B71AA" w:rsidP="006A1386">
            <w:pPr>
              <w:pStyle w:val="Sraopastraipa"/>
              <w:numPr>
                <w:ilvl w:val="0"/>
                <w:numId w:val="7"/>
              </w:numPr>
              <w:jc w:val="both"/>
              <w:rPr>
                <w:color w:val="00B050"/>
                <w:szCs w:val="24"/>
              </w:rPr>
            </w:pPr>
            <w:r w:rsidRPr="007978F1">
              <w:rPr>
                <w:color w:val="00B050"/>
                <w:szCs w:val="24"/>
              </w:rPr>
              <w:t>Darbingo amžiaus asmenų, pirmą kartą pripažintų neįgaliais, skaičius 10 000 gyv.;</w:t>
            </w:r>
          </w:p>
          <w:p w14:paraId="3369D7E3" w14:textId="77777777" w:rsidR="002B71AA" w:rsidRPr="007978F1" w:rsidRDefault="002B71AA" w:rsidP="006A1386">
            <w:pPr>
              <w:pStyle w:val="Sraopastraipa"/>
              <w:numPr>
                <w:ilvl w:val="0"/>
                <w:numId w:val="7"/>
              </w:numPr>
              <w:jc w:val="both"/>
              <w:rPr>
                <w:color w:val="00B050"/>
                <w:szCs w:val="24"/>
              </w:rPr>
            </w:pPr>
            <w:r w:rsidRPr="007978F1">
              <w:rPr>
                <w:color w:val="00B050"/>
                <w:szCs w:val="24"/>
              </w:rPr>
              <w:t>Kūdikių, išimtinai žindytų iki 6 mėn. amžiaus, dalis (proc.);</w:t>
            </w:r>
          </w:p>
          <w:p w14:paraId="7E8C0135" w14:textId="77777777" w:rsidR="002B71AA" w:rsidRPr="007978F1" w:rsidRDefault="002B71AA" w:rsidP="006A1386">
            <w:pPr>
              <w:pStyle w:val="Sraopastraipa"/>
              <w:numPr>
                <w:ilvl w:val="0"/>
                <w:numId w:val="7"/>
              </w:numPr>
              <w:jc w:val="both"/>
              <w:rPr>
                <w:color w:val="00B050"/>
                <w:szCs w:val="24"/>
              </w:rPr>
            </w:pPr>
            <w:r w:rsidRPr="007978F1">
              <w:rPr>
                <w:color w:val="00B050"/>
                <w:szCs w:val="24"/>
              </w:rPr>
              <w:t>Šeimos gydytojų skaičius 10 000 gyv.;</w:t>
            </w:r>
          </w:p>
          <w:p w14:paraId="5C17395D" w14:textId="77777777" w:rsidR="002B71AA" w:rsidRPr="007978F1" w:rsidRDefault="002B71AA" w:rsidP="006A1386">
            <w:pPr>
              <w:pStyle w:val="Sraopastraipa"/>
              <w:numPr>
                <w:ilvl w:val="0"/>
                <w:numId w:val="7"/>
              </w:numPr>
              <w:jc w:val="both"/>
              <w:rPr>
                <w:color w:val="00B050"/>
                <w:szCs w:val="24"/>
              </w:rPr>
            </w:pPr>
            <w:r w:rsidRPr="007978F1">
              <w:rPr>
                <w:color w:val="00B050"/>
                <w:szCs w:val="24"/>
              </w:rPr>
              <w:t>Apsilankymų pas gydytojus skaičius, tenkantis vienam gyventojui;</w:t>
            </w:r>
          </w:p>
          <w:p w14:paraId="0200849F" w14:textId="77777777" w:rsidR="002B71AA" w:rsidRPr="007978F1" w:rsidRDefault="002B71AA" w:rsidP="006A1386">
            <w:pPr>
              <w:pStyle w:val="Sraopastraipa"/>
              <w:numPr>
                <w:ilvl w:val="0"/>
                <w:numId w:val="7"/>
              </w:numPr>
              <w:jc w:val="both"/>
              <w:rPr>
                <w:color w:val="00B050"/>
                <w:szCs w:val="24"/>
              </w:rPr>
            </w:pPr>
            <w:r w:rsidRPr="007978F1">
              <w:rPr>
                <w:color w:val="00B050"/>
                <w:szCs w:val="24"/>
              </w:rPr>
              <w:t>Paauglių (15–17 m.) gimdymų skaičius 1000 gyv.;</w:t>
            </w:r>
          </w:p>
          <w:p w14:paraId="68EC8773" w14:textId="77777777" w:rsidR="002B71AA" w:rsidRPr="007978F1" w:rsidRDefault="002B71AA" w:rsidP="006A1386">
            <w:pPr>
              <w:pStyle w:val="Sraopastraipa"/>
              <w:numPr>
                <w:ilvl w:val="0"/>
                <w:numId w:val="7"/>
              </w:numPr>
              <w:jc w:val="both"/>
              <w:rPr>
                <w:color w:val="00B050"/>
                <w:szCs w:val="24"/>
              </w:rPr>
            </w:pPr>
            <w:r w:rsidRPr="007978F1">
              <w:rPr>
                <w:color w:val="00B050"/>
                <w:szCs w:val="24"/>
              </w:rPr>
              <w:t xml:space="preserve">Mirtingumas nuo </w:t>
            </w:r>
            <w:proofErr w:type="spellStart"/>
            <w:r w:rsidRPr="007978F1">
              <w:rPr>
                <w:color w:val="00B050"/>
                <w:szCs w:val="24"/>
              </w:rPr>
              <w:t>cerebrovaskulinių</w:t>
            </w:r>
            <w:proofErr w:type="spellEnd"/>
            <w:r w:rsidRPr="007978F1">
              <w:rPr>
                <w:color w:val="00B050"/>
                <w:szCs w:val="24"/>
              </w:rPr>
              <w:t xml:space="preserve"> ligų rodiklis (I60-I69) 100 000 gyv.;</w:t>
            </w:r>
          </w:p>
          <w:p w14:paraId="55152FC1" w14:textId="77777777" w:rsidR="002B71AA" w:rsidRPr="007978F1" w:rsidRDefault="002B71AA" w:rsidP="006A1386">
            <w:pPr>
              <w:pStyle w:val="Sraopastraipa"/>
              <w:numPr>
                <w:ilvl w:val="0"/>
                <w:numId w:val="7"/>
              </w:numPr>
              <w:jc w:val="both"/>
              <w:rPr>
                <w:color w:val="00B050"/>
                <w:szCs w:val="24"/>
              </w:rPr>
            </w:pPr>
            <w:r w:rsidRPr="007978F1">
              <w:rPr>
                <w:color w:val="00B050"/>
                <w:szCs w:val="24"/>
              </w:rPr>
              <w:t xml:space="preserve">Tikslinės populiacijos dalis (proc.), dalyvavusi atrankinės </w:t>
            </w:r>
            <w:proofErr w:type="spellStart"/>
            <w:r w:rsidRPr="007978F1">
              <w:rPr>
                <w:color w:val="00B050"/>
                <w:szCs w:val="24"/>
              </w:rPr>
              <w:t>mamografinės</w:t>
            </w:r>
            <w:proofErr w:type="spellEnd"/>
            <w:r w:rsidRPr="007978F1">
              <w:rPr>
                <w:color w:val="00B050"/>
                <w:szCs w:val="24"/>
              </w:rPr>
              <w:t xml:space="preserve"> patikros dėl krūties vėžio finansavimo programoje;</w:t>
            </w:r>
          </w:p>
          <w:p w14:paraId="28D5DBF4" w14:textId="77777777" w:rsidR="002B71AA" w:rsidRPr="007978F1" w:rsidRDefault="002B71AA" w:rsidP="006A1386">
            <w:pPr>
              <w:pStyle w:val="Sraopastraipa"/>
              <w:numPr>
                <w:ilvl w:val="0"/>
                <w:numId w:val="7"/>
              </w:numPr>
              <w:jc w:val="both"/>
              <w:rPr>
                <w:color w:val="00B050"/>
                <w:szCs w:val="24"/>
              </w:rPr>
            </w:pPr>
            <w:r w:rsidRPr="007978F1">
              <w:rPr>
                <w:color w:val="00B050"/>
                <w:szCs w:val="24"/>
              </w:rPr>
              <w:t>Tikslinės populiacijos dalis (proc.), dalyvavusi storosios žarnos vėžio ankstyvosios diagnostikos finansavimo programoje.</w:t>
            </w:r>
          </w:p>
        </w:tc>
        <w:tc>
          <w:tcPr>
            <w:tcW w:w="4819" w:type="dxa"/>
          </w:tcPr>
          <w:p w14:paraId="2F63D524" w14:textId="77777777" w:rsidR="002B71AA" w:rsidRPr="007978F1" w:rsidRDefault="002B71AA" w:rsidP="006A1386">
            <w:pPr>
              <w:pStyle w:val="Sraopastraipa"/>
              <w:numPr>
                <w:ilvl w:val="0"/>
                <w:numId w:val="7"/>
              </w:numPr>
              <w:jc w:val="both"/>
              <w:rPr>
                <w:color w:val="FF0000"/>
                <w:szCs w:val="24"/>
              </w:rPr>
            </w:pPr>
            <w:r w:rsidRPr="007978F1">
              <w:rPr>
                <w:color w:val="FF0000"/>
                <w:szCs w:val="24"/>
              </w:rPr>
              <w:t>Susižalojimo dėl nukritimo atvejų skaičius (W00-W19) 65+ m. amžiaus grupėje 10 000 gyv.;</w:t>
            </w:r>
          </w:p>
          <w:p w14:paraId="23F49415" w14:textId="77777777" w:rsidR="002B71AA" w:rsidRPr="007978F1" w:rsidRDefault="002B71AA" w:rsidP="006A1386">
            <w:pPr>
              <w:pStyle w:val="Sraopastraipa"/>
              <w:numPr>
                <w:ilvl w:val="0"/>
                <w:numId w:val="7"/>
              </w:numPr>
              <w:jc w:val="both"/>
              <w:rPr>
                <w:color w:val="FF0000"/>
                <w:szCs w:val="24"/>
              </w:rPr>
            </w:pPr>
            <w:r w:rsidRPr="007978F1">
              <w:rPr>
                <w:color w:val="FF0000"/>
                <w:szCs w:val="24"/>
              </w:rPr>
              <w:t>Asmenų žuvusių ar sunkiai sužalotų dėl nelaimingų atsitikimų darbe, skaičius 10 000 darbingo amžiaus gyv.;</w:t>
            </w:r>
          </w:p>
          <w:p w14:paraId="78E1A079" w14:textId="77777777" w:rsidR="002B71AA" w:rsidRPr="007978F1" w:rsidRDefault="002B71AA" w:rsidP="006A1386">
            <w:pPr>
              <w:pStyle w:val="Sraopastraipa"/>
              <w:numPr>
                <w:ilvl w:val="0"/>
                <w:numId w:val="7"/>
              </w:numPr>
              <w:jc w:val="both"/>
              <w:rPr>
                <w:color w:val="FF0000"/>
                <w:szCs w:val="24"/>
              </w:rPr>
            </w:pPr>
            <w:r w:rsidRPr="007978F1">
              <w:rPr>
                <w:color w:val="FF0000"/>
                <w:szCs w:val="24"/>
              </w:rPr>
              <w:t>Sergamumas žarnyno infekcinėmis ligomis (A00-A08) 10 000 gyv.;</w:t>
            </w:r>
          </w:p>
          <w:p w14:paraId="02D640AA" w14:textId="77777777" w:rsidR="002B71AA" w:rsidRPr="007978F1" w:rsidRDefault="002B71AA" w:rsidP="006A1386">
            <w:pPr>
              <w:pStyle w:val="Sraopastraipa"/>
              <w:numPr>
                <w:ilvl w:val="0"/>
                <w:numId w:val="7"/>
              </w:numPr>
              <w:jc w:val="both"/>
              <w:rPr>
                <w:color w:val="FF0000"/>
                <w:szCs w:val="24"/>
              </w:rPr>
            </w:pPr>
            <w:r w:rsidRPr="007978F1">
              <w:rPr>
                <w:color w:val="FF0000"/>
                <w:szCs w:val="24"/>
              </w:rPr>
              <w:t>Į atmosferą iš stacionarių taršos šaltinių išmestų teršalų kiekis, tenkantis 1 kvadratiniam kilometrui;</w:t>
            </w:r>
          </w:p>
          <w:p w14:paraId="707B733A" w14:textId="77777777" w:rsidR="002B71AA" w:rsidRPr="007978F1" w:rsidRDefault="002B71AA" w:rsidP="006A1386">
            <w:pPr>
              <w:pStyle w:val="Sraopastraipa"/>
              <w:numPr>
                <w:ilvl w:val="0"/>
                <w:numId w:val="7"/>
              </w:numPr>
              <w:jc w:val="both"/>
              <w:rPr>
                <w:color w:val="FF0000"/>
                <w:szCs w:val="24"/>
              </w:rPr>
            </w:pPr>
            <w:r w:rsidRPr="007978F1">
              <w:rPr>
                <w:color w:val="FF0000"/>
                <w:szCs w:val="24"/>
              </w:rPr>
              <w:t>Gyventojų skaičius, tenkantis vienai licencijai verstis mažmenine prekyba alkoholiniais gėrimais;</w:t>
            </w:r>
          </w:p>
          <w:p w14:paraId="4B005E20" w14:textId="77777777" w:rsidR="002B71AA" w:rsidRPr="007978F1" w:rsidRDefault="002B71AA" w:rsidP="006A1386">
            <w:pPr>
              <w:pStyle w:val="Sraopastraipa"/>
              <w:numPr>
                <w:ilvl w:val="0"/>
                <w:numId w:val="7"/>
              </w:numPr>
              <w:jc w:val="both"/>
              <w:rPr>
                <w:color w:val="FF0000"/>
                <w:szCs w:val="24"/>
              </w:rPr>
            </w:pPr>
            <w:r w:rsidRPr="007978F1">
              <w:rPr>
                <w:color w:val="FF0000"/>
                <w:szCs w:val="24"/>
              </w:rPr>
              <w:t>Slaugytojų, tenkančių vienam gydytojui, skaičius;</w:t>
            </w:r>
          </w:p>
          <w:p w14:paraId="6827CB50" w14:textId="77777777" w:rsidR="002B71AA" w:rsidRPr="007978F1" w:rsidRDefault="002B71AA" w:rsidP="006A1386">
            <w:pPr>
              <w:pStyle w:val="Sraopastraipa"/>
              <w:numPr>
                <w:ilvl w:val="0"/>
                <w:numId w:val="7"/>
              </w:numPr>
              <w:jc w:val="both"/>
              <w:rPr>
                <w:color w:val="FF0000"/>
                <w:szCs w:val="24"/>
              </w:rPr>
            </w:pPr>
            <w:r w:rsidRPr="007978F1">
              <w:rPr>
                <w:color w:val="FF0000"/>
                <w:szCs w:val="24"/>
              </w:rPr>
              <w:t>Sergamumas ŽIV ir lytiškai plintančiomis ligomis (B20-B22, B23 (B23.0-B23.2, B23.8), B24, Z21, A50 (A50.0-A50.7, A50.9), A51-A53, A54 (A54.0-A54.6, A54.8-A54.9), A56 (A56.0-A56.4, A56.8)) 10 000 gyv.;</w:t>
            </w:r>
          </w:p>
          <w:p w14:paraId="59AFA629" w14:textId="77777777" w:rsidR="002B71AA" w:rsidRPr="00C84342" w:rsidRDefault="002B71AA" w:rsidP="006A1386">
            <w:pPr>
              <w:pStyle w:val="Sraopastraipa"/>
              <w:numPr>
                <w:ilvl w:val="0"/>
                <w:numId w:val="7"/>
              </w:numPr>
              <w:jc w:val="both"/>
              <w:rPr>
                <w:color w:val="FF0000"/>
                <w:szCs w:val="24"/>
              </w:rPr>
            </w:pPr>
            <w:r w:rsidRPr="00C84342">
              <w:rPr>
                <w:color w:val="FF0000"/>
                <w:szCs w:val="24"/>
              </w:rPr>
              <w:t>Sergamumas II tipo cukriniu diabetu (E11) 10 000 gyv.</w:t>
            </w:r>
          </w:p>
          <w:p w14:paraId="42865487" w14:textId="77777777" w:rsidR="002B71AA" w:rsidRPr="00C84342" w:rsidRDefault="002B71AA" w:rsidP="006A1386">
            <w:pPr>
              <w:jc w:val="both"/>
              <w:rPr>
                <w:szCs w:val="24"/>
              </w:rPr>
            </w:pPr>
          </w:p>
        </w:tc>
      </w:tr>
    </w:tbl>
    <w:p w14:paraId="3D2BF024" w14:textId="77777777" w:rsidR="00C93DF0" w:rsidRPr="00960FCF" w:rsidRDefault="00C93DF0" w:rsidP="00C93DF0">
      <w:pPr>
        <w:pStyle w:val="Antrat1"/>
        <w:spacing w:before="0"/>
        <w:ind w:firstLine="0"/>
        <w:jc w:val="center"/>
        <w:rPr>
          <w:rFonts w:eastAsiaTheme="minorHAnsi" w:cs="Times New Roman"/>
          <w:b w:val="0"/>
          <w:bCs w:val="0"/>
          <w:caps w:val="0"/>
          <w:color w:val="auto"/>
          <w:szCs w:val="24"/>
        </w:rPr>
      </w:pPr>
    </w:p>
    <w:p w14:paraId="3D2BF025" w14:textId="77777777" w:rsidR="00C93DF0" w:rsidRDefault="0085053E" w:rsidP="0085053E">
      <w:pPr>
        <w:pStyle w:val="Antrat1"/>
        <w:spacing w:before="0"/>
        <w:ind w:firstLine="0"/>
        <w:jc w:val="center"/>
      </w:pPr>
      <w:bookmarkStart w:id="14" w:name="_Toc26535198"/>
      <w:r>
        <w:t>K</w:t>
      </w:r>
      <w:r w:rsidR="00B66D82">
        <w:t>AUNO MIESTO SAVIVALDYBĖS PRIORITETINIŲ PROBLEMŲ ANALIZĖ</w:t>
      </w:r>
      <w:bookmarkEnd w:id="14"/>
    </w:p>
    <w:p w14:paraId="46FAF686" w14:textId="77777777" w:rsidR="00940EE7" w:rsidRPr="0085053E" w:rsidRDefault="00940EE7" w:rsidP="00940EE7">
      <w:pPr>
        <w:spacing w:after="0"/>
        <w:rPr>
          <w:rFonts w:cs="Times New Roman"/>
          <w:szCs w:val="24"/>
        </w:rPr>
      </w:pPr>
    </w:p>
    <w:p w14:paraId="24D04B19" w14:textId="77777777" w:rsidR="00940EE7" w:rsidRPr="00E92E3B" w:rsidRDefault="00940EE7" w:rsidP="00940EE7">
      <w:pPr>
        <w:spacing w:after="0"/>
        <w:jc w:val="both"/>
        <w:rPr>
          <w:rFonts w:cs="Times New Roman"/>
          <w:szCs w:val="24"/>
        </w:rPr>
      </w:pPr>
      <w:r w:rsidRPr="00E92E3B">
        <w:rPr>
          <w:rFonts w:cs="Times New Roman"/>
          <w:szCs w:val="24"/>
        </w:rPr>
        <w:tab/>
        <w:t>Kauno miesto savivaldybės visuo</w:t>
      </w:r>
      <w:r>
        <w:rPr>
          <w:rFonts w:cs="Times New Roman"/>
          <w:szCs w:val="24"/>
        </w:rPr>
        <w:t>menės sveikatos biuras iš visų pagrindinių</w:t>
      </w:r>
      <w:r w:rsidRPr="00E92E3B">
        <w:rPr>
          <w:rFonts w:cs="Times New Roman"/>
          <w:szCs w:val="24"/>
        </w:rPr>
        <w:t xml:space="preserve"> rodiklių</w:t>
      </w:r>
      <w:r>
        <w:rPr>
          <w:rFonts w:cs="Times New Roman"/>
          <w:szCs w:val="24"/>
        </w:rPr>
        <w:t xml:space="preserve"> savivaldybėje</w:t>
      </w:r>
      <w:r w:rsidRPr="00E92E3B">
        <w:rPr>
          <w:rFonts w:cs="Times New Roman"/>
          <w:szCs w:val="24"/>
        </w:rPr>
        <w:t>, kurie patenka į raudonąją grupę, detaliai analizei pasirinko prasčiausią Kauno miesto rodiklių situaciją rodančius rodiklius:</w:t>
      </w:r>
    </w:p>
    <w:p w14:paraId="65DDBE72" w14:textId="77777777" w:rsidR="00940EE7" w:rsidRPr="00E92E3B" w:rsidRDefault="00940EE7" w:rsidP="00940EE7">
      <w:pPr>
        <w:pStyle w:val="Sraopastraipa"/>
        <w:keepLines/>
        <w:numPr>
          <w:ilvl w:val="0"/>
          <w:numId w:val="10"/>
        </w:numPr>
        <w:spacing w:after="0"/>
        <w:jc w:val="both"/>
        <w:rPr>
          <w:rFonts w:cs="Times New Roman"/>
          <w:szCs w:val="24"/>
        </w:rPr>
      </w:pPr>
      <w:r w:rsidRPr="00E92E3B">
        <w:rPr>
          <w:rFonts w:cs="Times New Roman"/>
          <w:szCs w:val="24"/>
        </w:rPr>
        <w:t>Į atmosferą iš stacionarių taršos šaltinių išmestų teršalų k</w:t>
      </w:r>
      <w:r>
        <w:rPr>
          <w:rFonts w:cs="Times New Roman"/>
          <w:szCs w:val="24"/>
        </w:rPr>
        <w:t>iekis, tenkantis 1 kvadratiniam</w:t>
      </w:r>
      <w:r w:rsidRPr="00E92E3B">
        <w:rPr>
          <w:rFonts w:cs="Times New Roman"/>
          <w:szCs w:val="24"/>
        </w:rPr>
        <w:t xml:space="preserve"> kilometrui;</w:t>
      </w:r>
    </w:p>
    <w:p w14:paraId="0FF61639" w14:textId="77777777" w:rsidR="00940EE7" w:rsidRDefault="00940EE7" w:rsidP="00940EE7">
      <w:pPr>
        <w:pStyle w:val="Sraopastraipa"/>
        <w:keepLines/>
        <w:numPr>
          <w:ilvl w:val="0"/>
          <w:numId w:val="10"/>
        </w:numPr>
        <w:spacing w:after="0"/>
        <w:jc w:val="both"/>
        <w:rPr>
          <w:rFonts w:cs="Times New Roman"/>
          <w:szCs w:val="24"/>
        </w:rPr>
      </w:pPr>
      <w:r w:rsidRPr="00E92E3B">
        <w:rPr>
          <w:rFonts w:cs="Times New Roman"/>
          <w:szCs w:val="24"/>
        </w:rPr>
        <w:t>Sergamumas ŽIV ir lytiškai plintančiomis ligomis (B20-B22, B23 (B23.0-B23.2, B23.8), B24, Z21, A50 (A50.0-A50.7, A50.9), A51-A53, A54 (A54.0-A54.6, A54.8-A54.9), A56 (A56.0-A56.4, A56.8)) 10 000 gyv.;</w:t>
      </w:r>
    </w:p>
    <w:p w14:paraId="69323A7F" w14:textId="5FFC5436" w:rsidR="00940EE7" w:rsidRPr="00960FCF" w:rsidRDefault="00940EE7" w:rsidP="003E5B44">
      <w:pPr>
        <w:pStyle w:val="Sraopastraipa"/>
        <w:keepLines/>
        <w:numPr>
          <w:ilvl w:val="0"/>
          <w:numId w:val="10"/>
        </w:numPr>
        <w:spacing w:after="0"/>
        <w:jc w:val="both"/>
        <w:rPr>
          <w:b/>
        </w:rPr>
      </w:pPr>
      <w:r w:rsidRPr="00960FCF">
        <w:rPr>
          <w:rFonts w:cs="Times New Roman"/>
          <w:szCs w:val="24"/>
        </w:rPr>
        <w:t>Asmenų žuvusių ar sunkiai sužalotų dėl nelaimingų atsitikimų darbe, skaičius 10 000 darbingo amžiaus gyv.</w:t>
      </w:r>
      <w:r w:rsidR="005B20CA" w:rsidRPr="00960FCF">
        <w:rPr>
          <w:rFonts w:cs="Times New Roman"/>
          <w:szCs w:val="24"/>
        </w:rPr>
        <w:tab/>
      </w:r>
      <w:r w:rsidRPr="00960FCF">
        <w:rPr>
          <w:b/>
        </w:rPr>
        <w:br w:type="page"/>
      </w:r>
    </w:p>
    <w:p w14:paraId="3D2BF02C" w14:textId="1E4C1E47" w:rsidR="00B16B7E" w:rsidRPr="00B0301C" w:rsidRDefault="00B16B7E" w:rsidP="00B0301C">
      <w:pPr>
        <w:spacing w:after="0"/>
        <w:jc w:val="center"/>
        <w:rPr>
          <w:b/>
        </w:rPr>
      </w:pPr>
      <w:r w:rsidRPr="00B0301C">
        <w:rPr>
          <w:b/>
        </w:rPr>
        <w:lastRenderedPageBreak/>
        <w:t>Į atmosferą iš stacionarių taršos šaltinių išmestų teršalų k</w:t>
      </w:r>
      <w:r w:rsidR="00120551" w:rsidRPr="00B0301C">
        <w:rPr>
          <w:b/>
        </w:rPr>
        <w:t>iekis, tenkantis 1 kvadratiniam</w:t>
      </w:r>
      <w:r w:rsidRPr="00B0301C">
        <w:rPr>
          <w:b/>
        </w:rPr>
        <w:t xml:space="preserve"> kilometrui</w:t>
      </w:r>
    </w:p>
    <w:p w14:paraId="3D2BF02D" w14:textId="77777777" w:rsidR="0023188D" w:rsidRPr="0085053E" w:rsidRDefault="0023188D" w:rsidP="00E92E3B">
      <w:pPr>
        <w:spacing w:after="0"/>
        <w:rPr>
          <w:rFonts w:cs="Times New Roman"/>
          <w:szCs w:val="24"/>
        </w:rPr>
      </w:pPr>
    </w:p>
    <w:p w14:paraId="3D2BF02E" w14:textId="5990A64F" w:rsidR="00CA7EB5" w:rsidRPr="0097383C" w:rsidRDefault="00CA7EB5" w:rsidP="00E92E3B">
      <w:pPr>
        <w:spacing w:after="0"/>
        <w:ind w:firstLine="720"/>
        <w:jc w:val="both"/>
        <w:rPr>
          <w:rFonts w:cs="Times New Roman"/>
          <w:szCs w:val="24"/>
        </w:rPr>
      </w:pPr>
      <w:r w:rsidRPr="0097383C">
        <w:rPr>
          <w:rFonts w:cs="Times New Roman"/>
          <w:szCs w:val="24"/>
        </w:rPr>
        <w:t>Higienos instituto</w:t>
      </w:r>
      <w:r w:rsidR="0061026B" w:rsidRPr="0097383C">
        <w:rPr>
          <w:rFonts w:cs="Times New Roman"/>
          <w:szCs w:val="24"/>
        </w:rPr>
        <w:t xml:space="preserve"> sveikatos informacijos centro</w:t>
      </w:r>
      <w:r w:rsidRPr="0097383C">
        <w:rPr>
          <w:rFonts w:cs="Times New Roman"/>
          <w:szCs w:val="24"/>
        </w:rPr>
        <w:t xml:space="preserve"> duomenimis, 2015–201</w:t>
      </w:r>
      <w:r w:rsidR="00DF11A2" w:rsidRPr="0097383C">
        <w:rPr>
          <w:rFonts w:cs="Times New Roman"/>
          <w:szCs w:val="24"/>
        </w:rPr>
        <w:t>9</w:t>
      </w:r>
      <w:r w:rsidRPr="0097383C">
        <w:rPr>
          <w:rFonts w:cs="Times New Roman"/>
          <w:szCs w:val="24"/>
        </w:rPr>
        <w:t xml:space="preserve"> m. į atmosferą iš stacionarių taršos šaltinių išmetamų teršalų kiekis, tenkantis 1 </w:t>
      </w:r>
      <w:r w:rsidR="0069104E" w:rsidRPr="0097383C">
        <w:rPr>
          <w:rFonts w:cs="Times New Roman"/>
          <w:szCs w:val="24"/>
        </w:rPr>
        <w:t>km</w:t>
      </w:r>
      <w:r w:rsidR="0069104E" w:rsidRPr="0097383C">
        <w:rPr>
          <w:rFonts w:cs="Times New Roman"/>
          <w:szCs w:val="24"/>
          <w:vertAlign w:val="superscript"/>
        </w:rPr>
        <w:t>2</w:t>
      </w:r>
      <w:r w:rsidRPr="0097383C">
        <w:rPr>
          <w:rFonts w:cs="Times New Roman"/>
          <w:szCs w:val="24"/>
        </w:rPr>
        <w:t xml:space="preserve"> Lietuvoje buvo stabilus ir siekė apie </w:t>
      </w:r>
      <w:r w:rsidR="00CF12B4" w:rsidRPr="0097383C">
        <w:rPr>
          <w:rFonts w:cs="Times New Roman"/>
          <w:szCs w:val="24"/>
        </w:rPr>
        <w:t>970</w:t>
      </w:r>
      <w:r w:rsidRPr="0097383C">
        <w:rPr>
          <w:rFonts w:cs="Times New Roman"/>
          <w:szCs w:val="24"/>
        </w:rPr>
        <w:t>–1100</w:t>
      </w:r>
      <w:r w:rsidR="0069104E" w:rsidRPr="0097383C">
        <w:rPr>
          <w:rFonts w:cs="Times New Roman"/>
          <w:szCs w:val="24"/>
        </w:rPr>
        <w:t xml:space="preserve"> kg/km</w:t>
      </w:r>
      <w:r w:rsidR="0069104E" w:rsidRPr="0097383C">
        <w:rPr>
          <w:rFonts w:cs="Times New Roman"/>
          <w:szCs w:val="24"/>
          <w:vertAlign w:val="superscript"/>
        </w:rPr>
        <w:t>2</w:t>
      </w:r>
      <w:r w:rsidR="0069104E" w:rsidRPr="0097383C">
        <w:rPr>
          <w:rFonts w:cs="Times New Roman"/>
          <w:szCs w:val="24"/>
        </w:rPr>
        <w:t xml:space="preserve">. Tuo pačiu analizuojamu laikotarpiu Kauno mieste šis rodiklis stipriai viršijo Lietuvos rodiklį ir siekė apie </w:t>
      </w:r>
      <w:r w:rsidR="00797DA5" w:rsidRPr="0097383C">
        <w:rPr>
          <w:rFonts w:cs="Times New Roman"/>
          <w:szCs w:val="24"/>
        </w:rPr>
        <w:t>29</w:t>
      </w:r>
      <w:r w:rsidR="00183AD6">
        <w:rPr>
          <w:rFonts w:cs="Times New Roman"/>
          <w:szCs w:val="24"/>
        </w:rPr>
        <w:t>600</w:t>
      </w:r>
      <w:r w:rsidR="0069104E" w:rsidRPr="0097383C">
        <w:rPr>
          <w:rFonts w:cs="Times New Roman"/>
          <w:szCs w:val="24"/>
        </w:rPr>
        <w:t>–3</w:t>
      </w:r>
      <w:r w:rsidR="00FB02D8" w:rsidRPr="0097383C">
        <w:rPr>
          <w:rFonts w:cs="Times New Roman"/>
          <w:szCs w:val="24"/>
        </w:rPr>
        <w:t>53</w:t>
      </w:r>
      <w:r w:rsidR="0069104E" w:rsidRPr="0097383C">
        <w:rPr>
          <w:rFonts w:cs="Times New Roman"/>
          <w:szCs w:val="24"/>
        </w:rPr>
        <w:t>00 kg/km</w:t>
      </w:r>
      <w:r w:rsidR="0069104E" w:rsidRPr="0097383C">
        <w:rPr>
          <w:rFonts w:cs="Times New Roman"/>
          <w:szCs w:val="24"/>
          <w:vertAlign w:val="superscript"/>
        </w:rPr>
        <w:t>2</w:t>
      </w:r>
      <w:r w:rsidR="00797DA5" w:rsidRPr="0097383C">
        <w:rPr>
          <w:rFonts w:cs="Times New Roman"/>
          <w:szCs w:val="24"/>
        </w:rPr>
        <w:t>. 2019 m. stebimas</w:t>
      </w:r>
      <w:r w:rsidR="00CF12B4" w:rsidRPr="0097383C">
        <w:rPr>
          <w:rFonts w:cs="Times New Roman"/>
          <w:szCs w:val="24"/>
        </w:rPr>
        <w:t xml:space="preserve"> šio rodiklio sumažėjimas tiek Kaune, tiek Lietuvoje </w:t>
      </w:r>
      <w:r w:rsidR="004F3BC8" w:rsidRPr="0097383C">
        <w:rPr>
          <w:rFonts w:cs="Times New Roman"/>
          <w:szCs w:val="24"/>
        </w:rPr>
        <w:t>(5 pav.)</w:t>
      </w:r>
      <w:r w:rsidR="0069104E" w:rsidRPr="0097383C">
        <w:rPr>
          <w:rFonts w:cs="Times New Roman"/>
          <w:szCs w:val="24"/>
        </w:rPr>
        <w:t>.</w:t>
      </w:r>
      <w:r w:rsidR="00120551" w:rsidRPr="0097383C">
        <w:rPr>
          <w:rFonts w:cs="Times New Roman"/>
          <w:szCs w:val="24"/>
        </w:rPr>
        <w:t xml:space="preserve"> </w:t>
      </w:r>
    </w:p>
    <w:p w14:paraId="3D2BF02F" w14:textId="77777777" w:rsidR="003A1DFF" w:rsidRPr="0085053E" w:rsidRDefault="003A1DFF" w:rsidP="00E92E3B">
      <w:pPr>
        <w:spacing w:after="0"/>
        <w:ind w:firstLine="720"/>
        <w:jc w:val="both"/>
        <w:rPr>
          <w:rFonts w:cs="Times New Roman"/>
          <w:szCs w:val="24"/>
        </w:rPr>
      </w:pPr>
    </w:p>
    <w:p w14:paraId="3D2BF030" w14:textId="77777777" w:rsidR="00B16B7E" w:rsidRPr="00E92E3B" w:rsidRDefault="006B6835" w:rsidP="00E92E3B">
      <w:pPr>
        <w:spacing w:after="0"/>
        <w:jc w:val="center"/>
        <w:rPr>
          <w:rFonts w:cs="Times New Roman"/>
          <w:szCs w:val="24"/>
        </w:rPr>
      </w:pPr>
      <w:r w:rsidRPr="00E92E3B">
        <w:rPr>
          <w:rFonts w:cs="Times New Roman"/>
          <w:noProof/>
          <w:szCs w:val="24"/>
          <w:lang w:eastAsia="lt-LT"/>
        </w:rPr>
        <w:drawing>
          <wp:inline distT="0" distB="0" distL="0" distR="0" wp14:anchorId="3D2BF0A9" wp14:editId="7BF14515">
            <wp:extent cx="4880758" cy="1008000"/>
            <wp:effectExtent l="0" t="0" r="15240" b="1905"/>
            <wp:docPr id="2"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D2BF031" w14:textId="19F3F3F4" w:rsidR="008122C6" w:rsidRPr="00183AD6" w:rsidRDefault="00F23AEC" w:rsidP="00E92E3B">
      <w:pPr>
        <w:spacing w:after="0"/>
        <w:jc w:val="center"/>
        <w:rPr>
          <w:rFonts w:cs="Times New Roman"/>
          <w:szCs w:val="24"/>
        </w:rPr>
      </w:pPr>
      <w:r>
        <w:rPr>
          <w:rFonts w:cs="Times New Roman"/>
          <w:szCs w:val="24"/>
        </w:rPr>
        <w:t xml:space="preserve">5 pav. </w:t>
      </w:r>
      <w:r w:rsidR="008122C6" w:rsidRPr="00E92E3B">
        <w:rPr>
          <w:rFonts w:cs="Times New Roman"/>
          <w:szCs w:val="24"/>
        </w:rPr>
        <w:t>Į atmosferą iš stacionarių taršos šaltinių išmestų te</w:t>
      </w:r>
      <w:r w:rsidR="00120551" w:rsidRPr="00E92E3B">
        <w:rPr>
          <w:rFonts w:cs="Times New Roman"/>
          <w:szCs w:val="24"/>
        </w:rPr>
        <w:t>ršalų kiekis, tenkantis 1 km</w:t>
      </w:r>
      <w:r w:rsidR="00120551" w:rsidRPr="00E92E3B">
        <w:rPr>
          <w:rFonts w:cs="Times New Roman"/>
          <w:szCs w:val="24"/>
          <w:vertAlign w:val="superscript"/>
        </w:rPr>
        <w:t>2</w:t>
      </w:r>
      <w:r w:rsidR="00183AD6">
        <w:rPr>
          <w:rFonts w:cs="Times New Roman"/>
          <w:szCs w:val="24"/>
          <w:vertAlign w:val="superscript"/>
        </w:rPr>
        <w:t xml:space="preserve"> </w:t>
      </w:r>
      <w:r w:rsidR="00183AD6">
        <w:rPr>
          <w:rFonts w:cs="Times New Roman"/>
          <w:szCs w:val="24"/>
        </w:rPr>
        <w:t>2015–2019 m.</w:t>
      </w:r>
      <w:r w:rsidR="0087197E">
        <w:rPr>
          <w:rFonts w:cs="Times New Roman"/>
          <w:szCs w:val="24"/>
        </w:rPr>
        <w:t xml:space="preserve"> Kauno mieste ir Lietuvoje</w:t>
      </w:r>
    </w:p>
    <w:p w14:paraId="3D2BF032" w14:textId="77777777" w:rsidR="0023188D" w:rsidRPr="00E92E3B" w:rsidRDefault="0023188D" w:rsidP="00E92E3B">
      <w:pPr>
        <w:pStyle w:val="Sraopastraipa"/>
        <w:spacing w:after="0"/>
        <w:jc w:val="right"/>
        <w:rPr>
          <w:rFonts w:cs="Times New Roman"/>
          <w:i/>
          <w:szCs w:val="24"/>
        </w:rPr>
      </w:pPr>
      <w:r w:rsidRPr="00E92E3B">
        <w:rPr>
          <w:rFonts w:cs="Times New Roman"/>
          <w:i/>
          <w:szCs w:val="24"/>
        </w:rPr>
        <w:t>Šaltinis: Higienos instituto sveikatos informacijos centras</w:t>
      </w:r>
    </w:p>
    <w:p w14:paraId="3D2BF033" w14:textId="77777777" w:rsidR="003E53D2" w:rsidRPr="0085053E" w:rsidRDefault="003E53D2" w:rsidP="00E92E3B">
      <w:pPr>
        <w:spacing w:after="0"/>
        <w:jc w:val="both"/>
        <w:rPr>
          <w:rFonts w:cs="Times New Roman"/>
          <w:szCs w:val="24"/>
        </w:rPr>
      </w:pPr>
    </w:p>
    <w:p w14:paraId="3D2BF034" w14:textId="6FFD35B3" w:rsidR="002D2791" w:rsidRPr="00E92E3B" w:rsidRDefault="002D2791" w:rsidP="00E92E3B">
      <w:pPr>
        <w:spacing w:after="0"/>
        <w:ind w:firstLine="720"/>
        <w:jc w:val="both"/>
        <w:rPr>
          <w:rFonts w:cs="Times New Roman"/>
          <w:szCs w:val="24"/>
        </w:rPr>
      </w:pPr>
      <w:r w:rsidRPr="00E92E3B">
        <w:rPr>
          <w:rFonts w:cs="Times New Roman"/>
          <w:szCs w:val="24"/>
        </w:rPr>
        <w:t xml:space="preserve">Statistikos departamento duomenimis, daugiausiai </w:t>
      </w:r>
      <w:r w:rsidR="00BC1306" w:rsidRPr="00E92E3B">
        <w:rPr>
          <w:rFonts w:cs="Times New Roman"/>
          <w:szCs w:val="24"/>
        </w:rPr>
        <w:t>201</w:t>
      </w:r>
      <w:r w:rsidR="003929CC">
        <w:rPr>
          <w:rFonts w:cs="Times New Roman"/>
          <w:szCs w:val="24"/>
        </w:rPr>
        <w:t>9</w:t>
      </w:r>
      <w:r w:rsidR="00BC1306" w:rsidRPr="00E92E3B">
        <w:rPr>
          <w:rFonts w:cs="Times New Roman"/>
          <w:szCs w:val="24"/>
        </w:rPr>
        <w:t xml:space="preserve"> m. </w:t>
      </w:r>
      <w:r w:rsidRPr="00E92E3B">
        <w:rPr>
          <w:rFonts w:cs="Times New Roman"/>
          <w:szCs w:val="24"/>
        </w:rPr>
        <w:t>L</w:t>
      </w:r>
      <w:r w:rsidR="00BC1306" w:rsidRPr="00E92E3B">
        <w:rPr>
          <w:rFonts w:cs="Times New Roman"/>
          <w:szCs w:val="24"/>
        </w:rPr>
        <w:t xml:space="preserve">ietuvoje, taip pat ir Kauno mieste, </w:t>
      </w:r>
      <w:r w:rsidRPr="00E92E3B">
        <w:rPr>
          <w:rFonts w:cs="Times New Roman"/>
          <w:szCs w:val="24"/>
        </w:rPr>
        <w:t xml:space="preserve">išmestų į aplinkos orą iš stacionarių taršos šaltinių buvo dujinių ir skystųjų medžiagų, </w:t>
      </w:r>
      <w:r w:rsidR="00CD3BD9">
        <w:rPr>
          <w:rFonts w:cs="Times New Roman"/>
          <w:szCs w:val="24"/>
        </w:rPr>
        <w:t xml:space="preserve">anglies monoksido </w:t>
      </w:r>
      <w:r w:rsidR="00505E7B">
        <w:rPr>
          <w:rFonts w:cs="Times New Roman"/>
          <w:szCs w:val="24"/>
        </w:rPr>
        <w:t xml:space="preserve">bei </w:t>
      </w:r>
      <w:r w:rsidRPr="00E92E3B">
        <w:rPr>
          <w:rFonts w:cs="Times New Roman"/>
          <w:szCs w:val="24"/>
        </w:rPr>
        <w:t xml:space="preserve">lakių organinių junginių </w:t>
      </w:r>
      <w:r w:rsidR="00F23AEC">
        <w:rPr>
          <w:rFonts w:cs="Times New Roman"/>
          <w:szCs w:val="24"/>
        </w:rPr>
        <w:t>(</w:t>
      </w:r>
      <w:r w:rsidR="005107AB">
        <w:rPr>
          <w:rFonts w:cs="Times New Roman"/>
          <w:szCs w:val="24"/>
        </w:rPr>
        <w:t>7</w:t>
      </w:r>
      <w:r w:rsidR="00F23AEC">
        <w:rPr>
          <w:rFonts w:cs="Times New Roman"/>
          <w:szCs w:val="24"/>
        </w:rPr>
        <w:t xml:space="preserve"> lentelė)</w:t>
      </w:r>
      <w:r w:rsidR="00BC1306" w:rsidRPr="00E92E3B">
        <w:rPr>
          <w:rFonts w:cs="Times New Roman"/>
          <w:szCs w:val="24"/>
        </w:rPr>
        <w:t>.</w:t>
      </w:r>
    </w:p>
    <w:p w14:paraId="3D2BF035" w14:textId="77777777" w:rsidR="00BC1306" w:rsidRPr="0085053E" w:rsidRDefault="00BC1306" w:rsidP="00B66D82">
      <w:pPr>
        <w:spacing w:after="0"/>
        <w:jc w:val="both"/>
        <w:rPr>
          <w:rFonts w:cs="Times New Roman"/>
          <w:szCs w:val="24"/>
        </w:rPr>
      </w:pPr>
    </w:p>
    <w:p w14:paraId="3D2BF036" w14:textId="430029EB" w:rsidR="00CD7BE5" w:rsidRPr="00E92E3B" w:rsidRDefault="005107AB" w:rsidP="00E92E3B">
      <w:pPr>
        <w:spacing w:after="0"/>
        <w:jc w:val="right"/>
        <w:rPr>
          <w:rFonts w:cs="Times New Roman"/>
          <w:szCs w:val="24"/>
        </w:rPr>
      </w:pPr>
      <w:r>
        <w:rPr>
          <w:rFonts w:cs="Times New Roman"/>
          <w:szCs w:val="24"/>
        </w:rPr>
        <w:t>7</w:t>
      </w:r>
      <w:r w:rsidR="00CD7BE5" w:rsidRPr="00E92E3B">
        <w:rPr>
          <w:rFonts w:cs="Times New Roman"/>
          <w:szCs w:val="24"/>
        </w:rPr>
        <w:t xml:space="preserve"> lentelė Ter</w:t>
      </w:r>
      <w:r w:rsidR="00AB1A6D">
        <w:rPr>
          <w:rFonts w:cs="Times New Roman"/>
          <w:szCs w:val="24"/>
        </w:rPr>
        <w:t>šalai išmetami</w:t>
      </w:r>
      <w:r w:rsidR="002D2791" w:rsidRPr="00E92E3B">
        <w:rPr>
          <w:rFonts w:cs="Times New Roman"/>
          <w:szCs w:val="24"/>
        </w:rPr>
        <w:t xml:space="preserve"> į aplinkos orą iš stacionarių</w:t>
      </w:r>
      <w:r w:rsidR="0088019D">
        <w:rPr>
          <w:rFonts w:cs="Times New Roman"/>
          <w:szCs w:val="24"/>
        </w:rPr>
        <w:t xml:space="preserve"> šaltinių</w:t>
      </w:r>
      <w:r w:rsidR="002D2791" w:rsidRPr="00E92E3B">
        <w:rPr>
          <w:rFonts w:cs="Times New Roman"/>
          <w:szCs w:val="24"/>
        </w:rPr>
        <w:t xml:space="preserve"> Lietuvoj</w:t>
      </w:r>
      <w:r w:rsidR="00FF42D6">
        <w:rPr>
          <w:rFonts w:cs="Times New Roman"/>
          <w:szCs w:val="24"/>
        </w:rPr>
        <w:t>e ir Kauno mieste 201</w:t>
      </w:r>
      <w:r w:rsidR="003929CC">
        <w:rPr>
          <w:rFonts w:cs="Times New Roman"/>
          <w:szCs w:val="24"/>
        </w:rPr>
        <w:t>9</w:t>
      </w:r>
      <w:r w:rsidR="00FF42D6">
        <w:rPr>
          <w:rFonts w:cs="Times New Roman"/>
          <w:szCs w:val="24"/>
        </w:rPr>
        <w:t xml:space="preserve"> m., </w:t>
      </w:r>
      <w:r w:rsidR="0088019D">
        <w:rPr>
          <w:rFonts w:cs="Times New Roman"/>
          <w:szCs w:val="24"/>
        </w:rPr>
        <w:t>t</w:t>
      </w:r>
    </w:p>
    <w:tbl>
      <w:tblPr>
        <w:tblStyle w:val="4tinkleliolentel3parykinimas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243"/>
        <w:gridCol w:w="1243"/>
        <w:gridCol w:w="1185"/>
        <w:gridCol w:w="1182"/>
        <w:gridCol w:w="1363"/>
        <w:gridCol w:w="1190"/>
        <w:gridCol w:w="1341"/>
      </w:tblGrid>
      <w:tr w:rsidR="00CD7BE5" w:rsidRPr="00E92E3B" w14:paraId="3D2BF03F" w14:textId="77777777" w:rsidTr="00387739">
        <w:trPr>
          <w:cnfStyle w:val="100000000000" w:firstRow="1" w:lastRow="0" w:firstColumn="0" w:lastColumn="0" w:oddVBand="0" w:evenVBand="0" w:oddHBand="0" w:evenHBand="0" w:firstRowFirstColumn="0" w:firstRowLastColumn="0" w:lastRowFirstColumn="0" w:lastRowLastColumn="0"/>
          <w:trHeight w:val="651"/>
          <w:jc w:val="center"/>
        </w:trPr>
        <w:tc>
          <w:tcPr>
            <w:cnfStyle w:val="001000000000" w:firstRow="0" w:lastRow="0" w:firstColumn="1" w:lastColumn="0" w:oddVBand="0" w:evenVBand="0" w:oddHBand="0" w:evenHBand="0" w:firstRowFirstColumn="0" w:firstRowLastColumn="0" w:lastRowFirstColumn="0" w:lastRowLastColumn="0"/>
            <w:tcW w:w="1163" w:type="dxa"/>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14:paraId="3D2BF037" w14:textId="77777777" w:rsidR="00CD7BE5" w:rsidRPr="00E92E3B" w:rsidRDefault="00CD7BE5" w:rsidP="00387739">
            <w:pPr>
              <w:jc w:val="center"/>
              <w:rPr>
                <w:rFonts w:cs="Times New Roman"/>
                <w:b w:val="0"/>
                <w:color w:val="auto"/>
                <w:szCs w:val="24"/>
              </w:rPr>
            </w:pPr>
            <w:r w:rsidRPr="00E92E3B">
              <w:rPr>
                <w:rFonts w:cs="Times New Roman"/>
                <w:b w:val="0"/>
                <w:color w:val="auto"/>
                <w:szCs w:val="24"/>
              </w:rPr>
              <w:t>Vietovė</w:t>
            </w:r>
          </w:p>
        </w:tc>
        <w:tc>
          <w:tcPr>
            <w:tcW w:w="1243" w:type="dxa"/>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14:paraId="3D2BF038" w14:textId="77777777" w:rsidR="00CD7BE5" w:rsidRPr="00E92E3B" w:rsidRDefault="00CD7BE5" w:rsidP="00387739">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Cs w:val="24"/>
              </w:rPr>
            </w:pPr>
            <w:r w:rsidRPr="00E92E3B">
              <w:rPr>
                <w:rFonts w:cs="Times New Roman"/>
                <w:b w:val="0"/>
                <w:color w:val="auto"/>
                <w:szCs w:val="24"/>
              </w:rPr>
              <w:t>Kietosios medžiagos</w:t>
            </w:r>
          </w:p>
        </w:tc>
        <w:tc>
          <w:tcPr>
            <w:tcW w:w="1243" w:type="dxa"/>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14:paraId="3D2BF039" w14:textId="77777777" w:rsidR="00CD7BE5" w:rsidRPr="00E92E3B" w:rsidRDefault="00CD7BE5" w:rsidP="00387739">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Cs w:val="24"/>
              </w:rPr>
            </w:pPr>
            <w:r w:rsidRPr="00E92E3B">
              <w:rPr>
                <w:rFonts w:cs="Times New Roman"/>
                <w:b w:val="0"/>
                <w:color w:val="auto"/>
                <w:szCs w:val="24"/>
              </w:rPr>
              <w:t>Dujinės ir skystosios medžiagos</w:t>
            </w:r>
          </w:p>
        </w:tc>
        <w:tc>
          <w:tcPr>
            <w:tcW w:w="1185" w:type="dxa"/>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14:paraId="3D2BF03A" w14:textId="77777777" w:rsidR="00CD7BE5" w:rsidRPr="00E92E3B" w:rsidRDefault="00CD7BE5" w:rsidP="00387739">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Cs w:val="24"/>
              </w:rPr>
            </w:pPr>
            <w:r w:rsidRPr="00E92E3B">
              <w:rPr>
                <w:rFonts w:cs="Times New Roman"/>
                <w:b w:val="0"/>
                <w:color w:val="auto"/>
                <w:szCs w:val="24"/>
              </w:rPr>
              <w:t>Sieros dioksidas</w:t>
            </w:r>
          </w:p>
        </w:tc>
        <w:tc>
          <w:tcPr>
            <w:tcW w:w="1182" w:type="dxa"/>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14:paraId="3D2BF03B" w14:textId="77777777" w:rsidR="00CD7BE5" w:rsidRPr="00E92E3B" w:rsidRDefault="00CD7BE5" w:rsidP="00387739">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Cs w:val="24"/>
              </w:rPr>
            </w:pPr>
            <w:r w:rsidRPr="00E92E3B">
              <w:rPr>
                <w:rFonts w:cs="Times New Roman"/>
                <w:b w:val="0"/>
                <w:color w:val="auto"/>
                <w:szCs w:val="24"/>
              </w:rPr>
              <w:t>Azoto oksidai</w:t>
            </w:r>
          </w:p>
        </w:tc>
        <w:tc>
          <w:tcPr>
            <w:tcW w:w="1363" w:type="dxa"/>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14:paraId="3D2BF03C" w14:textId="77777777" w:rsidR="00CD7BE5" w:rsidRPr="00E92E3B" w:rsidRDefault="00CD7BE5" w:rsidP="00387739">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Cs w:val="24"/>
              </w:rPr>
            </w:pPr>
            <w:r w:rsidRPr="00E92E3B">
              <w:rPr>
                <w:rFonts w:cs="Times New Roman"/>
                <w:b w:val="0"/>
                <w:color w:val="auto"/>
                <w:szCs w:val="24"/>
              </w:rPr>
              <w:t>Anglies monoksidas</w:t>
            </w:r>
          </w:p>
        </w:tc>
        <w:tc>
          <w:tcPr>
            <w:tcW w:w="1190" w:type="dxa"/>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14:paraId="3D2BF03D" w14:textId="77777777" w:rsidR="00CD7BE5" w:rsidRPr="00E92E3B" w:rsidRDefault="00CD7BE5" w:rsidP="00387739">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Cs w:val="24"/>
              </w:rPr>
            </w:pPr>
            <w:r w:rsidRPr="00E92E3B">
              <w:rPr>
                <w:rFonts w:cs="Times New Roman"/>
                <w:b w:val="0"/>
                <w:color w:val="auto"/>
                <w:szCs w:val="24"/>
              </w:rPr>
              <w:t>Lakūs organiniai junginiai</w:t>
            </w:r>
          </w:p>
        </w:tc>
        <w:tc>
          <w:tcPr>
            <w:tcW w:w="1341" w:type="dxa"/>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14:paraId="3D2BF03E" w14:textId="77777777" w:rsidR="00CD7BE5" w:rsidRPr="00E92E3B" w:rsidRDefault="00CD7BE5" w:rsidP="00387739">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Cs w:val="24"/>
              </w:rPr>
            </w:pPr>
            <w:r w:rsidRPr="00E92E3B">
              <w:rPr>
                <w:rFonts w:cs="Times New Roman"/>
                <w:b w:val="0"/>
                <w:color w:val="auto"/>
                <w:szCs w:val="24"/>
              </w:rPr>
              <w:t>Fluoras ir kt. teršalai</w:t>
            </w:r>
          </w:p>
        </w:tc>
      </w:tr>
      <w:tr w:rsidR="00CD7BE5" w:rsidRPr="00E92E3B" w14:paraId="3D2BF048" w14:textId="77777777" w:rsidTr="00D851D0">
        <w:trPr>
          <w:cnfStyle w:val="000000100000" w:firstRow="0" w:lastRow="0" w:firstColumn="0" w:lastColumn="0" w:oddVBand="0" w:evenVBand="0" w:oddHBand="1" w:evenHBand="0" w:firstRowFirstColumn="0" w:firstRowLastColumn="0" w:lastRowFirstColumn="0" w:lastRowLastColumn="0"/>
          <w:trHeight w:val="77"/>
          <w:jc w:val="center"/>
        </w:trPr>
        <w:tc>
          <w:tcPr>
            <w:cnfStyle w:val="001000000000" w:firstRow="0" w:lastRow="0" w:firstColumn="1" w:lastColumn="0" w:oddVBand="0" w:evenVBand="0" w:oddHBand="0" w:evenHBand="0" w:firstRowFirstColumn="0" w:firstRowLastColumn="0" w:lastRowFirstColumn="0" w:lastRowLastColumn="0"/>
            <w:tcW w:w="1163" w:type="dxa"/>
            <w:shd w:val="clear" w:color="auto" w:fill="auto"/>
            <w:vAlign w:val="center"/>
          </w:tcPr>
          <w:p w14:paraId="3D2BF040" w14:textId="77777777" w:rsidR="00CD7BE5" w:rsidRPr="00E92E3B" w:rsidRDefault="00CD7BE5" w:rsidP="00387739">
            <w:pPr>
              <w:jc w:val="center"/>
              <w:rPr>
                <w:rFonts w:cs="Times New Roman"/>
                <w:b w:val="0"/>
                <w:szCs w:val="24"/>
              </w:rPr>
            </w:pPr>
            <w:r w:rsidRPr="00E92E3B">
              <w:rPr>
                <w:rFonts w:cs="Times New Roman"/>
                <w:b w:val="0"/>
                <w:szCs w:val="24"/>
              </w:rPr>
              <w:t>Kauno m.</w:t>
            </w:r>
          </w:p>
        </w:tc>
        <w:tc>
          <w:tcPr>
            <w:tcW w:w="1243" w:type="dxa"/>
            <w:shd w:val="clear" w:color="auto" w:fill="auto"/>
            <w:vAlign w:val="center"/>
          </w:tcPr>
          <w:p w14:paraId="3D2BF041" w14:textId="43B31083" w:rsidR="00CD7BE5" w:rsidRPr="00E92E3B" w:rsidRDefault="00ED08A4" w:rsidP="0038773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144,99</w:t>
            </w:r>
          </w:p>
        </w:tc>
        <w:tc>
          <w:tcPr>
            <w:tcW w:w="1243" w:type="dxa"/>
            <w:shd w:val="clear" w:color="auto" w:fill="auto"/>
            <w:vAlign w:val="center"/>
          </w:tcPr>
          <w:p w14:paraId="3D2BF042" w14:textId="4EEAE61D" w:rsidR="00CD7BE5" w:rsidRPr="00E92E3B" w:rsidRDefault="00ED08A4" w:rsidP="0038773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4500,15</w:t>
            </w:r>
          </w:p>
        </w:tc>
        <w:tc>
          <w:tcPr>
            <w:tcW w:w="1185" w:type="dxa"/>
            <w:shd w:val="clear" w:color="auto" w:fill="auto"/>
            <w:vAlign w:val="center"/>
          </w:tcPr>
          <w:p w14:paraId="3D2BF043" w14:textId="2119C34E" w:rsidR="00CD7BE5" w:rsidRPr="00E92E3B" w:rsidRDefault="00E353DD" w:rsidP="0038773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46,58</w:t>
            </w:r>
          </w:p>
        </w:tc>
        <w:tc>
          <w:tcPr>
            <w:tcW w:w="1182" w:type="dxa"/>
            <w:shd w:val="clear" w:color="auto" w:fill="auto"/>
            <w:vAlign w:val="center"/>
          </w:tcPr>
          <w:p w14:paraId="3D2BF044" w14:textId="61D474B0" w:rsidR="00CD7BE5" w:rsidRPr="00E92E3B" w:rsidRDefault="00E353DD" w:rsidP="0038773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787,84</w:t>
            </w:r>
          </w:p>
        </w:tc>
        <w:tc>
          <w:tcPr>
            <w:tcW w:w="1363" w:type="dxa"/>
            <w:shd w:val="clear" w:color="auto" w:fill="auto"/>
            <w:vAlign w:val="center"/>
          </w:tcPr>
          <w:p w14:paraId="3D2BF045" w14:textId="64073AC7" w:rsidR="00CD7BE5" w:rsidRPr="00E92E3B" w:rsidRDefault="00E353DD" w:rsidP="0038773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2 764,86</w:t>
            </w:r>
          </w:p>
        </w:tc>
        <w:tc>
          <w:tcPr>
            <w:tcW w:w="1190" w:type="dxa"/>
            <w:shd w:val="clear" w:color="auto" w:fill="auto"/>
            <w:vAlign w:val="center"/>
          </w:tcPr>
          <w:p w14:paraId="3D2BF046" w14:textId="141C2150" w:rsidR="00CD7BE5" w:rsidRPr="00E92E3B" w:rsidRDefault="00E353DD" w:rsidP="0038773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886,48</w:t>
            </w:r>
          </w:p>
        </w:tc>
        <w:tc>
          <w:tcPr>
            <w:tcW w:w="1341" w:type="dxa"/>
            <w:shd w:val="clear" w:color="auto" w:fill="auto"/>
            <w:vAlign w:val="center"/>
          </w:tcPr>
          <w:p w14:paraId="3D2BF047" w14:textId="0518A7D3" w:rsidR="00CD7BE5" w:rsidRPr="00E92E3B" w:rsidRDefault="00E353DD" w:rsidP="0038773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14,39</w:t>
            </w:r>
          </w:p>
        </w:tc>
      </w:tr>
      <w:tr w:rsidR="00CD7BE5" w:rsidRPr="00E92E3B" w14:paraId="3D2BF051" w14:textId="77777777" w:rsidTr="00D851D0">
        <w:trPr>
          <w:trHeight w:val="77"/>
          <w:jc w:val="center"/>
        </w:trPr>
        <w:tc>
          <w:tcPr>
            <w:cnfStyle w:val="001000000000" w:firstRow="0" w:lastRow="0" w:firstColumn="1" w:lastColumn="0" w:oddVBand="0" w:evenVBand="0" w:oddHBand="0" w:evenHBand="0" w:firstRowFirstColumn="0" w:firstRowLastColumn="0" w:lastRowFirstColumn="0" w:lastRowLastColumn="0"/>
            <w:tcW w:w="1163" w:type="dxa"/>
            <w:shd w:val="clear" w:color="auto" w:fill="auto"/>
            <w:vAlign w:val="center"/>
          </w:tcPr>
          <w:p w14:paraId="3D2BF049" w14:textId="77777777" w:rsidR="00CD7BE5" w:rsidRPr="00E92E3B" w:rsidRDefault="00CD7BE5" w:rsidP="00387739">
            <w:pPr>
              <w:jc w:val="center"/>
              <w:rPr>
                <w:rFonts w:cs="Times New Roman"/>
                <w:b w:val="0"/>
                <w:szCs w:val="24"/>
              </w:rPr>
            </w:pPr>
            <w:r w:rsidRPr="00E92E3B">
              <w:rPr>
                <w:rFonts w:cs="Times New Roman"/>
                <w:b w:val="0"/>
                <w:szCs w:val="24"/>
              </w:rPr>
              <w:t>Lietuva</w:t>
            </w:r>
          </w:p>
        </w:tc>
        <w:tc>
          <w:tcPr>
            <w:tcW w:w="1243" w:type="dxa"/>
            <w:shd w:val="clear" w:color="auto" w:fill="auto"/>
            <w:vAlign w:val="center"/>
          </w:tcPr>
          <w:p w14:paraId="3D2BF04A" w14:textId="7ADEA341" w:rsidR="00CD7BE5" w:rsidRPr="00E92E3B" w:rsidRDefault="00CF7C87" w:rsidP="0038773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3 382,69</w:t>
            </w:r>
          </w:p>
        </w:tc>
        <w:tc>
          <w:tcPr>
            <w:tcW w:w="1243" w:type="dxa"/>
            <w:shd w:val="clear" w:color="auto" w:fill="auto"/>
            <w:vAlign w:val="center"/>
          </w:tcPr>
          <w:p w14:paraId="3D2BF04B" w14:textId="71F7BD1E" w:rsidR="00CD7BE5" w:rsidRPr="00E92E3B" w:rsidRDefault="00CF7C87" w:rsidP="0038773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59 915,61</w:t>
            </w:r>
          </w:p>
        </w:tc>
        <w:tc>
          <w:tcPr>
            <w:tcW w:w="1185" w:type="dxa"/>
            <w:shd w:val="clear" w:color="auto" w:fill="auto"/>
            <w:vAlign w:val="center"/>
          </w:tcPr>
          <w:p w14:paraId="3D2BF04C" w14:textId="01D20379" w:rsidR="00CD7BE5" w:rsidRPr="00E92E3B" w:rsidRDefault="00CF7C87" w:rsidP="0038773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9 962,44</w:t>
            </w:r>
          </w:p>
        </w:tc>
        <w:tc>
          <w:tcPr>
            <w:tcW w:w="1182" w:type="dxa"/>
            <w:shd w:val="clear" w:color="auto" w:fill="auto"/>
            <w:vAlign w:val="center"/>
          </w:tcPr>
          <w:p w14:paraId="3D2BF04D" w14:textId="50AC354F" w:rsidR="00CD7BE5" w:rsidRPr="00E92E3B" w:rsidRDefault="00CF7C87" w:rsidP="0038773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8 653,92</w:t>
            </w:r>
          </w:p>
        </w:tc>
        <w:tc>
          <w:tcPr>
            <w:tcW w:w="1363" w:type="dxa"/>
            <w:shd w:val="clear" w:color="auto" w:fill="auto"/>
            <w:vAlign w:val="center"/>
          </w:tcPr>
          <w:p w14:paraId="3D2BF04E" w14:textId="1664DF29" w:rsidR="00CD7BE5" w:rsidRPr="00E92E3B" w:rsidRDefault="003929CC" w:rsidP="0038773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23 696,12</w:t>
            </w:r>
          </w:p>
        </w:tc>
        <w:tc>
          <w:tcPr>
            <w:tcW w:w="1190" w:type="dxa"/>
            <w:shd w:val="clear" w:color="auto" w:fill="auto"/>
            <w:vAlign w:val="center"/>
          </w:tcPr>
          <w:p w14:paraId="3D2BF04F" w14:textId="71394AA2" w:rsidR="00CD7BE5" w:rsidRPr="00E92E3B" w:rsidRDefault="003929CC" w:rsidP="0038773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14 148,78</w:t>
            </w:r>
          </w:p>
        </w:tc>
        <w:tc>
          <w:tcPr>
            <w:tcW w:w="1341" w:type="dxa"/>
            <w:shd w:val="clear" w:color="auto" w:fill="auto"/>
            <w:vAlign w:val="center"/>
          </w:tcPr>
          <w:p w14:paraId="3D2BF050" w14:textId="28DEE411" w:rsidR="00CD7BE5" w:rsidRPr="00E92E3B" w:rsidRDefault="003929CC" w:rsidP="0038773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3 454,35</w:t>
            </w:r>
          </w:p>
        </w:tc>
      </w:tr>
    </w:tbl>
    <w:p w14:paraId="3D2BF052" w14:textId="77777777" w:rsidR="002D2791" w:rsidRPr="00E92E3B" w:rsidRDefault="002D2791" w:rsidP="00E92E3B">
      <w:pPr>
        <w:suppressAutoHyphens/>
        <w:autoSpaceDN w:val="0"/>
        <w:spacing w:after="0"/>
        <w:ind w:firstLine="1298"/>
        <w:jc w:val="right"/>
        <w:textAlignment w:val="baseline"/>
        <w:rPr>
          <w:rFonts w:eastAsia="Calibri" w:cs="Times New Roman"/>
          <w:i/>
          <w:szCs w:val="24"/>
        </w:rPr>
      </w:pPr>
      <w:r w:rsidRPr="00E92E3B">
        <w:rPr>
          <w:rFonts w:eastAsia="Calibri" w:cs="Times New Roman"/>
          <w:i/>
          <w:szCs w:val="24"/>
        </w:rPr>
        <w:t xml:space="preserve">Šaltinis: </w:t>
      </w:r>
      <w:r w:rsidRPr="00E92E3B">
        <w:rPr>
          <w:rFonts w:cs="Times New Roman"/>
          <w:i/>
          <w:szCs w:val="24"/>
        </w:rPr>
        <w:t>Lietuvos statistikos departamentas</w:t>
      </w:r>
    </w:p>
    <w:p w14:paraId="3D2BF053" w14:textId="77777777" w:rsidR="00B16B7E" w:rsidRPr="0085053E" w:rsidRDefault="00B16B7E" w:rsidP="00E92E3B">
      <w:pPr>
        <w:spacing w:after="0"/>
        <w:rPr>
          <w:rFonts w:cs="Times New Roman"/>
          <w:szCs w:val="24"/>
        </w:rPr>
      </w:pPr>
    </w:p>
    <w:p w14:paraId="3D2BF054" w14:textId="77777777" w:rsidR="00CD1A27" w:rsidRPr="00B0301C" w:rsidRDefault="001455E2" w:rsidP="00B0301C">
      <w:pPr>
        <w:spacing w:after="0"/>
        <w:jc w:val="center"/>
        <w:rPr>
          <w:b/>
        </w:rPr>
      </w:pPr>
      <w:r w:rsidRPr="00B0301C">
        <w:rPr>
          <w:b/>
        </w:rPr>
        <w:t>Sergamumas ŽIV ir lytiškai plintančiomis ligomis</w:t>
      </w:r>
    </w:p>
    <w:p w14:paraId="3D2BF055" w14:textId="77777777" w:rsidR="00C520EC" w:rsidRPr="0085053E" w:rsidRDefault="00C520EC" w:rsidP="00E92E3B">
      <w:pPr>
        <w:spacing w:after="0"/>
        <w:rPr>
          <w:rFonts w:cs="Times New Roman"/>
          <w:szCs w:val="24"/>
        </w:rPr>
      </w:pPr>
    </w:p>
    <w:p w14:paraId="3D2BF056" w14:textId="69071273" w:rsidR="001455E2" w:rsidRDefault="00CD1A27" w:rsidP="00B66D82">
      <w:pPr>
        <w:widowControl w:val="0"/>
        <w:spacing w:after="0"/>
        <w:ind w:firstLine="720"/>
        <w:jc w:val="both"/>
        <w:rPr>
          <w:rFonts w:cs="Times New Roman"/>
          <w:szCs w:val="24"/>
        </w:rPr>
      </w:pPr>
      <w:r w:rsidRPr="00E92E3B">
        <w:rPr>
          <w:rFonts w:cs="Times New Roman"/>
          <w:szCs w:val="24"/>
        </w:rPr>
        <w:t>Higienos instituto duomeni</w:t>
      </w:r>
      <w:r w:rsidR="00721771" w:rsidRPr="00E92E3B">
        <w:rPr>
          <w:rFonts w:cs="Times New Roman"/>
          <w:szCs w:val="24"/>
        </w:rPr>
        <w:t>mi</w:t>
      </w:r>
      <w:r w:rsidRPr="00E92E3B">
        <w:rPr>
          <w:rFonts w:cs="Times New Roman"/>
          <w:szCs w:val="24"/>
        </w:rPr>
        <w:t>s, 2015–201</w:t>
      </w:r>
      <w:r w:rsidR="000C52F6">
        <w:rPr>
          <w:rFonts w:cs="Times New Roman"/>
          <w:szCs w:val="24"/>
        </w:rPr>
        <w:t>9</w:t>
      </w:r>
      <w:r w:rsidRPr="00E92E3B">
        <w:rPr>
          <w:rFonts w:cs="Times New Roman"/>
          <w:szCs w:val="24"/>
        </w:rPr>
        <w:t xml:space="preserve"> m. </w:t>
      </w:r>
      <w:r w:rsidR="005F57F6" w:rsidRPr="00E92E3B">
        <w:rPr>
          <w:rFonts w:cs="Times New Roman"/>
          <w:szCs w:val="24"/>
        </w:rPr>
        <w:t xml:space="preserve">tiek Kauno mieste, tiek Lietuvoje yra </w:t>
      </w:r>
      <w:r w:rsidRPr="00E92E3B">
        <w:rPr>
          <w:rFonts w:cs="Times New Roman"/>
          <w:szCs w:val="24"/>
        </w:rPr>
        <w:t xml:space="preserve">stebimas sergamumo lytiškai plintančiomis ligomis </w:t>
      </w:r>
      <w:r w:rsidR="00C55DE2" w:rsidRPr="00E92E3B">
        <w:rPr>
          <w:rFonts w:cs="Times New Roman"/>
          <w:szCs w:val="24"/>
        </w:rPr>
        <w:t xml:space="preserve">(A50–A64) </w:t>
      </w:r>
      <w:r w:rsidRPr="00E92E3B">
        <w:rPr>
          <w:rFonts w:cs="Times New Roman"/>
          <w:szCs w:val="24"/>
        </w:rPr>
        <w:t>sumažėjimas</w:t>
      </w:r>
      <w:r w:rsidR="005F57F6" w:rsidRPr="00E92E3B">
        <w:rPr>
          <w:rFonts w:cs="Times New Roman"/>
          <w:szCs w:val="24"/>
        </w:rPr>
        <w:t>.</w:t>
      </w:r>
      <w:r w:rsidR="00C55DE2" w:rsidRPr="00E92E3B">
        <w:rPr>
          <w:rFonts w:cs="Times New Roman"/>
          <w:szCs w:val="24"/>
        </w:rPr>
        <w:t xml:space="preserve"> Visu analizuojamu laikotarpiu sergamumas lytiškai plintančiomis</w:t>
      </w:r>
      <w:r w:rsidR="0061368F">
        <w:rPr>
          <w:rFonts w:cs="Times New Roman"/>
          <w:szCs w:val="24"/>
        </w:rPr>
        <w:t xml:space="preserve"> ligomis 100 000 gyventojų Kauno</w:t>
      </w:r>
      <w:r w:rsidR="00C55DE2" w:rsidRPr="00E92E3B">
        <w:rPr>
          <w:rFonts w:cs="Times New Roman"/>
          <w:szCs w:val="24"/>
        </w:rPr>
        <w:t xml:space="preserve"> mieste buvo mažesnis lyginant su bendru Lietuvos vidurkiu </w:t>
      </w:r>
      <w:r w:rsidR="004F3BC8">
        <w:rPr>
          <w:rFonts w:cs="Times New Roman"/>
          <w:szCs w:val="24"/>
        </w:rPr>
        <w:t>(6 pav.)</w:t>
      </w:r>
      <w:r w:rsidR="00C55DE2" w:rsidRPr="00E92E3B">
        <w:rPr>
          <w:rFonts w:cs="Times New Roman"/>
          <w:szCs w:val="24"/>
        </w:rPr>
        <w:t>.</w:t>
      </w:r>
    </w:p>
    <w:p w14:paraId="3D2BF057" w14:textId="77777777" w:rsidR="004E795A" w:rsidRPr="0085053E" w:rsidRDefault="004E795A" w:rsidP="004E795A">
      <w:pPr>
        <w:spacing w:after="0"/>
        <w:ind w:firstLine="720"/>
        <w:jc w:val="both"/>
        <w:rPr>
          <w:rFonts w:cs="Times New Roman"/>
          <w:sz w:val="22"/>
          <w:szCs w:val="24"/>
        </w:rPr>
      </w:pPr>
    </w:p>
    <w:p w14:paraId="3D2BF058" w14:textId="77777777" w:rsidR="00C55DE2" w:rsidRPr="00E92E3B" w:rsidRDefault="00154855" w:rsidP="00E92E3B">
      <w:pPr>
        <w:pStyle w:val="Sraopastraipa"/>
        <w:ind w:left="360"/>
        <w:jc w:val="center"/>
        <w:rPr>
          <w:rFonts w:cs="Times New Roman"/>
          <w:b/>
          <w:szCs w:val="24"/>
        </w:rPr>
      </w:pPr>
      <w:r w:rsidRPr="00E92E3B">
        <w:rPr>
          <w:rFonts w:cs="Times New Roman"/>
          <w:noProof/>
          <w:szCs w:val="24"/>
          <w:lang w:eastAsia="lt-LT"/>
        </w:rPr>
        <w:drawing>
          <wp:inline distT="0" distB="0" distL="0" distR="0" wp14:anchorId="3D2BF0AB" wp14:editId="14CFFDC5">
            <wp:extent cx="4880344" cy="1152000"/>
            <wp:effectExtent l="0" t="0" r="15875" b="10160"/>
            <wp:docPr id="6" name="Diagra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D2BF059" w14:textId="0B9F4433" w:rsidR="00C55DE2" w:rsidRPr="00E92E3B" w:rsidRDefault="00F23AEC" w:rsidP="00E92E3B">
      <w:pPr>
        <w:pStyle w:val="Sraopastraipa"/>
        <w:ind w:left="360"/>
        <w:jc w:val="center"/>
        <w:rPr>
          <w:rFonts w:cs="Times New Roman"/>
          <w:szCs w:val="24"/>
        </w:rPr>
      </w:pPr>
      <w:r>
        <w:rPr>
          <w:rFonts w:cs="Times New Roman"/>
          <w:szCs w:val="24"/>
        </w:rPr>
        <w:t>6</w:t>
      </w:r>
      <w:r w:rsidR="00C55DE2" w:rsidRPr="00E92E3B">
        <w:rPr>
          <w:rFonts w:cs="Times New Roman"/>
          <w:szCs w:val="24"/>
        </w:rPr>
        <w:t xml:space="preserve"> pav. Sergamumas lytiškai plintančiomis ligomis (A50–A64)</w:t>
      </w:r>
      <w:r w:rsidR="00F7085D" w:rsidRPr="00E92E3B">
        <w:rPr>
          <w:rFonts w:cs="Times New Roman"/>
          <w:szCs w:val="24"/>
        </w:rPr>
        <w:t xml:space="preserve"> 100 000 gyventojų </w:t>
      </w:r>
      <w:r w:rsidR="00C55DE2" w:rsidRPr="00E92E3B">
        <w:rPr>
          <w:rFonts w:cs="Times New Roman"/>
          <w:szCs w:val="24"/>
        </w:rPr>
        <w:t>2015–201</w:t>
      </w:r>
      <w:r w:rsidR="000D2C26">
        <w:rPr>
          <w:rFonts w:cs="Times New Roman"/>
          <w:szCs w:val="24"/>
        </w:rPr>
        <w:t>9</w:t>
      </w:r>
      <w:r w:rsidR="00C55DE2" w:rsidRPr="00E92E3B">
        <w:rPr>
          <w:rFonts w:cs="Times New Roman"/>
          <w:szCs w:val="24"/>
        </w:rPr>
        <w:t xml:space="preserve"> m. Kauno mieste ir Lietuvoje</w:t>
      </w:r>
    </w:p>
    <w:p w14:paraId="3D2BF05A" w14:textId="55E1C8BC" w:rsidR="0023188D" w:rsidRDefault="0023188D" w:rsidP="00E92E3B">
      <w:pPr>
        <w:pStyle w:val="Sraopastraipa"/>
        <w:spacing w:after="0"/>
        <w:jc w:val="right"/>
        <w:rPr>
          <w:rFonts w:cs="Times New Roman"/>
          <w:i/>
          <w:szCs w:val="24"/>
        </w:rPr>
      </w:pPr>
      <w:r w:rsidRPr="00E92E3B">
        <w:rPr>
          <w:rFonts w:cs="Times New Roman"/>
          <w:i/>
          <w:szCs w:val="24"/>
        </w:rPr>
        <w:t>Šaltinis: Higienos instituto sveikatos informacijos centras</w:t>
      </w:r>
    </w:p>
    <w:p w14:paraId="3D2BF05B" w14:textId="3BF4B851" w:rsidR="00C95866" w:rsidRDefault="00AD7470" w:rsidP="003A1DFF">
      <w:pPr>
        <w:spacing w:after="0"/>
        <w:ind w:firstLine="720"/>
        <w:jc w:val="both"/>
        <w:rPr>
          <w:rFonts w:cs="Times New Roman"/>
          <w:szCs w:val="24"/>
        </w:rPr>
      </w:pPr>
      <w:r w:rsidRPr="00E92E3B">
        <w:rPr>
          <w:rFonts w:cs="Times New Roman"/>
          <w:szCs w:val="24"/>
        </w:rPr>
        <w:lastRenderedPageBreak/>
        <w:t>Analizuojant  Kauno miesto gyventojų sergamumą lytiškai plintančiomis ligomis pagal amžiaus grupes matyti, kad didžiausias sergamumas 2015–201</w:t>
      </w:r>
      <w:r w:rsidR="003E2BA6">
        <w:rPr>
          <w:rFonts w:cs="Times New Roman"/>
          <w:szCs w:val="24"/>
        </w:rPr>
        <w:t>9</w:t>
      </w:r>
      <w:r w:rsidRPr="00E92E3B">
        <w:rPr>
          <w:rFonts w:cs="Times New Roman"/>
          <w:szCs w:val="24"/>
        </w:rPr>
        <w:t xml:space="preserve"> m. buvo 25–64 m. amžiaus grupėje, mažiausias vyresnių nei 65 m. amžiaus grupėje. 201</w:t>
      </w:r>
      <w:r w:rsidR="003E2BA6">
        <w:rPr>
          <w:rFonts w:cs="Times New Roman"/>
          <w:szCs w:val="24"/>
        </w:rPr>
        <w:t>9</w:t>
      </w:r>
      <w:r w:rsidRPr="00E92E3B">
        <w:rPr>
          <w:rFonts w:cs="Times New Roman"/>
          <w:szCs w:val="24"/>
        </w:rPr>
        <w:t xml:space="preserve"> m. stebima</w:t>
      </w:r>
      <w:r w:rsidR="0061026B">
        <w:rPr>
          <w:rFonts w:cs="Times New Roman"/>
          <w:szCs w:val="24"/>
        </w:rPr>
        <w:t>s</w:t>
      </w:r>
      <w:r w:rsidRPr="00E92E3B">
        <w:rPr>
          <w:rFonts w:cs="Times New Roman"/>
          <w:szCs w:val="24"/>
        </w:rPr>
        <w:t xml:space="preserve"> </w:t>
      </w:r>
      <w:r w:rsidR="0061026B" w:rsidRPr="00E92E3B">
        <w:rPr>
          <w:rFonts w:cs="Times New Roman"/>
          <w:szCs w:val="24"/>
        </w:rPr>
        <w:t xml:space="preserve">sergamumo </w:t>
      </w:r>
      <w:r w:rsidR="003E2BA6">
        <w:rPr>
          <w:rFonts w:cs="Times New Roman"/>
          <w:szCs w:val="24"/>
        </w:rPr>
        <w:t xml:space="preserve">visose amžiaus grupėse </w:t>
      </w:r>
      <w:r w:rsidR="00485B95">
        <w:rPr>
          <w:rFonts w:cs="Times New Roman"/>
          <w:szCs w:val="24"/>
        </w:rPr>
        <w:t>sumažėjimas</w:t>
      </w:r>
      <w:r w:rsidR="004F3BC8">
        <w:rPr>
          <w:rFonts w:cs="Times New Roman"/>
          <w:szCs w:val="24"/>
        </w:rPr>
        <w:t xml:space="preserve"> (7 pav.)</w:t>
      </w:r>
      <w:r w:rsidR="006D3052" w:rsidRPr="00E92E3B">
        <w:rPr>
          <w:rFonts w:cs="Times New Roman"/>
          <w:szCs w:val="24"/>
        </w:rPr>
        <w:t>.</w:t>
      </w:r>
    </w:p>
    <w:p w14:paraId="3D2BF05C" w14:textId="77777777" w:rsidR="003A1DFF" w:rsidRPr="00664051" w:rsidRDefault="003A1DFF" w:rsidP="003A1DFF">
      <w:pPr>
        <w:spacing w:after="0"/>
        <w:ind w:firstLine="720"/>
        <w:jc w:val="both"/>
        <w:rPr>
          <w:rFonts w:cs="Times New Roman"/>
          <w:sz w:val="20"/>
          <w:szCs w:val="24"/>
        </w:rPr>
      </w:pPr>
    </w:p>
    <w:p w14:paraId="3D2BF05D" w14:textId="77777777" w:rsidR="0093385A" w:rsidRPr="00E92E3B" w:rsidRDefault="0093385A" w:rsidP="00E92E3B">
      <w:pPr>
        <w:spacing w:after="0" w:line="240" w:lineRule="auto"/>
        <w:jc w:val="center"/>
        <w:rPr>
          <w:rFonts w:cs="Times New Roman"/>
          <w:szCs w:val="24"/>
        </w:rPr>
      </w:pPr>
      <w:r w:rsidRPr="00E92E3B">
        <w:rPr>
          <w:rFonts w:cs="Times New Roman"/>
          <w:noProof/>
          <w:szCs w:val="24"/>
          <w:lang w:eastAsia="lt-LT"/>
        </w:rPr>
        <w:drawing>
          <wp:inline distT="0" distB="0" distL="0" distR="0" wp14:anchorId="3D2BF0AD" wp14:editId="6548394C">
            <wp:extent cx="4887310" cy="1260000"/>
            <wp:effectExtent l="0" t="0" r="8890" b="16510"/>
            <wp:docPr id="16" name="Diagrama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D2BF05E" w14:textId="356467A9" w:rsidR="0077664E" w:rsidRPr="00E92E3B" w:rsidRDefault="00F23AEC" w:rsidP="00E92E3B">
      <w:pPr>
        <w:spacing w:after="0"/>
        <w:jc w:val="center"/>
        <w:rPr>
          <w:rFonts w:cs="Times New Roman"/>
          <w:szCs w:val="24"/>
        </w:rPr>
      </w:pPr>
      <w:r>
        <w:rPr>
          <w:rFonts w:cs="Times New Roman"/>
          <w:szCs w:val="24"/>
        </w:rPr>
        <w:t>7</w:t>
      </w:r>
      <w:r w:rsidR="0093385A" w:rsidRPr="00E92E3B">
        <w:rPr>
          <w:rFonts w:cs="Times New Roman"/>
          <w:szCs w:val="24"/>
        </w:rPr>
        <w:t xml:space="preserve"> pav. Sergamumas lytiškai plintančiomis ligomis (A50–A64) 100 000 gyventojų 2015–201</w:t>
      </w:r>
      <w:r w:rsidR="00253C0A">
        <w:rPr>
          <w:rFonts w:cs="Times New Roman"/>
          <w:szCs w:val="24"/>
        </w:rPr>
        <w:t>9</w:t>
      </w:r>
      <w:r w:rsidR="0093385A" w:rsidRPr="00E92E3B">
        <w:rPr>
          <w:rFonts w:cs="Times New Roman"/>
          <w:szCs w:val="24"/>
        </w:rPr>
        <w:t xml:space="preserve"> m. Kauno mieste pagal amžiaus grupes</w:t>
      </w:r>
    </w:p>
    <w:p w14:paraId="3D2BF05F" w14:textId="77777777" w:rsidR="0023188D" w:rsidRPr="00E92E3B" w:rsidRDefault="0023188D" w:rsidP="00E92E3B">
      <w:pPr>
        <w:pStyle w:val="Sraopastraipa"/>
        <w:spacing w:after="0"/>
        <w:jc w:val="right"/>
        <w:rPr>
          <w:rFonts w:cs="Times New Roman"/>
          <w:i/>
          <w:szCs w:val="24"/>
        </w:rPr>
      </w:pPr>
      <w:r w:rsidRPr="00E92E3B">
        <w:rPr>
          <w:rFonts w:cs="Times New Roman"/>
          <w:i/>
          <w:szCs w:val="24"/>
        </w:rPr>
        <w:t>Šaltinis: Higienos instituto sveikatos informacijos centras</w:t>
      </w:r>
    </w:p>
    <w:p w14:paraId="3D2BF060" w14:textId="77777777" w:rsidR="0077664E" w:rsidRPr="00664051" w:rsidRDefault="0077664E" w:rsidP="00E92E3B">
      <w:pPr>
        <w:spacing w:after="0"/>
        <w:rPr>
          <w:rFonts w:cs="Times New Roman"/>
          <w:sz w:val="20"/>
          <w:szCs w:val="24"/>
        </w:rPr>
      </w:pPr>
    </w:p>
    <w:p w14:paraId="3D2BF061" w14:textId="52D4E7D4" w:rsidR="0077664E" w:rsidRDefault="0077664E" w:rsidP="00E92E3B">
      <w:pPr>
        <w:spacing w:after="0"/>
        <w:jc w:val="both"/>
        <w:rPr>
          <w:rFonts w:cs="Times New Roman"/>
          <w:szCs w:val="24"/>
        </w:rPr>
      </w:pPr>
      <w:r w:rsidRPr="00E92E3B">
        <w:rPr>
          <w:rFonts w:cs="Times New Roman"/>
          <w:szCs w:val="24"/>
        </w:rPr>
        <w:tab/>
      </w:r>
      <w:r w:rsidR="005B0720" w:rsidRPr="00E92E3B">
        <w:rPr>
          <w:rFonts w:cs="Times New Roman"/>
          <w:szCs w:val="24"/>
        </w:rPr>
        <w:t xml:space="preserve">Higienos instituto </w:t>
      </w:r>
      <w:r w:rsidR="0061026B">
        <w:rPr>
          <w:rFonts w:cs="Times New Roman"/>
          <w:szCs w:val="24"/>
        </w:rPr>
        <w:t xml:space="preserve">sveikatos informacijos centro </w:t>
      </w:r>
      <w:r w:rsidR="005B0720" w:rsidRPr="00E92E3B">
        <w:rPr>
          <w:rFonts w:cs="Times New Roman"/>
          <w:szCs w:val="24"/>
        </w:rPr>
        <w:t>duomenimis, sergamumas ŽIV Lietuvoje</w:t>
      </w:r>
      <w:r w:rsidR="003427FB" w:rsidRPr="00E92E3B">
        <w:rPr>
          <w:rFonts w:cs="Times New Roman"/>
          <w:szCs w:val="24"/>
        </w:rPr>
        <w:t xml:space="preserve"> iki 2017 m. augo ir siekė 9,3 </w:t>
      </w:r>
      <w:proofErr w:type="spellStart"/>
      <w:r w:rsidR="003427FB" w:rsidRPr="00E92E3B">
        <w:rPr>
          <w:rFonts w:cs="Times New Roman"/>
          <w:szCs w:val="24"/>
        </w:rPr>
        <w:t>atv</w:t>
      </w:r>
      <w:proofErr w:type="spellEnd"/>
      <w:r w:rsidR="003427FB" w:rsidRPr="00E92E3B">
        <w:rPr>
          <w:rFonts w:cs="Times New Roman"/>
          <w:szCs w:val="24"/>
        </w:rPr>
        <w:t>./100 000 gyv.,</w:t>
      </w:r>
      <w:r w:rsidR="0061026B">
        <w:rPr>
          <w:rFonts w:cs="Times New Roman"/>
          <w:szCs w:val="24"/>
        </w:rPr>
        <w:t xml:space="preserve"> tačiau 201</w:t>
      </w:r>
      <w:r w:rsidR="0009785D">
        <w:rPr>
          <w:rFonts w:cs="Times New Roman"/>
          <w:szCs w:val="24"/>
        </w:rPr>
        <w:t>9</w:t>
      </w:r>
      <w:r w:rsidR="0061026B">
        <w:rPr>
          <w:rFonts w:cs="Times New Roman"/>
          <w:szCs w:val="24"/>
        </w:rPr>
        <w:t xml:space="preserve"> m. </w:t>
      </w:r>
      <w:r w:rsidR="003427FB" w:rsidRPr="00E92E3B">
        <w:rPr>
          <w:rFonts w:cs="Times New Roman"/>
          <w:szCs w:val="24"/>
        </w:rPr>
        <w:t xml:space="preserve">sumažėjo iki </w:t>
      </w:r>
      <w:r w:rsidR="0009785D">
        <w:rPr>
          <w:rFonts w:cs="Times New Roman"/>
          <w:szCs w:val="24"/>
        </w:rPr>
        <w:t>5,4</w:t>
      </w:r>
      <w:r w:rsidR="003427FB" w:rsidRPr="00E92E3B">
        <w:rPr>
          <w:rFonts w:cs="Times New Roman"/>
          <w:szCs w:val="24"/>
        </w:rPr>
        <w:t xml:space="preserve"> </w:t>
      </w:r>
      <w:proofErr w:type="spellStart"/>
      <w:r w:rsidR="003427FB" w:rsidRPr="00E92E3B">
        <w:rPr>
          <w:rFonts w:cs="Times New Roman"/>
          <w:szCs w:val="24"/>
        </w:rPr>
        <w:t>atv</w:t>
      </w:r>
      <w:proofErr w:type="spellEnd"/>
      <w:r w:rsidR="003427FB" w:rsidRPr="00E92E3B">
        <w:rPr>
          <w:rFonts w:cs="Times New Roman"/>
          <w:szCs w:val="24"/>
        </w:rPr>
        <w:t xml:space="preserve">./100 000 gyv. Kauno mieste sergamumas iki 2017 m. mažėjo ir siekė 2,41 </w:t>
      </w:r>
      <w:proofErr w:type="spellStart"/>
      <w:r w:rsidR="003427FB" w:rsidRPr="00E92E3B">
        <w:rPr>
          <w:rFonts w:cs="Times New Roman"/>
          <w:szCs w:val="24"/>
        </w:rPr>
        <w:t>atv</w:t>
      </w:r>
      <w:proofErr w:type="spellEnd"/>
      <w:r w:rsidR="003427FB" w:rsidRPr="00E92E3B">
        <w:rPr>
          <w:rFonts w:cs="Times New Roman"/>
          <w:szCs w:val="24"/>
        </w:rPr>
        <w:t>./100 000 gyv., tačiau 201</w:t>
      </w:r>
      <w:r w:rsidR="0009785D">
        <w:rPr>
          <w:rFonts w:cs="Times New Roman"/>
          <w:szCs w:val="24"/>
        </w:rPr>
        <w:t>9</w:t>
      </w:r>
      <w:r w:rsidR="003427FB" w:rsidRPr="00E92E3B">
        <w:rPr>
          <w:rFonts w:cs="Times New Roman"/>
          <w:szCs w:val="24"/>
        </w:rPr>
        <w:t xml:space="preserve"> m. stebimas</w:t>
      </w:r>
      <w:r w:rsidR="0061026B">
        <w:rPr>
          <w:rFonts w:cs="Times New Roman"/>
          <w:szCs w:val="24"/>
        </w:rPr>
        <w:t xml:space="preserve"> šio rodiklio</w:t>
      </w:r>
      <w:r w:rsidR="003427FB" w:rsidRPr="00E92E3B">
        <w:rPr>
          <w:rFonts w:cs="Times New Roman"/>
          <w:szCs w:val="24"/>
        </w:rPr>
        <w:t xml:space="preserve"> didėjimas (</w:t>
      </w:r>
      <w:r w:rsidR="00790FFD">
        <w:rPr>
          <w:rFonts w:cs="Times New Roman"/>
          <w:szCs w:val="24"/>
        </w:rPr>
        <w:t>5,21</w:t>
      </w:r>
      <w:r w:rsidR="003427FB" w:rsidRPr="00E92E3B">
        <w:rPr>
          <w:rFonts w:cs="Times New Roman"/>
          <w:szCs w:val="24"/>
        </w:rPr>
        <w:t xml:space="preserve"> </w:t>
      </w:r>
      <w:proofErr w:type="spellStart"/>
      <w:r w:rsidR="003427FB" w:rsidRPr="00E92E3B">
        <w:rPr>
          <w:rFonts w:cs="Times New Roman"/>
          <w:szCs w:val="24"/>
        </w:rPr>
        <w:t>atv</w:t>
      </w:r>
      <w:proofErr w:type="spellEnd"/>
      <w:r w:rsidR="003427FB" w:rsidRPr="00E92E3B">
        <w:rPr>
          <w:rFonts w:cs="Times New Roman"/>
          <w:szCs w:val="24"/>
        </w:rPr>
        <w:t>./100 000 gyv.)</w:t>
      </w:r>
      <w:r w:rsidR="004F3BC8">
        <w:rPr>
          <w:rFonts w:cs="Times New Roman"/>
          <w:szCs w:val="24"/>
        </w:rPr>
        <w:t xml:space="preserve"> (8 pav.)</w:t>
      </w:r>
      <w:r w:rsidR="003427FB" w:rsidRPr="00E92E3B">
        <w:rPr>
          <w:rFonts w:cs="Times New Roman"/>
          <w:szCs w:val="24"/>
        </w:rPr>
        <w:t>.</w:t>
      </w:r>
    </w:p>
    <w:p w14:paraId="3D2BF062" w14:textId="77777777" w:rsidR="003A1DFF" w:rsidRPr="00664051" w:rsidRDefault="003A1DFF" w:rsidP="00E92E3B">
      <w:pPr>
        <w:spacing w:after="0"/>
        <w:jc w:val="both"/>
        <w:rPr>
          <w:rFonts w:cs="Times New Roman"/>
          <w:sz w:val="20"/>
          <w:szCs w:val="24"/>
        </w:rPr>
      </w:pPr>
    </w:p>
    <w:p w14:paraId="3D2BF063" w14:textId="77777777" w:rsidR="0077664E" w:rsidRPr="00E92E3B" w:rsidRDefault="0077664E" w:rsidP="00E92E3B">
      <w:pPr>
        <w:spacing w:after="0"/>
        <w:jc w:val="center"/>
        <w:rPr>
          <w:rFonts w:cs="Times New Roman"/>
          <w:szCs w:val="24"/>
        </w:rPr>
      </w:pPr>
      <w:r w:rsidRPr="00E92E3B">
        <w:rPr>
          <w:rFonts w:cs="Times New Roman"/>
          <w:noProof/>
          <w:szCs w:val="24"/>
          <w:lang w:eastAsia="lt-LT"/>
        </w:rPr>
        <w:drawing>
          <wp:inline distT="0" distB="0" distL="0" distR="0" wp14:anchorId="3D2BF0AF" wp14:editId="738B7AF1">
            <wp:extent cx="4887311" cy="1152000"/>
            <wp:effectExtent l="0" t="0" r="8890" b="10160"/>
            <wp:docPr id="1"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D2BF064" w14:textId="2B857CFB" w:rsidR="00B16B7E" w:rsidRPr="00E92E3B" w:rsidRDefault="00F23AEC" w:rsidP="00E92E3B">
      <w:pPr>
        <w:spacing w:after="0"/>
        <w:jc w:val="center"/>
        <w:rPr>
          <w:rFonts w:cs="Times New Roman"/>
          <w:szCs w:val="24"/>
        </w:rPr>
      </w:pPr>
      <w:r>
        <w:rPr>
          <w:rFonts w:cs="Times New Roman"/>
          <w:szCs w:val="24"/>
        </w:rPr>
        <w:t>8</w:t>
      </w:r>
      <w:r w:rsidR="0077664E" w:rsidRPr="00E92E3B">
        <w:rPr>
          <w:rFonts w:cs="Times New Roman"/>
          <w:szCs w:val="24"/>
        </w:rPr>
        <w:t xml:space="preserve"> pav. Sergamumas ŽIV (B20–B24) 100 000 gyventojų 2015–201</w:t>
      </w:r>
      <w:r w:rsidR="00790FFD">
        <w:rPr>
          <w:rFonts w:cs="Times New Roman"/>
          <w:szCs w:val="24"/>
        </w:rPr>
        <w:t>9</w:t>
      </w:r>
      <w:r w:rsidR="0077664E" w:rsidRPr="00E92E3B">
        <w:rPr>
          <w:rFonts w:cs="Times New Roman"/>
          <w:szCs w:val="24"/>
        </w:rPr>
        <w:t xml:space="preserve"> m. Kauno mieste ir Lietuvoje</w:t>
      </w:r>
    </w:p>
    <w:p w14:paraId="3D2BF065" w14:textId="422D957C" w:rsidR="0023188D" w:rsidRDefault="0023188D" w:rsidP="00E92E3B">
      <w:pPr>
        <w:pStyle w:val="Sraopastraipa"/>
        <w:spacing w:after="0"/>
        <w:jc w:val="right"/>
        <w:rPr>
          <w:rFonts w:cs="Times New Roman"/>
          <w:i/>
          <w:szCs w:val="24"/>
        </w:rPr>
      </w:pPr>
      <w:r w:rsidRPr="00E92E3B">
        <w:rPr>
          <w:rFonts w:cs="Times New Roman"/>
          <w:i/>
          <w:szCs w:val="24"/>
        </w:rPr>
        <w:t>Šaltinis: Higienos instituto sveikatos informacijos centras</w:t>
      </w:r>
    </w:p>
    <w:p w14:paraId="3D2BF066" w14:textId="77777777" w:rsidR="0023188D" w:rsidRPr="00664051" w:rsidRDefault="0023188D" w:rsidP="00E879C0">
      <w:pPr>
        <w:spacing w:after="0"/>
        <w:rPr>
          <w:rFonts w:cs="Times New Roman"/>
          <w:sz w:val="20"/>
          <w:szCs w:val="24"/>
        </w:rPr>
      </w:pPr>
    </w:p>
    <w:p w14:paraId="3D2BF067" w14:textId="3E88DA96" w:rsidR="00D07439" w:rsidRPr="00B0301C" w:rsidRDefault="00F20E69" w:rsidP="00B0301C">
      <w:pPr>
        <w:spacing w:after="0"/>
        <w:jc w:val="center"/>
        <w:rPr>
          <w:b/>
        </w:rPr>
      </w:pPr>
      <w:r>
        <w:rPr>
          <w:b/>
        </w:rPr>
        <w:t>Asmenų, žuvusių ar sunkiai sužalotų dėl nelaimingų atsitikimų darbe</w:t>
      </w:r>
      <w:r w:rsidR="0054790C">
        <w:rPr>
          <w:b/>
        </w:rPr>
        <w:t>,</w:t>
      </w:r>
      <w:r>
        <w:rPr>
          <w:b/>
        </w:rPr>
        <w:t xml:space="preserve"> skaičius 10 000 darbingo amžiaus gyventojų</w:t>
      </w:r>
    </w:p>
    <w:p w14:paraId="3D2BF068" w14:textId="77777777" w:rsidR="00167416" w:rsidRPr="00613AA6" w:rsidRDefault="00167416" w:rsidP="00E92E3B">
      <w:pPr>
        <w:spacing w:after="0"/>
        <w:rPr>
          <w:rFonts w:cs="Times New Roman"/>
          <w:szCs w:val="32"/>
        </w:rPr>
      </w:pPr>
    </w:p>
    <w:p w14:paraId="4A54631E" w14:textId="28B50BBC" w:rsidR="00E651DF" w:rsidRDefault="002C29E9" w:rsidP="002B214B">
      <w:pPr>
        <w:ind w:firstLine="720"/>
        <w:jc w:val="both"/>
        <w:rPr>
          <w:color w:val="000000" w:themeColor="text1"/>
        </w:rPr>
      </w:pPr>
      <w:r w:rsidRPr="0054790C">
        <w:rPr>
          <w:color w:val="000000" w:themeColor="text1"/>
        </w:rPr>
        <w:t xml:space="preserve">Lietuvoje </w:t>
      </w:r>
      <w:r w:rsidR="00345AE8" w:rsidRPr="0054790C">
        <w:rPr>
          <w:color w:val="000000" w:themeColor="text1"/>
        </w:rPr>
        <w:t xml:space="preserve">2019 m. iš viso įvyko </w:t>
      </w:r>
      <w:r w:rsidR="0023770B" w:rsidRPr="0054790C">
        <w:rPr>
          <w:color w:val="000000" w:themeColor="text1"/>
        </w:rPr>
        <w:t>121</w:t>
      </w:r>
      <w:r w:rsidR="00345AE8" w:rsidRPr="0054790C">
        <w:rPr>
          <w:color w:val="000000" w:themeColor="text1"/>
        </w:rPr>
        <w:t xml:space="preserve"> sunkus ir </w:t>
      </w:r>
      <w:r w:rsidR="0023770B" w:rsidRPr="0054790C">
        <w:rPr>
          <w:color w:val="000000" w:themeColor="text1"/>
        </w:rPr>
        <w:t>39</w:t>
      </w:r>
      <w:r w:rsidR="00345AE8" w:rsidRPr="0054790C">
        <w:rPr>
          <w:color w:val="000000" w:themeColor="text1"/>
        </w:rPr>
        <w:t xml:space="preserve"> m</w:t>
      </w:r>
      <w:r w:rsidR="007934F2" w:rsidRPr="0054790C">
        <w:rPr>
          <w:color w:val="000000" w:themeColor="text1"/>
        </w:rPr>
        <w:t>i</w:t>
      </w:r>
      <w:r w:rsidR="00345AE8" w:rsidRPr="0054790C">
        <w:rPr>
          <w:color w:val="000000" w:themeColor="text1"/>
        </w:rPr>
        <w:t>rtini nelaimingi atsitikimai darbe.</w:t>
      </w:r>
      <w:r w:rsidR="00026176" w:rsidRPr="0054790C">
        <w:rPr>
          <w:color w:val="000000" w:themeColor="text1"/>
        </w:rPr>
        <w:t xml:space="preserve"> </w:t>
      </w:r>
      <w:r w:rsidR="00025BAC" w:rsidRPr="0054790C">
        <w:rPr>
          <w:color w:val="000000" w:themeColor="text1"/>
        </w:rPr>
        <w:t>Lyginant</w:t>
      </w:r>
      <w:r w:rsidR="00025BAC" w:rsidRPr="00E651DF">
        <w:rPr>
          <w:color w:val="000000" w:themeColor="text1"/>
        </w:rPr>
        <w:t xml:space="preserve"> Kauno miesto ir Lietuvos asmenų, žuvusių ar sunkiai sužalotų dėl nelaimingų atsitikimų darbe sk</w:t>
      </w:r>
      <w:r w:rsidR="00875F5D" w:rsidRPr="00E651DF">
        <w:rPr>
          <w:color w:val="000000" w:themeColor="text1"/>
        </w:rPr>
        <w:t>a</w:t>
      </w:r>
      <w:r w:rsidR="00B16593" w:rsidRPr="00E651DF">
        <w:rPr>
          <w:color w:val="000000" w:themeColor="text1"/>
        </w:rPr>
        <w:t>i</w:t>
      </w:r>
      <w:r w:rsidR="00875F5D" w:rsidRPr="00E651DF">
        <w:rPr>
          <w:color w:val="000000" w:themeColor="text1"/>
        </w:rPr>
        <w:t>či</w:t>
      </w:r>
      <w:r w:rsidR="00292377" w:rsidRPr="00E651DF">
        <w:rPr>
          <w:color w:val="000000" w:themeColor="text1"/>
        </w:rPr>
        <w:t>ų</w:t>
      </w:r>
      <w:r w:rsidR="00025BAC" w:rsidRPr="00E651DF">
        <w:rPr>
          <w:color w:val="000000" w:themeColor="text1"/>
        </w:rPr>
        <w:t xml:space="preserve"> 10 000 darbingo amžiaus gyventojų rodiklį pastebima</w:t>
      </w:r>
      <w:r w:rsidR="00E34AC2">
        <w:rPr>
          <w:color w:val="000000" w:themeColor="text1"/>
        </w:rPr>
        <w:t xml:space="preserve">, </w:t>
      </w:r>
      <w:r w:rsidR="00292377" w:rsidRPr="00E651DF">
        <w:rPr>
          <w:color w:val="000000" w:themeColor="text1"/>
        </w:rPr>
        <w:t xml:space="preserve">kad šis rodiklis Kauno mieste </w:t>
      </w:r>
      <w:r w:rsidR="00821558" w:rsidRPr="00E651DF">
        <w:rPr>
          <w:color w:val="000000" w:themeColor="text1"/>
        </w:rPr>
        <w:t>yra didesnis</w:t>
      </w:r>
      <w:r w:rsidR="00E651DF" w:rsidRPr="00E651DF">
        <w:rPr>
          <w:color w:val="000000" w:themeColor="text1"/>
        </w:rPr>
        <w:t xml:space="preserve"> nei bendrai Lietuvoje </w:t>
      </w:r>
      <w:r w:rsidR="00025BAC" w:rsidRPr="00E651DF">
        <w:rPr>
          <w:color w:val="000000" w:themeColor="text1"/>
        </w:rPr>
        <w:t>(</w:t>
      </w:r>
      <w:r w:rsidR="00786B12" w:rsidRPr="00E651DF">
        <w:rPr>
          <w:color w:val="000000" w:themeColor="text1"/>
        </w:rPr>
        <w:t>9 pav.).</w:t>
      </w:r>
    </w:p>
    <w:p w14:paraId="3D2BF07C" w14:textId="26209081" w:rsidR="00E879C0" w:rsidRPr="00E879C0" w:rsidRDefault="00852F0A" w:rsidP="004639E1">
      <w:pPr>
        <w:spacing w:after="0" w:line="360" w:lineRule="auto"/>
        <w:ind w:firstLine="720"/>
        <w:rPr>
          <w:lang w:val="en-US"/>
        </w:rPr>
      </w:pPr>
      <w:r w:rsidRPr="00E92E3B">
        <w:rPr>
          <w:rFonts w:cs="Times New Roman"/>
          <w:noProof/>
          <w:szCs w:val="24"/>
          <w:lang w:eastAsia="lt-LT"/>
        </w:rPr>
        <w:drawing>
          <wp:inline distT="0" distB="0" distL="0" distR="0" wp14:anchorId="58258E23" wp14:editId="332C8F5E">
            <wp:extent cx="4887311" cy="1188000"/>
            <wp:effectExtent l="0" t="0" r="8890" b="12700"/>
            <wp:docPr id="3"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B090DA6" w14:textId="14D2B8A2" w:rsidR="00613AA6" w:rsidRPr="00E92E3B" w:rsidRDefault="00613AA6" w:rsidP="00613AA6">
      <w:pPr>
        <w:spacing w:after="0"/>
        <w:jc w:val="center"/>
        <w:rPr>
          <w:rFonts w:cs="Times New Roman"/>
          <w:szCs w:val="24"/>
        </w:rPr>
      </w:pPr>
      <w:r>
        <w:rPr>
          <w:rFonts w:cs="Times New Roman"/>
          <w:szCs w:val="24"/>
        </w:rPr>
        <w:t>9</w:t>
      </w:r>
      <w:r w:rsidRPr="00E92E3B">
        <w:rPr>
          <w:rFonts w:cs="Times New Roman"/>
          <w:szCs w:val="24"/>
        </w:rPr>
        <w:t xml:space="preserve"> pav. </w:t>
      </w:r>
      <w:r>
        <w:rPr>
          <w:rFonts w:cs="Times New Roman"/>
          <w:szCs w:val="24"/>
        </w:rPr>
        <w:t>Asmenų, žuvusių ar sunkiai sužalotų dėl nelaimingų atsitikimų darbe</w:t>
      </w:r>
      <w:r w:rsidR="00CB54E5">
        <w:rPr>
          <w:rFonts w:cs="Times New Roman"/>
          <w:szCs w:val="24"/>
        </w:rPr>
        <w:t>,</w:t>
      </w:r>
      <w:r>
        <w:rPr>
          <w:rFonts w:cs="Times New Roman"/>
          <w:szCs w:val="24"/>
        </w:rPr>
        <w:t xml:space="preserve"> skaičius</w:t>
      </w:r>
      <w:r w:rsidRPr="00E92E3B">
        <w:rPr>
          <w:rFonts w:cs="Times New Roman"/>
          <w:szCs w:val="24"/>
        </w:rPr>
        <w:t xml:space="preserve"> 10 000 gyventojų 2015–201</w:t>
      </w:r>
      <w:r>
        <w:rPr>
          <w:rFonts w:cs="Times New Roman"/>
          <w:szCs w:val="24"/>
        </w:rPr>
        <w:t>9</w:t>
      </w:r>
      <w:r w:rsidRPr="00E92E3B">
        <w:rPr>
          <w:rFonts w:cs="Times New Roman"/>
          <w:szCs w:val="24"/>
        </w:rPr>
        <w:t xml:space="preserve"> m. Kauno mieste ir Lietuvoje</w:t>
      </w:r>
    </w:p>
    <w:p w14:paraId="5339E6CF" w14:textId="688DD5C1" w:rsidR="00E651DF" w:rsidRDefault="00613AA6" w:rsidP="00E765F7">
      <w:pPr>
        <w:spacing w:after="0"/>
        <w:jc w:val="right"/>
        <w:rPr>
          <w:sz w:val="28"/>
          <w:lang w:val="en-US"/>
        </w:rPr>
      </w:pPr>
      <w:r w:rsidRPr="00E92E3B">
        <w:rPr>
          <w:rFonts w:cs="Times New Roman"/>
          <w:i/>
          <w:szCs w:val="24"/>
        </w:rPr>
        <w:t>Šaltinis: Higienos instituto sveikatos informacijos centras</w:t>
      </w:r>
      <w:r>
        <w:rPr>
          <w:sz w:val="28"/>
          <w:lang w:val="en-US"/>
        </w:rPr>
        <w:t xml:space="preserve"> </w:t>
      </w:r>
    </w:p>
    <w:p w14:paraId="0271D6A6" w14:textId="78449E56" w:rsidR="00B300BD" w:rsidRPr="00EA2098" w:rsidRDefault="00B300BD" w:rsidP="002B214B">
      <w:pPr>
        <w:spacing w:after="0"/>
        <w:ind w:firstLine="720"/>
        <w:jc w:val="both"/>
      </w:pPr>
      <w:r w:rsidRPr="00EA2098">
        <w:lastRenderedPageBreak/>
        <w:t>Analizuojant sunkių ir mirtinų nelaimingų atsitikimų priežastis darbe pastebima, kad daugiausia tiek sunkių, tiek mirtinų nelaimingų atsitikimų darbe nutinka dėl darbuotojų saugos ir sveikatos</w:t>
      </w:r>
      <w:r w:rsidR="00F10858">
        <w:t xml:space="preserve"> normini</w:t>
      </w:r>
      <w:r w:rsidR="00BC6A89">
        <w:t>ų</w:t>
      </w:r>
      <w:r w:rsidRPr="00EA2098">
        <w:t xml:space="preserve"> teisės akt</w:t>
      </w:r>
      <w:r w:rsidR="00BC6A89">
        <w:t>ų</w:t>
      </w:r>
      <w:r w:rsidRPr="00EA2098">
        <w:t xml:space="preserve"> reikalavimų pažeidimų</w:t>
      </w:r>
      <w:r>
        <w:t xml:space="preserve"> (</w:t>
      </w:r>
      <w:r w:rsidR="00B525FE">
        <w:t>8</w:t>
      </w:r>
      <w:r>
        <w:t xml:space="preserve"> lentelė)</w:t>
      </w:r>
      <w:r w:rsidRPr="00EA2098">
        <w:t>.</w:t>
      </w:r>
    </w:p>
    <w:p w14:paraId="64446078" w14:textId="77777777" w:rsidR="00B300BD" w:rsidRPr="009C2A02" w:rsidRDefault="00B300BD" w:rsidP="00FC76AF">
      <w:pPr>
        <w:spacing w:after="0"/>
        <w:rPr>
          <w:sz w:val="22"/>
          <w:lang w:val="en-US"/>
        </w:rPr>
      </w:pPr>
    </w:p>
    <w:p w14:paraId="2E35B4FB" w14:textId="5F8B1E93" w:rsidR="00B300BD" w:rsidRPr="007B7B34" w:rsidRDefault="00B525FE" w:rsidP="008A1635">
      <w:pPr>
        <w:spacing w:after="0" w:line="240" w:lineRule="auto"/>
        <w:jc w:val="center"/>
      </w:pPr>
      <w:r>
        <w:rPr>
          <w:lang w:val="en-US"/>
        </w:rPr>
        <w:t>8</w:t>
      </w:r>
      <w:r w:rsidR="00B300BD">
        <w:rPr>
          <w:lang w:val="en-US"/>
        </w:rPr>
        <w:t xml:space="preserve"> </w:t>
      </w:r>
      <w:proofErr w:type="spellStart"/>
      <w:r w:rsidR="00B300BD">
        <w:rPr>
          <w:lang w:val="en-US"/>
        </w:rPr>
        <w:t>lentel</w:t>
      </w:r>
      <w:proofErr w:type="spellEnd"/>
      <w:r w:rsidR="00B300BD">
        <w:t>ė. Sunkių ir mirtinų nelaimingų atsitikimų darbe (N-1) pasiskirstymas pagal priežastis Kauno</w:t>
      </w:r>
      <w:r w:rsidR="00831E03">
        <w:t xml:space="preserve"> miesto</w:t>
      </w:r>
      <w:r w:rsidR="00B300BD">
        <w:t xml:space="preserve"> įmonėse, įstaigose 201</w:t>
      </w:r>
      <w:r w:rsidR="001068D6">
        <w:t>9</w:t>
      </w:r>
      <w:r w:rsidR="00B300BD">
        <w:t xml:space="preserve"> m.</w:t>
      </w:r>
    </w:p>
    <w:tbl>
      <w:tblPr>
        <w:tblStyle w:val="4tinkleliolentel3parykinimas1"/>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2"/>
        <w:gridCol w:w="652"/>
        <w:gridCol w:w="543"/>
        <w:gridCol w:w="652"/>
        <w:gridCol w:w="653"/>
        <w:gridCol w:w="652"/>
        <w:gridCol w:w="466"/>
      </w:tblGrid>
      <w:tr w:rsidR="007D4C76" w:rsidRPr="00357D2F" w14:paraId="32BFAE9C" w14:textId="77777777" w:rsidTr="003154E3">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6302" w:type="dxa"/>
            <w:vMerge w:val="restart"/>
            <w:tcBorders>
              <w:top w:val="single" w:sz="2" w:space="0" w:color="auto"/>
              <w:left w:val="single" w:sz="2" w:space="0" w:color="auto"/>
              <w:right w:val="single" w:sz="2" w:space="0" w:color="auto"/>
            </w:tcBorders>
            <w:shd w:val="clear" w:color="auto" w:fill="D6E3BC" w:themeFill="accent3" w:themeFillTint="66"/>
            <w:vAlign w:val="center"/>
          </w:tcPr>
          <w:p w14:paraId="5D6CC7C4" w14:textId="77777777" w:rsidR="00B300BD" w:rsidRPr="00F10858" w:rsidRDefault="00B300BD" w:rsidP="00F10858">
            <w:pPr>
              <w:jc w:val="center"/>
              <w:rPr>
                <w:rFonts w:cs="Times New Roman"/>
                <w:b w:val="0"/>
                <w:color w:val="auto"/>
                <w:szCs w:val="24"/>
              </w:rPr>
            </w:pPr>
            <w:r w:rsidRPr="00F10858">
              <w:rPr>
                <w:rFonts w:cs="Times New Roman"/>
                <w:b w:val="0"/>
                <w:color w:val="auto"/>
                <w:szCs w:val="24"/>
              </w:rPr>
              <w:t>Priežastys</w:t>
            </w:r>
          </w:p>
        </w:tc>
        <w:tc>
          <w:tcPr>
            <w:tcW w:w="2500" w:type="dxa"/>
            <w:gridSpan w:val="4"/>
            <w:tcBorders>
              <w:top w:val="single" w:sz="2" w:space="0" w:color="auto"/>
              <w:left w:val="single" w:sz="2" w:space="0" w:color="auto"/>
              <w:right w:val="single" w:sz="18" w:space="0" w:color="auto"/>
            </w:tcBorders>
            <w:shd w:val="clear" w:color="auto" w:fill="D6E3BC" w:themeFill="accent3" w:themeFillTint="66"/>
            <w:vAlign w:val="center"/>
          </w:tcPr>
          <w:p w14:paraId="31388817" w14:textId="77777777" w:rsidR="00B300BD" w:rsidRPr="00F10858" w:rsidRDefault="00B300BD" w:rsidP="00F10858">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Cs w:val="24"/>
              </w:rPr>
            </w:pPr>
            <w:r w:rsidRPr="00F10858">
              <w:rPr>
                <w:rFonts w:cs="Times New Roman"/>
                <w:b w:val="0"/>
                <w:color w:val="auto"/>
                <w:szCs w:val="24"/>
              </w:rPr>
              <w:t>Nelaimingų atsitikimų darbe (N-1) skaičius</w:t>
            </w:r>
          </w:p>
        </w:tc>
        <w:tc>
          <w:tcPr>
            <w:tcW w:w="1118" w:type="dxa"/>
            <w:gridSpan w:val="2"/>
            <w:vMerge w:val="restart"/>
            <w:tcBorders>
              <w:top w:val="single" w:sz="18" w:space="0" w:color="auto"/>
              <w:left w:val="single" w:sz="18" w:space="0" w:color="auto"/>
              <w:right w:val="single" w:sz="18" w:space="0" w:color="auto"/>
            </w:tcBorders>
            <w:shd w:val="clear" w:color="auto" w:fill="D6E3BC" w:themeFill="accent3" w:themeFillTint="66"/>
            <w:vAlign w:val="center"/>
          </w:tcPr>
          <w:p w14:paraId="60C9A4AF" w14:textId="77777777" w:rsidR="00B300BD" w:rsidRPr="00F10858" w:rsidRDefault="00B300BD" w:rsidP="00F10858">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Cs w:val="24"/>
              </w:rPr>
            </w:pPr>
            <w:r w:rsidRPr="00F10858">
              <w:rPr>
                <w:rFonts w:cs="Times New Roman"/>
                <w:b w:val="0"/>
                <w:color w:val="auto"/>
                <w:szCs w:val="24"/>
              </w:rPr>
              <w:t>Iš viso</w:t>
            </w:r>
          </w:p>
        </w:tc>
      </w:tr>
      <w:tr w:rsidR="00F10858" w:rsidRPr="00357D2F" w14:paraId="60675682" w14:textId="77777777" w:rsidTr="003154E3">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302" w:type="dxa"/>
            <w:vMerge/>
            <w:tcBorders>
              <w:left w:val="single" w:sz="2" w:space="0" w:color="auto"/>
              <w:right w:val="single" w:sz="2" w:space="0" w:color="auto"/>
            </w:tcBorders>
            <w:shd w:val="clear" w:color="auto" w:fill="D6E3BC" w:themeFill="accent3" w:themeFillTint="66"/>
            <w:vAlign w:val="center"/>
          </w:tcPr>
          <w:p w14:paraId="7E9A52C3" w14:textId="77777777" w:rsidR="00B300BD" w:rsidRPr="00F10858" w:rsidRDefault="00B300BD" w:rsidP="00F10858">
            <w:pPr>
              <w:jc w:val="center"/>
              <w:rPr>
                <w:rFonts w:cs="Times New Roman"/>
                <w:szCs w:val="24"/>
              </w:rPr>
            </w:pPr>
          </w:p>
        </w:tc>
        <w:tc>
          <w:tcPr>
            <w:tcW w:w="1195" w:type="dxa"/>
            <w:gridSpan w:val="2"/>
            <w:tcBorders>
              <w:left w:val="single" w:sz="2" w:space="0" w:color="auto"/>
            </w:tcBorders>
            <w:shd w:val="clear" w:color="auto" w:fill="D6E3BC" w:themeFill="accent3" w:themeFillTint="66"/>
            <w:vAlign w:val="center"/>
          </w:tcPr>
          <w:p w14:paraId="0165F69C" w14:textId="77777777" w:rsidR="00B300BD" w:rsidRPr="00F10858" w:rsidRDefault="00B300BD" w:rsidP="00F10858">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10858">
              <w:rPr>
                <w:rFonts w:cs="Times New Roman"/>
                <w:szCs w:val="24"/>
              </w:rPr>
              <w:t>Sunkūs</w:t>
            </w:r>
          </w:p>
        </w:tc>
        <w:tc>
          <w:tcPr>
            <w:tcW w:w="1305" w:type="dxa"/>
            <w:gridSpan w:val="2"/>
            <w:tcBorders>
              <w:right w:val="single" w:sz="18" w:space="0" w:color="auto"/>
            </w:tcBorders>
            <w:shd w:val="clear" w:color="auto" w:fill="D6E3BC" w:themeFill="accent3" w:themeFillTint="66"/>
            <w:vAlign w:val="center"/>
          </w:tcPr>
          <w:p w14:paraId="3FB26436" w14:textId="77777777" w:rsidR="00B300BD" w:rsidRPr="00F10858" w:rsidRDefault="00B300BD" w:rsidP="00F10858">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10858">
              <w:rPr>
                <w:rFonts w:cs="Times New Roman"/>
                <w:szCs w:val="24"/>
              </w:rPr>
              <w:t>Mirtini</w:t>
            </w:r>
          </w:p>
        </w:tc>
        <w:tc>
          <w:tcPr>
            <w:tcW w:w="1118" w:type="dxa"/>
            <w:gridSpan w:val="2"/>
            <w:vMerge/>
            <w:tcBorders>
              <w:left w:val="single" w:sz="18" w:space="0" w:color="auto"/>
              <w:right w:val="single" w:sz="18" w:space="0" w:color="auto"/>
            </w:tcBorders>
            <w:shd w:val="clear" w:color="auto" w:fill="D6E3BC" w:themeFill="accent3" w:themeFillTint="66"/>
            <w:vAlign w:val="center"/>
          </w:tcPr>
          <w:p w14:paraId="39BB4588" w14:textId="77777777" w:rsidR="00B300BD" w:rsidRPr="00F10858" w:rsidRDefault="00B300BD" w:rsidP="00F10858">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r>
      <w:tr w:rsidR="00F10858" w:rsidRPr="00357D2F" w14:paraId="6CF4F19F" w14:textId="77777777" w:rsidTr="003154E3">
        <w:trPr>
          <w:trHeight w:val="252"/>
        </w:trPr>
        <w:tc>
          <w:tcPr>
            <w:cnfStyle w:val="001000000000" w:firstRow="0" w:lastRow="0" w:firstColumn="1" w:lastColumn="0" w:oddVBand="0" w:evenVBand="0" w:oddHBand="0" w:evenHBand="0" w:firstRowFirstColumn="0" w:firstRowLastColumn="0" w:lastRowFirstColumn="0" w:lastRowLastColumn="0"/>
            <w:tcW w:w="6302" w:type="dxa"/>
            <w:vMerge/>
            <w:tcBorders>
              <w:left w:val="single" w:sz="2" w:space="0" w:color="auto"/>
              <w:right w:val="single" w:sz="2" w:space="0" w:color="auto"/>
            </w:tcBorders>
            <w:shd w:val="clear" w:color="auto" w:fill="D6E3BC" w:themeFill="accent3" w:themeFillTint="66"/>
            <w:vAlign w:val="center"/>
          </w:tcPr>
          <w:p w14:paraId="776EACD6" w14:textId="77777777" w:rsidR="00B300BD" w:rsidRPr="00F10858" w:rsidRDefault="00B300BD" w:rsidP="00F10858">
            <w:pPr>
              <w:jc w:val="center"/>
              <w:rPr>
                <w:rFonts w:cs="Times New Roman"/>
                <w:szCs w:val="24"/>
              </w:rPr>
            </w:pPr>
          </w:p>
        </w:tc>
        <w:tc>
          <w:tcPr>
            <w:tcW w:w="652" w:type="dxa"/>
            <w:tcBorders>
              <w:left w:val="single" w:sz="2" w:space="0" w:color="auto"/>
            </w:tcBorders>
            <w:shd w:val="clear" w:color="auto" w:fill="D6E3BC" w:themeFill="accent3" w:themeFillTint="66"/>
            <w:vAlign w:val="center"/>
          </w:tcPr>
          <w:p w14:paraId="6BE9985B" w14:textId="77777777" w:rsidR="00B300BD" w:rsidRPr="00F10858" w:rsidRDefault="00B300BD" w:rsidP="00F10858">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F10858">
              <w:rPr>
                <w:rFonts w:cs="Times New Roman"/>
                <w:szCs w:val="24"/>
              </w:rPr>
              <w:t>Atv</w:t>
            </w:r>
            <w:proofErr w:type="spellEnd"/>
            <w:r w:rsidRPr="00F10858">
              <w:rPr>
                <w:rFonts w:cs="Times New Roman"/>
                <w:szCs w:val="24"/>
              </w:rPr>
              <w:t>.</w:t>
            </w:r>
          </w:p>
        </w:tc>
        <w:tc>
          <w:tcPr>
            <w:tcW w:w="543" w:type="dxa"/>
            <w:shd w:val="clear" w:color="auto" w:fill="D6E3BC" w:themeFill="accent3" w:themeFillTint="66"/>
            <w:vAlign w:val="center"/>
          </w:tcPr>
          <w:p w14:paraId="7B86DCC2" w14:textId="77777777" w:rsidR="00B300BD" w:rsidRPr="00F10858" w:rsidRDefault="00B300BD" w:rsidP="00F10858">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10858">
              <w:rPr>
                <w:rFonts w:cs="Times New Roman"/>
                <w:szCs w:val="24"/>
              </w:rPr>
              <w:t>%</w:t>
            </w:r>
          </w:p>
        </w:tc>
        <w:tc>
          <w:tcPr>
            <w:tcW w:w="652" w:type="dxa"/>
            <w:shd w:val="clear" w:color="auto" w:fill="D6E3BC" w:themeFill="accent3" w:themeFillTint="66"/>
            <w:vAlign w:val="center"/>
          </w:tcPr>
          <w:p w14:paraId="7FCFE87F" w14:textId="77777777" w:rsidR="00B300BD" w:rsidRPr="00F10858" w:rsidRDefault="00B300BD" w:rsidP="00F10858">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F10858">
              <w:rPr>
                <w:rFonts w:cs="Times New Roman"/>
                <w:szCs w:val="24"/>
              </w:rPr>
              <w:t>Atv</w:t>
            </w:r>
            <w:proofErr w:type="spellEnd"/>
            <w:r w:rsidRPr="00F10858">
              <w:rPr>
                <w:rFonts w:cs="Times New Roman"/>
                <w:szCs w:val="24"/>
              </w:rPr>
              <w:t>.</w:t>
            </w:r>
          </w:p>
        </w:tc>
        <w:tc>
          <w:tcPr>
            <w:tcW w:w="653" w:type="dxa"/>
            <w:tcBorders>
              <w:right w:val="single" w:sz="18" w:space="0" w:color="auto"/>
            </w:tcBorders>
            <w:shd w:val="clear" w:color="auto" w:fill="D6E3BC" w:themeFill="accent3" w:themeFillTint="66"/>
            <w:vAlign w:val="center"/>
          </w:tcPr>
          <w:p w14:paraId="6617513C" w14:textId="77777777" w:rsidR="00B300BD" w:rsidRPr="00F10858" w:rsidRDefault="00B300BD" w:rsidP="00F10858">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10858">
              <w:rPr>
                <w:rFonts w:cs="Times New Roman"/>
                <w:szCs w:val="24"/>
              </w:rPr>
              <w:t>%</w:t>
            </w:r>
          </w:p>
        </w:tc>
        <w:tc>
          <w:tcPr>
            <w:tcW w:w="652" w:type="dxa"/>
            <w:tcBorders>
              <w:left w:val="single" w:sz="18" w:space="0" w:color="auto"/>
            </w:tcBorders>
            <w:shd w:val="clear" w:color="auto" w:fill="D6E3BC" w:themeFill="accent3" w:themeFillTint="66"/>
            <w:vAlign w:val="center"/>
          </w:tcPr>
          <w:p w14:paraId="279469CD" w14:textId="77777777" w:rsidR="00B300BD" w:rsidRPr="00F10858" w:rsidRDefault="00B300BD" w:rsidP="00F10858">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F10858">
              <w:rPr>
                <w:rFonts w:cs="Times New Roman"/>
                <w:szCs w:val="24"/>
              </w:rPr>
              <w:t>Atv</w:t>
            </w:r>
            <w:proofErr w:type="spellEnd"/>
            <w:r w:rsidRPr="00F10858">
              <w:rPr>
                <w:rFonts w:cs="Times New Roman"/>
                <w:szCs w:val="24"/>
              </w:rPr>
              <w:t>.</w:t>
            </w:r>
          </w:p>
        </w:tc>
        <w:tc>
          <w:tcPr>
            <w:tcW w:w="466" w:type="dxa"/>
            <w:tcBorders>
              <w:right w:val="single" w:sz="18" w:space="0" w:color="auto"/>
            </w:tcBorders>
            <w:shd w:val="clear" w:color="auto" w:fill="D6E3BC" w:themeFill="accent3" w:themeFillTint="66"/>
            <w:vAlign w:val="center"/>
          </w:tcPr>
          <w:p w14:paraId="03ABB2BF" w14:textId="77777777" w:rsidR="00B300BD" w:rsidRPr="00F10858" w:rsidRDefault="00B300BD" w:rsidP="00F10858">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10858">
              <w:rPr>
                <w:rFonts w:cs="Times New Roman"/>
                <w:szCs w:val="24"/>
              </w:rPr>
              <w:t>%</w:t>
            </w:r>
          </w:p>
        </w:tc>
      </w:tr>
      <w:tr w:rsidR="00F10858" w:rsidRPr="00357D2F" w14:paraId="6D0F4648" w14:textId="77777777" w:rsidTr="003154E3">
        <w:trPr>
          <w:cnfStyle w:val="000000100000" w:firstRow="0" w:lastRow="0" w:firstColumn="0" w:lastColumn="0" w:oddVBand="0" w:evenVBand="0" w:oddHBand="1"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6302" w:type="dxa"/>
            <w:tcBorders>
              <w:left w:val="single" w:sz="2" w:space="0" w:color="auto"/>
            </w:tcBorders>
            <w:shd w:val="clear" w:color="auto" w:fill="FFFFFF" w:themeFill="background1"/>
          </w:tcPr>
          <w:p w14:paraId="0D563547" w14:textId="45A79B0D" w:rsidR="00B300BD" w:rsidRPr="00F10858" w:rsidRDefault="00B300BD" w:rsidP="009A6F70">
            <w:pPr>
              <w:rPr>
                <w:rFonts w:cs="Times New Roman"/>
                <w:b w:val="0"/>
                <w:szCs w:val="24"/>
              </w:rPr>
            </w:pPr>
            <w:r w:rsidRPr="00F10858">
              <w:rPr>
                <w:rFonts w:cs="Times New Roman"/>
                <w:b w:val="0"/>
                <w:szCs w:val="24"/>
              </w:rPr>
              <w:t>Saugos ir sveikatos normini</w:t>
            </w:r>
            <w:r w:rsidR="007A4C3C">
              <w:rPr>
                <w:rFonts w:cs="Times New Roman"/>
                <w:b w:val="0"/>
                <w:szCs w:val="24"/>
              </w:rPr>
              <w:t>ų</w:t>
            </w:r>
            <w:r w:rsidRPr="00F10858">
              <w:rPr>
                <w:rFonts w:cs="Times New Roman"/>
                <w:b w:val="0"/>
                <w:szCs w:val="24"/>
              </w:rPr>
              <w:t xml:space="preserve"> teisės akt</w:t>
            </w:r>
            <w:r w:rsidR="007A4C3C">
              <w:rPr>
                <w:rFonts w:cs="Times New Roman"/>
                <w:b w:val="0"/>
                <w:szCs w:val="24"/>
              </w:rPr>
              <w:t>ų</w:t>
            </w:r>
            <w:r w:rsidRPr="00F10858">
              <w:rPr>
                <w:rFonts w:cs="Times New Roman"/>
                <w:b w:val="0"/>
                <w:szCs w:val="24"/>
              </w:rPr>
              <w:t xml:space="preserve"> (darbuotojams</w:t>
            </w:r>
            <w:r w:rsidR="00F10858">
              <w:rPr>
                <w:rFonts w:cs="Times New Roman"/>
                <w:b w:val="0"/>
                <w:szCs w:val="24"/>
              </w:rPr>
              <w:t xml:space="preserve"> </w:t>
            </w:r>
            <w:r w:rsidRPr="00F10858">
              <w:rPr>
                <w:rFonts w:cs="Times New Roman"/>
                <w:b w:val="0"/>
                <w:szCs w:val="24"/>
              </w:rPr>
              <w:t>privalomų vykdyti instrukcijų, taisyklių ir kt.) reikalavimų pažeidimas</w:t>
            </w:r>
          </w:p>
        </w:tc>
        <w:tc>
          <w:tcPr>
            <w:tcW w:w="652" w:type="dxa"/>
            <w:shd w:val="clear" w:color="auto" w:fill="FFFFFF" w:themeFill="background1"/>
            <w:vAlign w:val="center"/>
          </w:tcPr>
          <w:p w14:paraId="3F46A18F" w14:textId="3BC7100C" w:rsidR="00B300BD" w:rsidRPr="00F10858" w:rsidRDefault="00A53A3D" w:rsidP="00C3190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10858">
              <w:rPr>
                <w:rFonts w:cs="Times New Roman"/>
                <w:szCs w:val="24"/>
              </w:rPr>
              <w:t>9</w:t>
            </w:r>
          </w:p>
        </w:tc>
        <w:tc>
          <w:tcPr>
            <w:tcW w:w="543" w:type="dxa"/>
            <w:shd w:val="clear" w:color="auto" w:fill="FFFFFF" w:themeFill="background1"/>
            <w:vAlign w:val="center"/>
          </w:tcPr>
          <w:p w14:paraId="13B0D0B4" w14:textId="7279B072" w:rsidR="00B300BD" w:rsidRPr="00F10858" w:rsidRDefault="00A53A3D" w:rsidP="00C3190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10858">
              <w:rPr>
                <w:rFonts w:cs="Times New Roman"/>
                <w:szCs w:val="24"/>
              </w:rPr>
              <w:t>43</w:t>
            </w:r>
          </w:p>
        </w:tc>
        <w:tc>
          <w:tcPr>
            <w:tcW w:w="652" w:type="dxa"/>
            <w:shd w:val="clear" w:color="auto" w:fill="FFFFFF" w:themeFill="background1"/>
            <w:vAlign w:val="center"/>
          </w:tcPr>
          <w:p w14:paraId="0143567F" w14:textId="417300BF" w:rsidR="00B300BD" w:rsidRPr="00F10858" w:rsidRDefault="00A53A3D" w:rsidP="00C3190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10858">
              <w:rPr>
                <w:rFonts w:cs="Times New Roman"/>
                <w:szCs w:val="24"/>
              </w:rPr>
              <w:t>0</w:t>
            </w:r>
          </w:p>
        </w:tc>
        <w:tc>
          <w:tcPr>
            <w:tcW w:w="653" w:type="dxa"/>
            <w:tcBorders>
              <w:right w:val="single" w:sz="18" w:space="0" w:color="auto"/>
            </w:tcBorders>
            <w:shd w:val="clear" w:color="auto" w:fill="FFFFFF" w:themeFill="background1"/>
            <w:vAlign w:val="center"/>
          </w:tcPr>
          <w:p w14:paraId="0F59F618" w14:textId="73F078A0" w:rsidR="00B300BD" w:rsidRPr="00F10858" w:rsidRDefault="00A53A3D" w:rsidP="00C3190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10858">
              <w:rPr>
                <w:rFonts w:cs="Times New Roman"/>
                <w:szCs w:val="24"/>
              </w:rPr>
              <w:t>-</w:t>
            </w:r>
          </w:p>
        </w:tc>
        <w:tc>
          <w:tcPr>
            <w:tcW w:w="652" w:type="dxa"/>
            <w:tcBorders>
              <w:left w:val="single" w:sz="18" w:space="0" w:color="auto"/>
            </w:tcBorders>
            <w:shd w:val="clear" w:color="auto" w:fill="FFFFFF" w:themeFill="background1"/>
            <w:vAlign w:val="center"/>
          </w:tcPr>
          <w:p w14:paraId="0942B3CA" w14:textId="6B5078C6" w:rsidR="00B300BD" w:rsidRPr="00F10858" w:rsidRDefault="00A53A3D" w:rsidP="00C3190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10858">
              <w:rPr>
                <w:rFonts w:cs="Times New Roman"/>
                <w:szCs w:val="24"/>
              </w:rPr>
              <w:t>9</w:t>
            </w:r>
          </w:p>
        </w:tc>
        <w:tc>
          <w:tcPr>
            <w:tcW w:w="466" w:type="dxa"/>
            <w:tcBorders>
              <w:right w:val="single" w:sz="18" w:space="0" w:color="auto"/>
            </w:tcBorders>
            <w:shd w:val="clear" w:color="auto" w:fill="FFFFFF" w:themeFill="background1"/>
            <w:vAlign w:val="center"/>
          </w:tcPr>
          <w:p w14:paraId="5EF80CC8" w14:textId="010627EE" w:rsidR="00B300BD" w:rsidRPr="00F10858" w:rsidRDefault="00A53A3D" w:rsidP="00C3190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10858">
              <w:rPr>
                <w:rFonts w:cs="Times New Roman"/>
                <w:szCs w:val="24"/>
              </w:rPr>
              <w:t>39</w:t>
            </w:r>
          </w:p>
        </w:tc>
      </w:tr>
      <w:tr w:rsidR="00F10858" w:rsidRPr="00357D2F" w14:paraId="3A47C4C9" w14:textId="77777777" w:rsidTr="003154E3">
        <w:trPr>
          <w:trHeight w:val="239"/>
        </w:trPr>
        <w:tc>
          <w:tcPr>
            <w:cnfStyle w:val="001000000000" w:firstRow="0" w:lastRow="0" w:firstColumn="1" w:lastColumn="0" w:oddVBand="0" w:evenVBand="0" w:oddHBand="0" w:evenHBand="0" w:firstRowFirstColumn="0" w:firstRowLastColumn="0" w:lastRowFirstColumn="0" w:lastRowLastColumn="0"/>
            <w:tcW w:w="6302" w:type="dxa"/>
            <w:tcBorders>
              <w:left w:val="single" w:sz="2" w:space="0" w:color="auto"/>
            </w:tcBorders>
            <w:shd w:val="clear" w:color="auto" w:fill="FFFFFF" w:themeFill="background1"/>
          </w:tcPr>
          <w:p w14:paraId="7E0836C8" w14:textId="77777777" w:rsidR="00B300BD" w:rsidRPr="00F10858" w:rsidRDefault="00B300BD" w:rsidP="009A6F70">
            <w:pPr>
              <w:rPr>
                <w:rFonts w:cs="Times New Roman"/>
                <w:b w:val="0"/>
                <w:szCs w:val="24"/>
              </w:rPr>
            </w:pPr>
            <w:r w:rsidRPr="00F10858">
              <w:rPr>
                <w:rFonts w:cs="Times New Roman"/>
                <w:b w:val="0"/>
                <w:szCs w:val="24"/>
              </w:rPr>
              <w:t>Netinkamas darbo vietos įrengimas</w:t>
            </w:r>
          </w:p>
        </w:tc>
        <w:tc>
          <w:tcPr>
            <w:tcW w:w="652" w:type="dxa"/>
            <w:shd w:val="clear" w:color="auto" w:fill="FFFFFF" w:themeFill="background1"/>
            <w:vAlign w:val="center"/>
          </w:tcPr>
          <w:p w14:paraId="1C2A95F6" w14:textId="643695BF" w:rsidR="00B300BD" w:rsidRPr="00F10858" w:rsidRDefault="00A53A3D" w:rsidP="00C3190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10858">
              <w:rPr>
                <w:rFonts w:cs="Times New Roman"/>
                <w:szCs w:val="24"/>
              </w:rPr>
              <w:t>2</w:t>
            </w:r>
          </w:p>
        </w:tc>
        <w:tc>
          <w:tcPr>
            <w:tcW w:w="543" w:type="dxa"/>
            <w:shd w:val="clear" w:color="auto" w:fill="FFFFFF" w:themeFill="background1"/>
            <w:vAlign w:val="center"/>
          </w:tcPr>
          <w:p w14:paraId="28C7C939" w14:textId="4BD80814" w:rsidR="00B300BD" w:rsidRPr="00F10858" w:rsidRDefault="00A53A3D" w:rsidP="00C3190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10858">
              <w:rPr>
                <w:rFonts w:cs="Times New Roman"/>
                <w:szCs w:val="24"/>
              </w:rPr>
              <w:t>10</w:t>
            </w:r>
          </w:p>
        </w:tc>
        <w:tc>
          <w:tcPr>
            <w:tcW w:w="652" w:type="dxa"/>
            <w:shd w:val="clear" w:color="auto" w:fill="FFFFFF" w:themeFill="background1"/>
            <w:vAlign w:val="center"/>
          </w:tcPr>
          <w:p w14:paraId="137F54CB" w14:textId="39BAC72D" w:rsidR="00B300BD" w:rsidRPr="00F10858" w:rsidRDefault="00A53A3D" w:rsidP="00C3190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10858">
              <w:rPr>
                <w:rFonts w:cs="Times New Roman"/>
                <w:szCs w:val="24"/>
              </w:rPr>
              <w:t>0</w:t>
            </w:r>
          </w:p>
        </w:tc>
        <w:tc>
          <w:tcPr>
            <w:tcW w:w="653" w:type="dxa"/>
            <w:tcBorders>
              <w:right w:val="single" w:sz="18" w:space="0" w:color="auto"/>
            </w:tcBorders>
            <w:shd w:val="clear" w:color="auto" w:fill="FFFFFF" w:themeFill="background1"/>
            <w:vAlign w:val="center"/>
          </w:tcPr>
          <w:p w14:paraId="16E4B55B" w14:textId="4D77D001" w:rsidR="00B300BD" w:rsidRPr="00F10858" w:rsidRDefault="00A53A3D" w:rsidP="00C3190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10858">
              <w:rPr>
                <w:rFonts w:cs="Times New Roman"/>
                <w:szCs w:val="24"/>
              </w:rPr>
              <w:t>-</w:t>
            </w:r>
          </w:p>
        </w:tc>
        <w:tc>
          <w:tcPr>
            <w:tcW w:w="652" w:type="dxa"/>
            <w:tcBorders>
              <w:left w:val="single" w:sz="18" w:space="0" w:color="auto"/>
            </w:tcBorders>
            <w:shd w:val="clear" w:color="auto" w:fill="FFFFFF" w:themeFill="background1"/>
            <w:vAlign w:val="center"/>
          </w:tcPr>
          <w:p w14:paraId="5F0E3415" w14:textId="08739B38" w:rsidR="00B300BD" w:rsidRPr="00F10858" w:rsidRDefault="00A53A3D" w:rsidP="00C3190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10858">
              <w:rPr>
                <w:rFonts w:cs="Times New Roman"/>
                <w:szCs w:val="24"/>
              </w:rPr>
              <w:t>2</w:t>
            </w:r>
          </w:p>
        </w:tc>
        <w:tc>
          <w:tcPr>
            <w:tcW w:w="466" w:type="dxa"/>
            <w:tcBorders>
              <w:right w:val="single" w:sz="18" w:space="0" w:color="auto"/>
            </w:tcBorders>
            <w:shd w:val="clear" w:color="auto" w:fill="FFFFFF" w:themeFill="background1"/>
            <w:vAlign w:val="center"/>
          </w:tcPr>
          <w:p w14:paraId="3EF0E32B" w14:textId="5616798D" w:rsidR="00B300BD" w:rsidRPr="00F10858" w:rsidRDefault="00A53A3D" w:rsidP="00C3190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10858">
              <w:rPr>
                <w:rFonts w:cs="Times New Roman"/>
                <w:szCs w:val="24"/>
              </w:rPr>
              <w:t>9</w:t>
            </w:r>
          </w:p>
        </w:tc>
      </w:tr>
      <w:tr w:rsidR="00F10858" w:rsidRPr="00357D2F" w14:paraId="67CEBE21" w14:textId="77777777" w:rsidTr="003154E3">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6302" w:type="dxa"/>
            <w:tcBorders>
              <w:left w:val="single" w:sz="2" w:space="0" w:color="auto"/>
            </w:tcBorders>
            <w:shd w:val="clear" w:color="auto" w:fill="FFFFFF" w:themeFill="background1"/>
          </w:tcPr>
          <w:p w14:paraId="6E551687" w14:textId="34B17C14" w:rsidR="00B300BD" w:rsidRPr="00F10858" w:rsidRDefault="001149F4" w:rsidP="001149F4">
            <w:pPr>
              <w:rPr>
                <w:rFonts w:cs="Times New Roman"/>
                <w:b w:val="0"/>
                <w:szCs w:val="24"/>
              </w:rPr>
            </w:pPr>
            <w:r w:rsidRPr="00F10858">
              <w:rPr>
                <w:rFonts w:cs="Times New Roman"/>
                <w:b w:val="0"/>
                <w:szCs w:val="24"/>
              </w:rPr>
              <w:t>Darbo priemonės konstrukcijos trūkumai</w:t>
            </w:r>
          </w:p>
        </w:tc>
        <w:tc>
          <w:tcPr>
            <w:tcW w:w="652" w:type="dxa"/>
            <w:shd w:val="clear" w:color="auto" w:fill="FFFFFF" w:themeFill="background1"/>
            <w:vAlign w:val="center"/>
          </w:tcPr>
          <w:p w14:paraId="514E2C22" w14:textId="17F1C87C" w:rsidR="00B300BD" w:rsidRPr="00F10858" w:rsidRDefault="001149F4" w:rsidP="00C3190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10858">
              <w:rPr>
                <w:rFonts w:cs="Times New Roman"/>
                <w:szCs w:val="24"/>
              </w:rPr>
              <w:t>1</w:t>
            </w:r>
          </w:p>
        </w:tc>
        <w:tc>
          <w:tcPr>
            <w:tcW w:w="543" w:type="dxa"/>
            <w:shd w:val="clear" w:color="auto" w:fill="FFFFFF" w:themeFill="background1"/>
            <w:vAlign w:val="center"/>
          </w:tcPr>
          <w:p w14:paraId="3EFFEE31" w14:textId="31A4FFE2" w:rsidR="00B300BD" w:rsidRPr="00F10858" w:rsidRDefault="001149F4" w:rsidP="00C3190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10858">
              <w:rPr>
                <w:rFonts w:cs="Times New Roman"/>
                <w:szCs w:val="24"/>
              </w:rPr>
              <w:t>5</w:t>
            </w:r>
          </w:p>
        </w:tc>
        <w:tc>
          <w:tcPr>
            <w:tcW w:w="652" w:type="dxa"/>
            <w:shd w:val="clear" w:color="auto" w:fill="FFFFFF" w:themeFill="background1"/>
            <w:vAlign w:val="center"/>
          </w:tcPr>
          <w:p w14:paraId="7B619F78" w14:textId="21F95BD8" w:rsidR="00B300BD" w:rsidRPr="00F10858" w:rsidRDefault="001149F4" w:rsidP="00C3190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10858">
              <w:rPr>
                <w:rFonts w:cs="Times New Roman"/>
                <w:szCs w:val="24"/>
              </w:rPr>
              <w:t>0</w:t>
            </w:r>
          </w:p>
        </w:tc>
        <w:tc>
          <w:tcPr>
            <w:tcW w:w="653" w:type="dxa"/>
            <w:tcBorders>
              <w:right w:val="single" w:sz="18" w:space="0" w:color="auto"/>
            </w:tcBorders>
            <w:shd w:val="clear" w:color="auto" w:fill="FFFFFF" w:themeFill="background1"/>
            <w:vAlign w:val="center"/>
          </w:tcPr>
          <w:p w14:paraId="6B2FBE58" w14:textId="76451FAB" w:rsidR="00B300BD" w:rsidRPr="00F10858" w:rsidRDefault="001149F4" w:rsidP="00C3190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10858">
              <w:rPr>
                <w:rFonts w:cs="Times New Roman"/>
                <w:szCs w:val="24"/>
              </w:rPr>
              <w:t>-</w:t>
            </w:r>
          </w:p>
        </w:tc>
        <w:tc>
          <w:tcPr>
            <w:tcW w:w="652" w:type="dxa"/>
            <w:tcBorders>
              <w:left w:val="single" w:sz="18" w:space="0" w:color="auto"/>
            </w:tcBorders>
            <w:shd w:val="clear" w:color="auto" w:fill="FFFFFF" w:themeFill="background1"/>
            <w:vAlign w:val="center"/>
          </w:tcPr>
          <w:p w14:paraId="21A62AA2" w14:textId="54DCD7C9" w:rsidR="00B300BD" w:rsidRPr="00F10858" w:rsidRDefault="001149F4" w:rsidP="00C3190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10858">
              <w:rPr>
                <w:rFonts w:cs="Times New Roman"/>
                <w:szCs w:val="24"/>
              </w:rPr>
              <w:t>1</w:t>
            </w:r>
          </w:p>
        </w:tc>
        <w:tc>
          <w:tcPr>
            <w:tcW w:w="466" w:type="dxa"/>
            <w:tcBorders>
              <w:right w:val="single" w:sz="18" w:space="0" w:color="auto"/>
            </w:tcBorders>
            <w:shd w:val="clear" w:color="auto" w:fill="FFFFFF" w:themeFill="background1"/>
            <w:vAlign w:val="center"/>
          </w:tcPr>
          <w:p w14:paraId="7EBE5BA5" w14:textId="374F0CD1" w:rsidR="00B300BD" w:rsidRPr="00F10858" w:rsidRDefault="001149F4" w:rsidP="00C3190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10858">
              <w:rPr>
                <w:rFonts w:cs="Times New Roman"/>
                <w:szCs w:val="24"/>
              </w:rPr>
              <w:t>4</w:t>
            </w:r>
          </w:p>
        </w:tc>
      </w:tr>
      <w:tr w:rsidR="00F10858" w:rsidRPr="00357D2F" w14:paraId="7C42C263" w14:textId="77777777" w:rsidTr="003154E3">
        <w:trPr>
          <w:trHeight w:val="239"/>
        </w:trPr>
        <w:tc>
          <w:tcPr>
            <w:cnfStyle w:val="001000000000" w:firstRow="0" w:lastRow="0" w:firstColumn="1" w:lastColumn="0" w:oddVBand="0" w:evenVBand="0" w:oddHBand="0" w:evenHBand="0" w:firstRowFirstColumn="0" w:firstRowLastColumn="0" w:lastRowFirstColumn="0" w:lastRowLastColumn="0"/>
            <w:tcW w:w="6302" w:type="dxa"/>
            <w:tcBorders>
              <w:left w:val="single" w:sz="2" w:space="0" w:color="auto"/>
            </w:tcBorders>
            <w:shd w:val="clear" w:color="auto" w:fill="FFFFFF" w:themeFill="background1"/>
          </w:tcPr>
          <w:p w14:paraId="0160D521" w14:textId="77777777" w:rsidR="00B300BD" w:rsidRPr="00F10858" w:rsidRDefault="00B300BD" w:rsidP="009A6F70">
            <w:pPr>
              <w:rPr>
                <w:rFonts w:cs="Times New Roman"/>
                <w:b w:val="0"/>
                <w:szCs w:val="24"/>
              </w:rPr>
            </w:pPr>
            <w:r w:rsidRPr="00F10858">
              <w:rPr>
                <w:rFonts w:cs="Times New Roman"/>
                <w:b w:val="0"/>
                <w:szCs w:val="24"/>
              </w:rPr>
              <w:t>Netinkamų kolektyvinių saugos priemonių naudojimas</w:t>
            </w:r>
          </w:p>
        </w:tc>
        <w:tc>
          <w:tcPr>
            <w:tcW w:w="652" w:type="dxa"/>
            <w:shd w:val="clear" w:color="auto" w:fill="FFFFFF" w:themeFill="background1"/>
            <w:vAlign w:val="center"/>
          </w:tcPr>
          <w:p w14:paraId="7ADCFDFE" w14:textId="6EAB7CBF" w:rsidR="00B300BD" w:rsidRPr="00F10858" w:rsidRDefault="001149F4" w:rsidP="00C3190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10858">
              <w:rPr>
                <w:rFonts w:cs="Times New Roman"/>
                <w:szCs w:val="24"/>
              </w:rPr>
              <w:t>1</w:t>
            </w:r>
          </w:p>
        </w:tc>
        <w:tc>
          <w:tcPr>
            <w:tcW w:w="543" w:type="dxa"/>
            <w:shd w:val="clear" w:color="auto" w:fill="FFFFFF" w:themeFill="background1"/>
            <w:vAlign w:val="center"/>
          </w:tcPr>
          <w:p w14:paraId="0B090385" w14:textId="43DDAEE3" w:rsidR="00B300BD" w:rsidRPr="00F10858" w:rsidRDefault="001149F4" w:rsidP="00C3190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10858">
              <w:rPr>
                <w:rFonts w:cs="Times New Roman"/>
                <w:szCs w:val="24"/>
              </w:rPr>
              <w:t>5</w:t>
            </w:r>
          </w:p>
        </w:tc>
        <w:tc>
          <w:tcPr>
            <w:tcW w:w="652" w:type="dxa"/>
            <w:shd w:val="clear" w:color="auto" w:fill="FFFFFF" w:themeFill="background1"/>
            <w:vAlign w:val="center"/>
          </w:tcPr>
          <w:p w14:paraId="73D8C946" w14:textId="2A8B0BEA" w:rsidR="00B300BD" w:rsidRPr="00F10858" w:rsidRDefault="001149F4" w:rsidP="00C3190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10858">
              <w:rPr>
                <w:rFonts w:cs="Times New Roman"/>
                <w:szCs w:val="24"/>
              </w:rPr>
              <w:t>0</w:t>
            </w:r>
          </w:p>
        </w:tc>
        <w:tc>
          <w:tcPr>
            <w:tcW w:w="653" w:type="dxa"/>
            <w:tcBorders>
              <w:right w:val="single" w:sz="18" w:space="0" w:color="auto"/>
            </w:tcBorders>
            <w:shd w:val="clear" w:color="auto" w:fill="FFFFFF" w:themeFill="background1"/>
            <w:vAlign w:val="center"/>
          </w:tcPr>
          <w:p w14:paraId="5EAE78F7" w14:textId="3354D47E" w:rsidR="00B300BD" w:rsidRPr="00F10858" w:rsidRDefault="001149F4" w:rsidP="00C3190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10858">
              <w:rPr>
                <w:rFonts w:cs="Times New Roman"/>
                <w:szCs w:val="24"/>
              </w:rPr>
              <w:t>-</w:t>
            </w:r>
          </w:p>
        </w:tc>
        <w:tc>
          <w:tcPr>
            <w:tcW w:w="652" w:type="dxa"/>
            <w:tcBorders>
              <w:left w:val="single" w:sz="18" w:space="0" w:color="auto"/>
            </w:tcBorders>
            <w:shd w:val="clear" w:color="auto" w:fill="FFFFFF" w:themeFill="background1"/>
            <w:vAlign w:val="center"/>
          </w:tcPr>
          <w:p w14:paraId="6663835B" w14:textId="5868C05C" w:rsidR="00B300BD" w:rsidRPr="00F10858" w:rsidRDefault="001149F4" w:rsidP="00C3190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10858">
              <w:rPr>
                <w:rFonts w:cs="Times New Roman"/>
                <w:szCs w:val="24"/>
              </w:rPr>
              <w:t>1</w:t>
            </w:r>
          </w:p>
        </w:tc>
        <w:tc>
          <w:tcPr>
            <w:tcW w:w="466" w:type="dxa"/>
            <w:tcBorders>
              <w:right w:val="single" w:sz="18" w:space="0" w:color="auto"/>
            </w:tcBorders>
            <w:shd w:val="clear" w:color="auto" w:fill="FFFFFF" w:themeFill="background1"/>
            <w:vAlign w:val="center"/>
          </w:tcPr>
          <w:p w14:paraId="12B31BEB" w14:textId="45A87A6A" w:rsidR="00B300BD" w:rsidRPr="00F10858" w:rsidRDefault="001149F4" w:rsidP="00C3190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10858">
              <w:rPr>
                <w:rFonts w:cs="Times New Roman"/>
                <w:szCs w:val="24"/>
              </w:rPr>
              <w:t>4</w:t>
            </w:r>
          </w:p>
        </w:tc>
      </w:tr>
      <w:tr w:rsidR="00F10858" w:rsidRPr="00357D2F" w14:paraId="1DA012DA" w14:textId="77777777" w:rsidTr="003154E3">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6302" w:type="dxa"/>
            <w:tcBorders>
              <w:left w:val="single" w:sz="2" w:space="0" w:color="auto"/>
            </w:tcBorders>
            <w:shd w:val="clear" w:color="auto" w:fill="FFFFFF" w:themeFill="background1"/>
          </w:tcPr>
          <w:p w14:paraId="28283CC3" w14:textId="77777777" w:rsidR="00B300BD" w:rsidRPr="00F10858" w:rsidRDefault="00B300BD" w:rsidP="009A6F70">
            <w:pPr>
              <w:rPr>
                <w:rFonts w:cs="Times New Roman"/>
                <w:b w:val="0"/>
                <w:szCs w:val="24"/>
              </w:rPr>
            </w:pPr>
            <w:r w:rsidRPr="00F10858">
              <w:rPr>
                <w:rFonts w:cs="Times New Roman"/>
                <w:b w:val="0"/>
                <w:szCs w:val="24"/>
              </w:rPr>
              <w:t>Netinkamas darbų organizavimas</w:t>
            </w:r>
          </w:p>
        </w:tc>
        <w:tc>
          <w:tcPr>
            <w:tcW w:w="652" w:type="dxa"/>
            <w:shd w:val="clear" w:color="auto" w:fill="FFFFFF" w:themeFill="background1"/>
            <w:vAlign w:val="center"/>
          </w:tcPr>
          <w:p w14:paraId="2AAFD4CA" w14:textId="6B6D0B0C" w:rsidR="00B300BD" w:rsidRPr="00F10858" w:rsidRDefault="001149F4" w:rsidP="00C3190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10858">
              <w:rPr>
                <w:rFonts w:cs="Times New Roman"/>
                <w:szCs w:val="24"/>
              </w:rPr>
              <w:t>2</w:t>
            </w:r>
          </w:p>
        </w:tc>
        <w:tc>
          <w:tcPr>
            <w:tcW w:w="543" w:type="dxa"/>
            <w:shd w:val="clear" w:color="auto" w:fill="FFFFFF" w:themeFill="background1"/>
            <w:vAlign w:val="center"/>
          </w:tcPr>
          <w:p w14:paraId="36831BF4" w14:textId="2F5952B7" w:rsidR="00B300BD" w:rsidRPr="00F10858" w:rsidRDefault="001149F4" w:rsidP="00C3190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10858">
              <w:rPr>
                <w:rFonts w:cs="Times New Roman"/>
                <w:szCs w:val="24"/>
              </w:rPr>
              <w:t>10</w:t>
            </w:r>
          </w:p>
        </w:tc>
        <w:tc>
          <w:tcPr>
            <w:tcW w:w="652" w:type="dxa"/>
            <w:shd w:val="clear" w:color="auto" w:fill="FFFFFF" w:themeFill="background1"/>
            <w:vAlign w:val="center"/>
          </w:tcPr>
          <w:p w14:paraId="5ED43FEC" w14:textId="10C70229" w:rsidR="00B300BD" w:rsidRPr="00F10858" w:rsidRDefault="001149F4" w:rsidP="00C3190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10858">
              <w:rPr>
                <w:rFonts w:cs="Times New Roman"/>
                <w:szCs w:val="24"/>
              </w:rPr>
              <w:t>0</w:t>
            </w:r>
          </w:p>
        </w:tc>
        <w:tc>
          <w:tcPr>
            <w:tcW w:w="653" w:type="dxa"/>
            <w:tcBorders>
              <w:right w:val="single" w:sz="18" w:space="0" w:color="auto"/>
            </w:tcBorders>
            <w:shd w:val="clear" w:color="auto" w:fill="FFFFFF" w:themeFill="background1"/>
            <w:vAlign w:val="center"/>
          </w:tcPr>
          <w:p w14:paraId="0FA52A3D" w14:textId="3DAAA3E7" w:rsidR="00B300BD" w:rsidRPr="00F10858" w:rsidRDefault="001149F4" w:rsidP="00C3190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10858">
              <w:rPr>
                <w:rFonts w:cs="Times New Roman"/>
                <w:szCs w:val="24"/>
              </w:rPr>
              <w:t>-</w:t>
            </w:r>
          </w:p>
        </w:tc>
        <w:tc>
          <w:tcPr>
            <w:tcW w:w="652" w:type="dxa"/>
            <w:tcBorders>
              <w:left w:val="single" w:sz="18" w:space="0" w:color="auto"/>
            </w:tcBorders>
            <w:shd w:val="clear" w:color="auto" w:fill="FFFFFF" w:themeFill="background1"/>
            <w:vAlign w:val="center"/>
          </w:tcPr>
          <w:p w14:paraId="4E52100B" w14:textId="565EB9EC" w:rsidR="00B300BD" w:rsidRPr="00F10858" w:rsidRDefault="001149F4" w:rsidP="00C3190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10858">
              <w:rPr>
                <w:rFonts w:cs="Times New Roman"/>
                <w:szCs w:val="24"/>
              </w:rPr>
              <w:t>2</w:t>
            </w:r>
          </w:p>
        </w:tc>
        <w:tc>
          <w:tcPr>
            <w:tcW w:w="466" w:type="dxa"/>
            <w:tcBorders>
              <w:right w:val="single" w:sz="18" w:space="0" w:color="auto"/>
            </w:tcBorders>
            <w:shd w:val="clear" w:color="auto" w:fill="FFFFFF" w:themeFill="background1"/>
            <w:vAlign w:val="center"/>
          </w:tcPr>
          <w:p w14:paraId="3D3E6471" w14:textId="0B0F66E2" w:rsidR="00B300BD" w:rsidRPr="00F10858" w:rsidRDefault="001149F4" w:rsidP="00C3190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10858">
              <w:rPr>
                <w:rFonts w:cs="Times New Roman"/>
                <w:szCs w:val="24"/>
              </w:rPr>
              <w:t>9</w:t>
            </w:r>
          </w:p>
        </w:tc>
      </w:tr>
      <w:tr w:rsidR="00F10858" w:rsidRPr="00357D2F" w14:paraId="0EC11273" w14:textId="77777777" w:rsidTr="003154E3">
        <w:trPr>
          <w:trHeight w:val="491"/>
        </w:trPr>
        <w:tc>
          <w:tcPr>
            <w:cnfStyle w:val="001000000000" w:firstRow="0" w:lastRow="0" w:firstColumn="1" w:lastColumn="0" w:oddVBand="0" w:evenVBand="0" w:oddHBand="0" w:evenHBand="0" w:firstRowFirstColumn="0" w:firstRowLastColumn="0" w:lastRowFirstColumn="0" w:lastRowLastColumn="0"/>
            <w:tcW w:w="6302" w:type="dxa"/>
            <w:tcBorders>
              <w:left w:val="single" w:sz="2" w:space="0" w:color="auto"/>
            </w:tcBorders>
            <w:shd w:val="clear" w:color="auto" w:fill="FFFFFF" w:themeFill="background1"/>
          </w:tcPr>
          <w:p w14:paraId="20FFF9D5" w14:textId="632C96C5" w:rsidR="00B300BD" w:rsidRPr="00F10858" w:rsidRDefault="00442E28" w:rsidP="00442E28">
            <w:pPr>
              <w:rPr>
                <w:rFonts w:cs="Times New Roman"/>
                <w:b w:val="0"/>
                <w:szCs w:val="24"/>
              </w:rPr>
            </w:pPr>
            <w:r w:rsidRPr="00F10858">
              <w:rPr>
                <w:rFonts w:cs="Times New Roman"/>
                <w:b w:val="0"/>
                <w:szCs w:val="24"/>
              </w:rPr>
              <w:t>Teritorijos, grindų, praėjimų būklės ar jų priežiūros neatitikimas saugos ir sveikatos teisės aktų reikalavimams</w:t>
            </w:r>
          </w:p>
        </w:tc>
        <w:tc>
          <w:tcPr>
            <w:tcW w:w="652" w:type="dxa"/>
            <w:shd w:val="clear" w:color="auto" w:fill="FFFFFF" w:themeFill="background1"/>
            <w:vAlign w:val="center"/>
          </w:tcPr>
          <w:p w14:paraId="1720228B" w14:textId="40A0DE3B" w:rsidR="00B300BD" w:rsidRPr="00F10858" w:rsidRDefault="00442E28" w:rsidP="00C3190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10858">
              <w:rPr>
                <w:rFonts w:cs="Times New Roman"/>
                <w:szCs w:val="24"/>
              </w:rPr>
              <w:t>1</w:t>
            </w:r>
          </w:p>
        </w:tc>
        <w:tc>
          <w:tcPr>
            <w:tcW w:w="543" w:type="dxa"/>
            <w:shd w:val="clear" w:color="auto" w:fill="FFFFFF" w:themeFill="background1"/>
            <w:vAlign w:val="center"/>
          </w:tcPr>
          <w:p w14:paraId="46D9F0E2" w14:textId="767A4F07" w:rsidR="00B300BD" w:rsidRPr="00F10858" w:rsidRDefault="00442E28" w:rsidP="00C3190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10858">
              <w:rPr>
                <w:rFonts w:cs="Times New Roman"/>
                <w:szCs w:val="24"/>
              </w:rPr>
              <w:t>5</w:t>
            </w:r>
          </w:p>
        </w:tc>
        <w:tc>
          <w:tcPr>
            <w:tcW w:w="652" w:type="dxa"/>
            <w:shd w:val="clear" w:color="auto" w:fill="FFFFFF" w:themeFill="background1"/>
            <w:vAlign w:val="center"/>
          </w:tcPr>
          <w:p w14:paraId="31FAE565" w14:textId="4D36B854" w:rsidR="00B300BD" w:rsidRPr="00F10858" w:rsidRDefault="00442E28" w:rsidP="00C3190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10858">
              <w:rPr>
                <w:rFonts w:cs="Times New Roman"/>
                <w:szCs w:val="24"/>
              </w:rPr>
              <w:t>0</w:t>
            </w:r>
          </w:p>
        </w:tc>
        <w:tc>
          <w:tcPr>
            <w:tcW w:w="653" w:type="dxa"/>
            <w:tcBorders>
              <w:right w:val="single" w:sz="18" w:space="0" w:color="auto"/>
            </w:tcBorders>
            <w:shd w:val="clear" w:color="auto" w:fill="FFFFFF" w:themeFill="background1"/>
            <w:vAlign w:val="center"/>
          </w:tcPr>
          <w:p w14:paraId="013F1EA0" w14:textId="474A40DD" w:rsidR="00B300BD" w:rsidRPr="00F10858" w:rsidRDefault="00442E28" w:rsidP="00C3190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10858">
              <w:rPr>
                <w:rFonts w:cs="Times New Roman"/>
                <w:szCs w:val="24"/>
              </w:rPr>
              <w:t>-</w:t>
            </w:r>
          </w:p>
        </w:tc>
        <w:tc>
          <w:tcPr>
            <w:tcW w:w="652" w:type="dxa"/>
            <w:tcBorders>
              <w:left w:val="single" w:sz="18" w:space="0" w:color="auto"/>
            </w:tcBorders>
            <w:shd w:val="clear" w:color="auto" w:fill="FFFFFF" w:themeFill="background1"/>
            <w:vAlign w:val="center"/>
          </w:tcPr>
          <w:p w14:paraId="6D8685D0" w14:textId="06A729AB" w:rsidR="00B300BD" w:rsidRPr="00F10858" w:rsidRDefault="00442E28" w:rsidP="00C3190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10858">
              <w:rPr>
                <w:rFonts w:cs="Times New Roman"/>
                <w:szCs w:val="24"/>
              </w:rPr>
              <w:t>1</w:t>
            </w:r>
          </w:p>
        </w:tc>
        <w:tc>
          <w:tcPr>
            <w:tcW w:w="466" w:type="dxa"/>
            <w:tcBorders>
              <w:right w:val="single" w:sz="18" w:space="0" w:color="auto"/>
            </w:tcBorders>
            <w:shd w:val="clear" w:color="auto" w:fill="FFFFFF" w:themeFill="background1"/>
            <w:vAlign w:val="center"/>
          </w:tcPr>
          <w:p w14:paraId="5CC8646A" w14:textId="55F62E41" w:rsidR="00B300BD" w:rsidRPr="00F10858" w:rsidRDefault="00442E28" w:rsidP="00C3190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10858">
              <w:rPr>
                <w:rFonts w:cs="Times New Roman"/>
                <w:szCs w:val="24"/>
              </w:rPr>
              <w:t>4</w:t>
            </w:r>
          </w:p>
        </w:tc>
      </w:tr>
      <w:tr w:rsidR="00F10858" w:rsidRPr="00357D2F" w14:paraId="3EAD56AE" w14:textId="77777777" w:rsidTr="003154E3">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6302" w:type="dxa"/>
            <w:tcBorders>
              <w:left w:val="single" w:sz="2" w:space="0" w:color="auto"/>
            </w:tcBorders>
            <w:shd w:val="clear" w:color="auto" w:fill="FFFFFF" w:themeFill="background1"/>
          </w:tcPr>
          <w:p w14:paraId="1FED7463" w14:textId="77777777" w:rsidR="00B300BD" w:rsidRPr="00F10858" w:rsidRDefault="00B300BD" w:rsidP="009A6F70">
            <w:pPr>
              <w:rPr>
                <w:rFonts w:cs="Times New Roman"/>
                <w:b w:val="0"/>
                <w:szCs w:val="24"/>
              </w:rPr>
            </w:pPr>
            <w:r w:rsidRPr="00F10858">
              <w:rPr>
                <w:rFonts w:cs="Times New Roman"/>
                <w:b w:val="0"/>
                <w:szCs w:val="24"/>
              </w:rPr>
              <w:t>Saugos ir sveikatos darbe vidinės kontrolės įmonėje nepakankamumas</w:t>
            </w:r>
          </w:p>
        </w:tc>
        <w:tc>
          <w:tcPr>
            <w:tcW w:w="652" w:type="dxa"/>
            <w:shd w:val="clear" w:color="auto" w:fill="FFFFFF" w:themeFill="background1"/>
            <w:vAlign w:val="center"/>
          </w:tcPr>
          <w:p w14:paraId="7396ACB0" w14:textId="60596919" w:rsidR="00B300BD" w:rsidRPr="00F10858" w:rsidRDefault="00442E28" w:rsidP="00C3190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10858">
              <w:rPr>
                <w:rFonts w:cs="Times New Roman"/>
                <w:szCs w:val="24"/>
              </w:rPr>
              <w:t>4</w:t>
            </w:r>
          </w:p>
        </w:tc>
        <w:tc>
          <w:tcPr>
            <w:tcW w:w="543" w:type="dxa"/>
            <w:shd w:val="clear" w:color="auto" w:fill="FFFFFF" w:themeFill="background1"/>
            <w:vAlign w:val="center"/>
          </w:tcPr>
          <w:p w14:paraId="766BDB03" w14:textId="6B2BA29B" w:rsidR="00B300BD" w:rsidRPr="00F10858" w:rsidRDefault="00442E28" w:rsidP="00C3190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10858">
              <w:rPr>
                <w:rFonts w:cs="Times New Roman"/>
                <w:szCs w:val="24"/>
              </w:rPr>
              <w:t>19</w:t>
            </w:r>
          </w:p>
        </w:tc>
        <w:tc>
          <w:tcPr>
            <w:tcW w:w="652" w:type="dxa"/>
            <w:shd w:val="clear" w:color="auto" w:fill="FFFFFF" w:themeFill="background1"/>
            <w:vAlign w:val="center"/>
          </w:tcPr>
          <w:p w14:paraId="22BE04B1" w14:textId="0409F9B1" w:rsidR="00B300BD" w:rsidRPr="00F10858" w:rsidRDefault="00442E28" w:rsidP="00C3190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10858">
              <w:rPr>
                <w:rFonts w:cs="Times New Roman"/>
                <w:szCs w:val="24"/>
              </w:rPr>
              <w:t>0</w:t>
            </w:r>
          </w:p>
        </w:tc>
        <w:tc>
          <w:tcPr>
            <w:tcW w:w="653" w:type="dxa"/>
            <w:tcBorders>
              <w:right w:val="single" w:sz="18" w:space="0" w:color="auto"/>
            </w:tcBorders>
            <w:shd w:val="clear" w:color="auto" w:fill="FFFFFF" w:themeFill="background1"/>
            <w:vAlign w:val="center"/>
          </w:tcPr>
          <w:p w14:paraId="6EC6C4DA" w14:textId="0DBCA5A3" w:rsidR="00B300BD" w:rsidRPr="00F10858" w:rsidRDefault="00442E28" w:rsidP="00C3190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10858">
              <w:rPr>
                <w:rFonts w:cs="Times New Roman"/>
                <w:szCs w:val="24"/>
              </w:rPr>
              <w:t>-</w:t>
            </w:r>
          </w:p>
        </w:tc>
        <w:tc>
          <w:tcPr>
            <w:tcW w:w="652" w:type="dxa"/>
            <w:tcBorders>
              <w:left w:val="single" w:sz="18" w:space="0" w:color="auto"/>
            </w:tcBorders>
            <w:shd w:val="clear" w:color="auto" w:fill="FFFFFF" w:themeFill="background1"/>
            <w:vAlign w:val="center"/>
          </w:tcPr>
          <w:p w14:paraId="5A7AD522" w14:textId="192B29BF" w:rsidR="00B300BD" w:rsidRPr="00F10858" w:rsidRDefault="00442E28" w:rsidP="00C3190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10858">
              <w:rPr>
                <w:rFonts w:cs="Times New Roman"/>
                <w:szCs w:val="24"/>
              </w:rPr>
              <w:t>4</w:t>
            </w:r>
          </w:p>
        </w:tc>
        <w:tc>
          <w:tcPr>
            <w:tcW w:w="466" w:type="dxa"/>
            <w:tcBorders>
              <w:right w:val="single" w:sz="18" w:space="0" w:color="auto"/>
            </w:tcBorders>
            <w:shd w:val="clear" w:color="auto" w:fill="FFFFFF" w:themeFill="background1"/>
            <w:vAlign w:val="center"/>
          </w:tcPr>
          <w:p w14:paraId="354F4F98" w14:textId="2616D0C8" w:rsidR="00B300BD" w:rsidRPr="00F10858" w:rsidRDefault="00442E28" w:rsidP="00C3190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10858">
              <w:rPr>
                <w:rFonts w:cs="Times New Roman"/>
                <w:szCs w:val="24"/>
              </w:rPr>
              <w:t>1</w:t>
            </w:r>
            <w:r w:rsidR="0040795B" w:rsidRPr="00F10858">
              <w:rPr>
                <w:rFonts w:cs="Times New Roman"/>
                <w:szCs w:val="24"/>
              </w:rPr>
              <w:t>8</w:t>
            </w:r>
          </w:p>
        </w:tc>
      </w:tr>
      <w:tr w:rsidR="00F10858" w:rsidRPr="00357D2F" w14:paraId="76E3B4C7" w14:textId="77777777" w:rsidTr="003154E3">
        <w:trPr>
          <w:trHeight w:val="239"/>
        </w:trPr>
        <w:tc>
          <w:tcPr>
            <w:cnfStyle w:val="001000000000" w:firstRow="0" w:lastRow="0" w:firstColumn="1" w:lastColumn="0" w:oddVBand="0" w:evenVBand="0" w:oddHBand="0" w:evenHBand="0" w:firstRowFirstColumn="0" w:firstRowLastColumn="0" w:lastRowFirstColumn="0" w:lastRowLastColumn="0"/>
            <w:tcW w:w="6302" w:type="dxa"/>
            <w:tcBorders>
              <w:left w:val="single" w:sz="2" w:space="0" w:color="auto"/>
            </w:tcBorders>
            <w:shd w:val="clear" w:color="auto" w:fill="FFFFFF" w:themeFill="background1"/>
          </w:tcPr>
          <w:p w14:paraId="1AE33099" w14:textId="4AF6EC78" w:rsidR="00B300BD" w:rsidRPr="00F10858" w:rsidRDefault="00B300BD" w:rsidP="009A6F70">
            <w:pPr>
              <w:rPr>
                <w:rFonts w:cs="Times New Roman"/>
                <w:b w:val="0"/>
                <w:szCs w:val="24"/>
              </w:rPr>
            </w:pPr>
            <w:r w:rsidRPr="00F10858">
              <w:rPr>
                <w:rFonts w:cs="Times New Roman"/>
                <w:b w:val="0"/>
                <w:szCs w:val="24"/>
              </w:rPr>
              <w:t>Eismo taisyklių pažeidimas s</w:t>
            </w:r>
            <w:r w:rsidR="007A4C3C">
              <w:rPr>
                <w:rFonts w:cs="Times New Roman"/>
                <w:b w:val="0"/>
                <w:szCs w:val="24"/>
              </w:rPr>
              <w:t>ausumos keliuose</w:t>
            </w:r>
          </w:p>
        </w:tc>
        <w:tc>
          <w:tcPr>
            <w:tcW w:w="652" w:type="dxa"/>
            <w:shd w:val="clear" w:color="auto" w:fill="FFFFFF" w:themeFill="background1"/>
            <w:vAlign w:val="center"/>
          </w:tcPr>
          <w:p w14:paraId="18CC19D4" w14:textId="469172DD" w:rsidR="00B300BD" w:rsidRPr="00F10858" w:rsidRDefault="00637C1A" w:rsidP="00C3190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10858">
              <w:rPr>
                <w:rFonts w:cs="Times New Roman"/>
                <w:szCs w:val="24"/>
              </w:rPr>
              <w:t>1</w:t>
            </w:r>
          </w:p>
        </w:tc>
        <w:tc>
          <w:tcPr>
            <w:tcW w:w="543" w:type="dxa"/>
            <w:shd w:val="clear" w:color="auto" w:fill="FFFFFF" w:themeFill="background1"/>
            <w:vAlign w:val="center"/>
          </w:tcPr>
          <w:p w14:paraId="69078EFD" w14:textId="226D5445" w:rsidR="00B300BD" w:rsidRPr="00F10858" w:rsidRDefault="00637C1A" w:rsidP="00C3190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10858">
              <w:rPr>
                <w:rFonts w:cs="Times New Roman"/>
                <w:szCs w:val="24"/>
              </w:rPr>
              <w:t>5</w:t>
            </w:r>
          </w:p>
        </w:tc>
        <w:tc>
          <w:tcPr>
            <w:tcW w:w="652" w:type="dxa"/>
            <w:shd w:val="clear" w:color="auto" w:fill="FFFFFF" w:themeFill="background1"/>
            <w:vAlign w:val="center"/>
          </w:tcPr>
          <w:p w14:paraId="620569DB" w14:textId="0AC136D7" w:rsidR="00B300BD" w:rsidRPr="00F10858" w:rsidRDefault="00442E28" w:rsidP="00C3190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10858">
              <w:rPr>
                <w:rFonts w:cs="Times New Roman"/>
                <w:szCs w:val="24"/>
              </w:rPr>
              <w:t>2</w:t>
            </w:r>
          </w:p>
        </w:tc>
        <w:tc>
          <w:tcPr>
            <w:tcW w:w="653" w:type="dxa"/>
            <w:tcBorders>
              <w:right w:val="single" w:sz="18" w:space="0" w:color="auto"/>
            </w:tcBorders>
            <w:shd w:val="clear" w:color="auto" w:fill="FFFFFF" w:themeFill="background1"/>
            <w:vAlign w:val="center"/>
          </w:tcPr>
          <w:p w14:paraId="04BAF09F" w14:textId="5F5AB109" w:rsidR="00B300BD" w:rsidRPr="00F10858" w:rsidRDefault="00410603" w:rsidP="00C3190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10858">
              <w:rPr>
                <w:rFonts w:cs="Times New Roman"/>
                <w:szCs w:val="24"/>
              </w:rPr>
              <w:t>6</w:t>
            </w:r>
            <w:r w:rsidR="00BF089E">
              <w:rPr>
                <w:rFonts w:cs="Times New Roman"/>
                <w:szCs w:val="24"/>
              </w:rPr>
              <w:t>7</w:t>
            </w:r>
          </w:p>
        </w:tc>
        <w:tc>
          <w:tcPr>
            <w:tcW w:w="652" w:type="dxa"/>
            <w:tcBorders>
              <w:left w:val="single" w:sz="18" w:space="0" w:color="auto"/>
            </w:tcBorders>
            <w:shd w:val="clear" w:color="auto" w:fill="FFFFFF" w:themeFill="background1"/>
            <w:vAlign w:val="center"/>
          </w:tcPr>
          <w:p w14:paraId="12ADB31F" w14:textId="07F80526" w:rsidR="00B300BD" w:rsidRPr="00F10858" w:rsidRDefault="00F13C95" w:rsidP="00C3190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10858">
              <w:rPr>
                <w:rFonts w:cs="Times New Roman"/>
                <w:szCs w:val="24"/>
              </w:rPr>
              <w:t>3</w:t>
            </w:r>
          </w:p>
        </w:tc>
        <w:tc>
          <w:tcPr>
            <w:tcW w:w="466" w:type="dxa"/>
            <w:tcBorders>
              <w:right w:val="single" w:sz="18" w:space="0" w:color="auto"/>
            </w:tcBorders>
            <w:shd w:val="clear" w:color="auto" w:fill="FFFFFF" w:themeFill="background1"/>
            <w:vAlign w:val="center"/>
          </w:tcPr>
          <w:p w14:paraId="2CBD57F2" w14:textId="54A70E88" w:rsidR="00B300BD" w:rsidRPr="00F10858" w:rsidRDefault="00410603" w:rsidP="00C3190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10858">
              <w:rPr>
                <w:rFonts w:cs="Times New Roman"/>
                <w:szCs w:val="24"/>
              </w:rPr>
              <w:t>1</w:t>
            </w:r>
            <w:r w:rsidR="0040795B" w:rsidRPr="00F10858">
              <w:rPr>
                <w:rFonts w:cs="Times New Roman"/>
                <w:szCs w:val="24"/>
              </w:rPr>
              <w:t>3</w:t>
            </w:r>
          </w:p>
        </w:tc>
      </w:tr>
      <w:tr w:rsidR="00F10858" w:rsidRPr="00357D2F" w14:paraId="2F2A174C" w14:textId="77777777" w:rsidTr="003154E3">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6302" w:type="dxa"/>
            <w:tcBorders>
              <w:left w:val="single" w:sz="2" w:space="0" w:color="auto"/>
            </w:tcBorders>
            <w:shd w:val="clear" w:color="auto" w:fill="FFFFFF" w:themeFill="background1"/>
          </w:tcPr>
          <w:p w14:paraId="76346885" w14:textId="77777777" w:rsidR="00B300BD" w:rsidRPr="00F10858" w:rsidRDefault="00B300BD" w:rsidP="009A6F70">
            <w:pPr>
              <w:jc w:val="center"/>
              <w:rPr>
                <w:rFonts w:cs="Times New Roman"/>
                <w:b w:val="0"/>
                <w:szCs w:val="24"/>
              </w:rPr>
            </w:pPr>
            <w:r w:rsidRPr="00F10858">
              <w:rPr>
                <w:rFonts w:cs="Times New Roman"/>
                <w:b w:val="0"/>
                <w:szCs w:val="24"/>
              </w:rPr>
              <w:t>Iš viso:</w:t>
            </w:r>
          </w:p>
        </w:tc>
        <w:tc>
          <w:tcPr>
            <w:tcW w:w="652" w:type="dxa"/>
            <w:shd w:val="clear" w:color="auto" w:fill="FFFFFF" w:themeFill="background1"/>
            <w:vAlign w:val="center"/>
          </w:tcPr>
          <w:p w14:paraId="539A9A45" w14:textId="72E52022" w:rsidR="00B300BD" w:rsidRPr="00F10858" w:rsidRDefault="00A55C30" w:rsidP="00C3190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10858">
              <w:rPr>
                <w:rFonts w:cs="Times New Roman"/>
                <w:szCs w:val="24"/>
              </w:rPr>
              <w:t>21</w:t>
            </w:r>
          </w:p>
        </w:tc>
        <w:tc>
          <w:tcPr>
            <w:tcW w:w="543" w:type="dxa"/>
            <w:shd w:val="clear" w:color="auto" w:fill="FFFFFF" w:themeFill="background1"/>
            <w:vAlign w:val="center"/>
          </w:tcPr>
          <w:p w14:paraId="6D1D2EE4" w14:textId="5B0EB99A" w:rsidR="00B300BD" w:rsidRPr="00F10858" w:rsidRDefault="00A55C30" w:rsidP="00C3190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10858">
              <w:rPr>
                <w:rFonts w:cs="Times New Roman"/>
                <w:szCs w:val="24"/>
              </w:rPr>
              <w:t>-</w:t>
            </w:r>
          </w:p>
        </w:tc>
        <w:tc>
          <w:tcPr>
            <w:tcW w:w="652" w:type="dxa"/>
            <w:shd w:val="clear" w:color="auto" w:fill="FFFFFF" w:themeFill="background1"/>
            <w:vAlign w:val="center"/>
          </w:tcPr>
          <w:p w14:paraId="139CDB44" w14:textId="5EF32F85" w:rsidR="00B300BD" w:rsidRPr="00F10858" w:rsidRDefault="00A55C30" w:rsidP="00C3190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10858">
              <w:rPr>
                <w:rFonts w:cs="Times New Roman"/>
                <w:szCs w:val="24"/>
              </w:rPr>
              <w:t>2</w:t>
            </w:r>
          </w:p>
        </w:tc>
        <w:tc>
          <w:tcPr>
            <w:tcW w:w="653" w:type="dxa"/>
            <w:tcBorders>
              <w:right w:val="single" w:sz="18" w:space="0" w:color="auto"/>
            </w:tcBorders>
            <w:shd w:val="clear" w:color="auto" w:fill="FFFFFF" w:themeFill="background1"/>
            <w:vAlign w:val="center"/>
          </w:tcPr>
          <w:p w14:paraId="03946BB1" w14:textId="54990BDC" w:rsidR="00A55C30" w:rsidRPr="00F10858" w:rsidRDefault="00A55C30" w:rsidP="00C3190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10858">
              <w:rPr>
                <w:rFonts w:cs="Times New Roman"/>
                <w:szCs w:val="24"/>
              </w:rPr>
              <w:t>-</w:t>
            </w:r>
          </w:p>
        </w:tc>
        <w:tc>
          <w:tcPr>
            <w:tcW w:w="652" w:type="dxa"/>
            <w:tcBorders>
              <w:left w:val="single" w:sz="18" w:space="0" w:color="auto"/>
              <w:bottom w:val="single" w:sz="18" w:space="0" w:color="auto"/>
            </w:tcBorders>
            <w:shd w:val="clear" w:color="auto" w:fill="FFFFFF" w:themeFill="background1"/>
            <w:vAlign w:val="center"/>
          </w:tcPr>
          <w:p w14:paraId="6FF40A50" w14:textId="281DC1B9" w:rsidR="00B300BD" w:rsidRPr="00F10858" w:rsidRDefault="00A55C30" w:rsidP="00C3190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10858">
              <w:rPr>
                <w:rFonts w:cs="Times New Roman"/>
                <w:szCs w:val="24"/>
              </w:rPr>
              <w:t>23</w:t>
            </w:r>
          </w:p>
        </w:tc>
        <w:tc>
          <w:tcPr>
            <w:tcW w:w="466" w:type="dxa"/>
            <w:tcBorders>
              <w:bottom w:val="single" w:sz="18" w:space="0" w:color="auto"/>
              <w:right w:val="single" w:sz="18" w:space="0" w:color="auto"/>
            </w:tcBorders>
            <w:shd w:val="clear" w:color="auto" w:fill="FFFFFF" w:themeFill="background1"/>
            <w:vAlign w:val="center"/>
          </w:tcPr>
          <w:p w14:paraId="003C94EE" w14:textId="1E76C1FF" w:rsidR="00A55C30" w:rsidRPr="00F10858" w:rsidRDefault="00A55C30" w:rsidP="00C3190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10858">
              <w:rPr>
                <w:rFonts w:cs="Times New Roman"/>
                <w:szCs w:val="24"/>
              </w:rPr>
              <w:t>-</w:t>
            </w:r>
          </w:p>
        </w:tc>
      </w:tr>
    </w:tbl>
    <w:p w14:paraId="7CCC9839" w14:textId="77777777" w:rsidR="00B300BD" w:rsidRDefault="00B300BD" w:rsidP="00FC76AF">
      <w:pPr>
        <w:spacing w:after="0"/>
        <w:jc w:val="right"/>
        <w:rPr>
          <w:i/>
          <w:color w:val="000000" w:themeColor="text1"/>
          <w:szCs w:val="24"/>
        </w:rPr>
      </w:pPr>
      <w:r w:rsidRPr="00EC0F9E">
        <w:rPr>
          <w:i/>
          <w:color w:val="000000" w:themeColor="text1"/>
          <w:szCs w:val="24"/>
        </w:rPr>
        <w:t>Šaltinis: Valstybinė darbo inspekcija</w:t>
      </w:r>
    </w:p>
    <w:p w14:paraId="4B4883B8" w14:textId="77777777" w:rsidR="00BF089E" w:rsidRDefault="00BF089E" w:rsidP="00FC76AF">
      <w:pPr>
        <w:spacing w:after="0"/>
        <w:rPr>
          <w:sz w:val="28"/>
          <w:lang w:val="en-US"/>
        </w:rPr>
      </w:pPr>
    </w:p>
    <w:p w14:paraId="1D2CE22E" w14:textId="470D39CC" w:rsidR="00BD136D" w:rsidRDefault="00BD136D" w:rsidP="00FC76AF">
      <w:pPr>
        <w:spacing w:after="0"/>
        <w:ind w:firstLine="720"/>
        <w:jc w:val="both"/>
      </w:pPr>
      <w:r w:rsidRPr="005461D9">
        <w:t>Analizuojant sunkių ir mirtinų nelaimingų atsitikimų darbe pasiskirstymą Kauno mieste pagal nukentėjusiųjų darbe lytį</w:t>
      </w:r>
      <w:r w:rsidR="003C34BF">
        <w:t>,</w:t>
      </w:r>
      <w:r w:rsidRPr="005461D9">
        <w:t xml:space="preserve"> matyti, kad 201</w:t>
      </w:r>
      <w:r w:rsidR="00481F9B">
        <w:t>9</w:t>
      </w:r>
      <w:r w:rsidRPr="005461D9">
        <w:t xml:space="preserve"> m. didžioji dalis nukentėjusiųjų buvo vyrai. Net 9</w:t>
      </w:r>
      <w:r w:rsidR="00282E1C">
        <w:t>0</w:t>
      </w:r>
      <w:r w:rsidRPr="005461D9">
        <w:t>,0 proc. visų sunkių ir 100,0 visų mirtinų</w:t>
      </w:r>
      <w:r>
        <w:t xml:space="preserve"> nelaimingų atsi</w:t>
      </w:r>
      <w:r w:rsidRPr="005461D9">
        <w:t>tikimų darbe nutiko vyrams</w:t>
      </w:r>
      <w:r>
        <w:t xml:space="preserve"> (</w:t>
      </w:r>
      <w:r w:rsidR="004552B0">
        <w:t>9</w:t>
      </w:r>
      <w:r>
        <w:t xml:space="preserve"> lentelė)</w:t>
      </w:r>
      <w:r w:rsidRPr="005461D9">
        <w:t>.</w:t>
      </w:r>
    </w:p>
    <w:p w14:paraId="02ACD2E2" w14:textId="77777777" w:rsidR="00C07549" w:rsidRDefault="00C07549" w:rsidP="00FC76AF">
      <w:pPr>
        <w:spacing w:after="0"/>
        <w:jc w:val="center"/>
      </w:pPr>
    </w:p>
    <w:p w14:paraId="063AE630" w14:textId="1583F724" w:rsidR="00BD136D" w:rsidRDefault="004552B0" w:rsidP="008A1635">
      <w:pPr>
        <w:spacing w:after="0" w:line="240" w:lineRule="auto"/>
        <w:jc w:val="center"/>
      </w:pPr>
      <w:r>
        <w:t>9</w:t>
      </w:r>
      <w:r w:rsidR="00BD136D" w:rsidRPr="00F80490">
        <w:t xml:space="preserve"> lentelė. Sunkių ir mirtinų nelaimingų atsitikimų darbe (N-1) pasiskirstymas Kauno miesto įmonėse, įstaigose pagal nukentėjusiųjų darbe lytį 201</w:t>
      </w:r>
      <w:r>
        <w:t>9</w:t>
      </w:r>
      <w:r w:rsidR="00BD136D" w:rsidRPr="00F80490">
        <w:t xml:space="preserve"> m.</w:t>
      </w:r>
    </w:p>
    <w:tbl>
      <w:tblPr>
        <w:tblStyle w:val="4tinkleliolentel3parykinimas1"/>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559"/>
        <w:gridCol w:w="1417"/>
        <w:gridCol w:w="1418"/>
        <w:gridCol w:w="1417"/>
        <w:gridCol w:w="993"/>
        <w:gridCol w:w="881"/>
      </w:tblGrid>
      <w:tr w:rsidR="00870A85" w:rsidRPr="00357D2F" w14:paraId="7230F52C" w14:textId="77777777" w:rsidTr="003154E3">
        <w:trPr>
          <w:cnfStyle w:val="100000000000" w:firstRow="1" w:lastRow="0" w:firstColumn="0" w:lastColumn="0" w:oddVBand="0" w:evenVBand="0" w:oddHBand="0"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2235" w:type="dxa"/>
            <w:vMerge w:val="restart"/>
            <w:tcBorders>
              <w:top w:val="single" w:sz="2" w:space="0" w:color="auto"/>
              <w:left w:val="single" w:sz="2" w:space="0" w:color="auto"/>
              <w:right w:val="single" w:sz="2" w:space="0" w:color="auto"/>
            </w:tcBorders>
            <w:shd w:val="clear" w:color="auto" w:fill="D6E3BC" w:themeFill="accent3" w:themeFillTint="66"/>
            <w:vAlign w:val="center"/>
          </w:tcPr>
          <w:p w14:paraId="3E712156" w14:textId="4B284B03" w:rsidR="00870A85" w:rsidRPr="00F10858" w:rsidRDefault="00870A85" w:rsidP="009A6F70">
            <w:pPr>
              <w:jc w:val="center"/>
              <w:rPr>
                <w:rFonts w:cs="Times New Roman"/>
                <w:b w:val="0"/>
                <w:color w:val="auto"/>
                <w:szCs w:val="24"/>
              </w:rPr>
            </w:pPr>
            <w:r>
              <w:rPr>
                <w:rFonts w:cs="Times New Roman"/>
                <w:b w:val="0"/>
                <w:color w:val="auto"/>
                <w:szCs w:val="24"/>
              </w:rPr>
              <w:t>Lytis</w:t>
            </w:r>
          </w:p>
        </w:tc>
        <w:tc>
          <w:tcPr>
            <w:tcW w:w="5811" w:type="dxa"/>
            <w:gridSpan w:val="4"/>
            <w:tcBorders>
              <w:top w:val="single" w:sz="2" w:space="0" w:color="auto"/>
              <w:left w:val="single" w:sz="2" w:space="0" w:color="auto"/>
              <w:right w:val="single" w:sz="18" w:space="0" w:color="auto"/>
            </w:tcBorders>
            <w:shd w:val="clear" w:color="auto" w:fill="D6E3BC" w:themeFill="accent3" w:themeFillTint="66"/>
            <w:vAlign w:val="center"/>
          </w:tcPr>
          <w:p w14:paraId="1518B6CA" w14:textId="77777777" w:rsidR="00870A85" w:rsidRPr="00F10858" w:rsidRDefault="00870A85" w:rsidP="009A6F70">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Cs w:val="24"/>
              </w:rPr>
            </w:pPr>
            <w:r w:rsidRPr="00F10858">
              <w:rPr>
                <w:rFonts w:cs="Times New Roman"/>
                <w:b w:val="0"/>
                <w:color w:val="auto"/>
                <w:szCs w:val="24"/>
              </w:rPr>
              <w:t>Nelaimingų atsitikimų darbe (N-1) skaičius</w:t>
            </w:r>
          </w:p>
        </w:tc>
        <w:tc>
          <w:tcPr>
            <w:tcW w:w="1874" w:type="dxa"/>
            <w:gridSpan w:val="2"/>
            <w:vMerge w:val="restart"/>
            <w:tcBorders>
              <w:top w:val="single" w:sz="18" w:space="0" w:color="auto"/>
              <w:left w:val="single" w:sz="18" w:space="0" w:color="auto"/>
              <w:right w:val="single" w:sz="18" w:space="0" w:color="auto"/>
            </w:tcBorders>
            <w:shd w:val="clear" w:color="auto" w:fill="D6E3BC" w:themeFill="accent3" w:themeFillTint="66"/>
            <w:vAlign w:val="center"/>
          </w:tcPr>
          <w:p w14:paraId="70290EFD" w14:textId="77777777" w:rsidR="00870A85" w:rsidRPr="00F10858" w:rsidRDefault="00870A85" w:rsidP="009A6F70">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Cs w:val="24"/>
              </w:rPr>
            </w:pPr>
            <w:r w:rsidRPr="00F10858">
              <w:rPr>
                <w:rFonts w:cs="Times New Roman"/>
                <w:b w:val="0"/>
                <w:color w:val="auto"/>
                <w:szCs w:val="24"/>
              </w:rPr>
              <w:t>Iš viso</w:t>
            </w:r>
          </w:p>
        </w:tc>
      </w:tr>
      <w:tr w:rsidR="00870A85" w:rsidRPr="00357D2F" w14:paraId="411F5B15" w14:textId="77777777" w:rsidTr="003154E3">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235" w:type="dxa"/>
            <w:vMerge/>
            <w:tcBorders>
              <w:left w:val="single" w:sz="2" w:space="0" w:color="auto"/>
              <w:right w:val="single" w:sz="2" w:space="0" w:color="auto"/>
            </w:tcBorders>
            <w:shd w:val="clear" w:color="auto" w:fill="D6E3BC" w:themeFill="accent3" w:themeFillTint="66"/>
            <w:vAlign w:val="center"/>
          </w:tcPr>
          <w:p w14:paraId="5B3A7D2A" w14:textId="77777777" w:rsidR="00870A85" w:rsidRPr="00F10858" w:rsidRDefault="00870A85" w:rsidP="009A6F70">
            <w:pPr>
              <w:jc w:val="center"/>
              <w:rPr>
                <w:rFonts w:cs="Times New Roman"/>
                <w:szCs w:val="24"/>
              </w:rPr>
            </w:pPr>
          </w:p>
        </w:tc>
        <w:tc>
          <w:tcPr>
            <w:tcW w:w="2976" w:type="dxa"/>
            <w:gridSpan w:val="2"/>
            <w:tcBorders>
              <w:left w:val="single" w:sz="2" w:space="0" w:color="auto"/>
            </w:tcBorders>
            <w:shd w:val="clear" w:color="auto" w:fill="D6E3BC" w:themeFill="accent3" w:themeFillTint="66"/>
            <w:vAlign w:val="center"/>
          </w:tcPr>
          <w:p w14:paraId="6DE0888D" w14:textId="77777777" w:rsidR="00870A85" w:rsidRPr="00F10858" w:rsidRDefault="00870A85" w:rsidP="009A6F70">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10858">
              <w:rPr>
                <w:rFonts w:cs="Times New Roman"/>
                <w:szCs w:val="24"/>
              </w:rPr>
              <w:t>Sunkūs</w:t>
            </w:r>
          </w:p>
        </w:tc>
        <w:tc>
          <w:tcPr>
            <w:tcW w:w="2835" w:type="dxa"/>
            <w:gridSpan w:val="2"/>
            <w:tcBorders>
              <w:right w:val="single" w:sz="18" w:space="0" w:color="auto"/>
            </w:tcBorders>
            <w:shd w:val="clear" w:color="auto" w:fill="D6E3BC" w:themeFill="accent3" w:themeFillTint="66"/>
            <w:vAlign w:val="center"/>
          </w:tcPr>
          <w:p w14:paraId="59E37053" w14:textId="77777777" w:rsidR="00870A85" w:rsidRPr="00F10858" w:rsidRDefault="00870A85" w:rsidP="009A6F70">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10858">
              <w:rPr>
                <w:rFonts w:cs="Times New Roman"/>
                <w:szCs w:val="24"/>
              </w:rPr>
              <w:t>Mirtini</w:t>
            </w:r>
          </w:p>
        </w:tc>
        <w:tc>
          <w:tcPr>
            <w:tcW w:w="1874" w:type="dxa"/>
            <w:gridSpan w:val="2"/>
            <w:vMerge/>
            <w:tcBorders>
              <w:left w:val="single" w:sz="18" w:space="0" w:color="auto"/>
              <w:right w:val="single" w:sz="18" w:space="0" w:color="auto"/>
            </w:tcBorders>
            <w:shd w:val="clear" w:color="auto" w:fill="D6E3BC" w:themeFill="accent3" w:themeFillTint="66"/>
            <w:vAlign w:val="center"/>
          </w:tcPr>
          <w:p w14:paraId="0558F799" w14:textId="77777777" w:rsidR="00870A85" w:rsidRPr="00F10858" w:rsidRDefault="00870A85" w:rsidP="009A6F70">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r>
      <w:tr w:rsidR="00870A85" w:rsidRPr="00357D2F" w14:paraId="74907DDA" w14:textId="77777777" w:rsidTr="003154E3">
        <w:trPr>
          <w:trHeight w:val="252"/>
        </w:trPr>
        <w:tc>
          <w:tcPr>
            <w:cnfStyle w:val="001000000000" w:firstRow="0" w:lastRow="0" w:firstColumn="1" w:lastColumn="0" w:oddVBand="0" w:evenVBand="0" w:oddHBand="0" w:evenHBand="0" w:firstRowFirstColumn="0" w:firstRowLastColumn="0" w:lastRowFirstColumn="0" w:lastRowLastColumn="0"/>
            <w:tcW w:w="2235" w:type="dxa"/>
            <w:vMerge/>
            <w:tcBorders>
              <w:left w:val="single" w:sz="2" w:space="0" w:color="auto"/>
              <w:bottom w:val="single" w:sz="2" w:space="0" w:color="auto"/>
              <w:right w:val="single" w:sz="2" w:space="0" w:color="auto"/>
            </w:tcBorders>
            <w:shd w:val="clear" w:color="auto" w:fill="D6E3BC" w:themeFill="accent3" w:themeFillTint="66"/>
            <w:vAlign w:val="center"/>
          </w:tcPr>
          <w:p w14:paraId="6AF61ECD" w14:textId="77777777" w:rsidR="00870A85" w:rsidRPr="00F10858" w:rsidRDefault="00870A85" w:rsidP="009A6F70">
            <w:pPr>
              <w:jc w:val="center"/>
              <w:rPr>
                <w:rFonts w:cs="Times New Roman"/>
                <w:szCs w:val="24"/>
              </w:rPr>
            </w:pPr>
          </w:p>
        </w:tc>
        <w:tc>
          <w:tcPr>
            <w:tcW w:w="1559" w:type="dxa"/>
            <w:tcBorders>
              <w:left w:val="single" w:sz="2" w:space="0" w:color="auto"/>
              <w:bottom w:val="single" w:sz="2" w:space="0" w:color="auto"/>
            </w:tcBorders>
            <w:shd w:val="clear" w:color="auto" w:fill="D6E3BC" w:themeFill="accent3" w:themeFillTint="66"/>
            <w:vAlign w:val="center"/>
          </w:tcPr>
          <w:p w14:paraId="7F088712" w14:textId="77777777" w:rsidR="00870A85" w:rsidRPr="00F10858" w:rsidRDefault="00870A85" w:rsidP="009A6F70">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F10858">
              <w:rPr>
                <w:rFonts w:cs="Times New Roman"/>
                <w:szCs w:val="24"/>
              </w:rPr>
              <w:t>Atv</w:t>
            </w:r>
            <w:proofErr w:type="spellEnd"/>
            <w:r w:rsidRPr="00F10858">
              <w:rPr>
                <w:rFonts w:cs="Times New Roman"/>
                <w:szCs w:val="24"/>
              </w:rPr>
              <w:t>.</w:t>
            </w:r>
          </w:p>
        </w:tc>
        <w:tc>
          <w:tcPr>
            <w:tcW w:w="1417" w:type="dxa"/>
            <w:tcBorders>
              <w:bottom w:val="single" w:sz="2" w:space="0" w:color="auto"/>
            </w:tcBorders>
            <w:shd w:val="clear" w:color="auto" w:fill="D6E3BC" w:themeFill="accent3" w:themeFillTint="66"/>
            <w:vAlign w:val="center"/>
          </w:tcPr>
          <w:p w14:paraId="0532AD43" w14:textId="77777777" w:rsidR="00870A85" w:rsidRPr="00F10858" w:rsidRDefault="00870A85" w:rsidP="009A6F70">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10858">
              <w:rPr>
                <w:rFonts w:cs="Times New Roman"/>
                <w:szCs w:val="24"/>
              </w:rPr>
              <w:t>%</w:t>
            </w:r>
          </w:p>
        </w:tc>
        <w:tc>
          <w:tcPr>
            <w:tcW w:w="1418" w:type="dxa"/>
            <w:tcBorders>
              <w:bottom w:val="single" w:sz="2" w:space="0" w:color="auto"/>
            </w:tcBorders>
            <w:shd w:val="clear" w:color="auto" w:fill="D6E3BC" w:themeFill="accent3" w:themeFillTint="66"/>
            <w:vAlign w:val="center"/>
          </w:tcPr>
          <w:p w14:paraId="042D903A" w14:textId="77777777" w:rsidR="00870A85" w:rsidRPr="00F10858" w:rsidRDefault="00870A85" w:rsidP="009A6F70">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F10858">
              <w:rPr>
                <w:rFonts w:cs="Times New Roman"/>
                <w:szCs w:val="24"/>
              </w:rPr>
              <w:t>Atv</w:t>
            </w:r>
            <w:proofErr w:type="spellEnd"/>
            <w:r w:rsidRPr="00F10858">
              <w:rPr>
                <w:rFonts w:cs="Times New Roman"/>
                <w:szCs w:val="24"/>
              </w:rPr>
              <w:t>.</w:t>
            </w:r>
          </w:p>
        </w:tc>
        <w:tc>
          <w:tcPr>
            <w:tcW w:w="1417" w:type="dxa"/>
            <w:tcBorders>
              <w:bottom w:val="single" w:sz="2" w:space="0" w:color="auto"/>
              <w:right w:val="single" w:sz="18" w:space="0" w:color="auto"/>
            </w:tcBorders>
            <w:shd w:val="clear" w:color="auto" w:fill="D6E3BC" w:themeFill="accent3" w:themeFillTint="66"/>
            <w:vAlign w:val="center"/>
          </w:tcPr>
          <w:p w14:paraId="6302ACFA" w14:textId="77777777" w:rsidR="00870A85" w:rsidRPr="00F10858" w:rsidRDefault="00870A85" w:rsidP="009A6F70">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10858">
              <w:rPr>
                <w:rFonts w:cs="Times New Roman"/>
                <w:szCs w:val="24"/>
              </w:rPr>
              <w:t>%</w:t>
            </w:r>
          </w:p>
        </w:tc>
        <w:tc>
          <w:tcPr>
            <w:tcW w:w="993" w:type="dxa"/>
            <w:tcBorders>
              <w:left w:val="single" w:sz="18" w:space="0" w:color="auto"/>
              <w:bottom w:val="single" w:sz="2" w:space="0" w:color="auto"/>
            </w:tcBorders>
            <w:shd w:val="clear" w:color="auto" w:fill="D6E3BC" w:themeFill="accent3" w:themeFillTint="66"/>
            <w:vAlign w:val="center"/>
          </w:tcPr>
          <w:p w14:paraId="78B2DD97" w14:textId="77777777" w:rsidR="00870A85" w:rsidRPr="00F10858" w:rsidRDefault="00870A85" w:rsidP="009A6F70">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F10858">
              <w:rPr>
                <w:rFonts w:cs="Times New Roman"/>
                <w:szCs w:val="24"/>
              </w:rPr>
              <w:t>Atv</w:t>
            </w:r>
            <w:proofErr w:type="spellEnd"/>
            <w:r w:rsidRPr="00F10858">
              <w:rPr>
                <w:rFonts w:cs="Times New Roman"/>
                <w:szCs w:val="24"/>
              </w:rPr>
              <w:t>.</w:t>
            </w:r>
          </w:p>
        </w:tc>
        <w:tc>
          <w:tcPr>
            <w:tcW w:w="881" w:type="dxa"/>
            <w:tcBorders>
              <w:bottom w:val="single" w:sz="2" w:space="0" w:color="auto"/>
              <w:right w:val="single" w:sz="18" w:space="0" w:color="auto"/>
            </w:tcBorders>
            <w:shd w:val="clear" w:color="auto" w:fill="D6E3BC" w:themeFill="accent3" w:themeFillTint="66"/>
            <w:vAlign w:val="center"/>
          </w:tcPr>
          <w:p w14:paraId="00EBE3D8" w14:textId="77777777" w:rsidR="00870A85" w:rsidRPr="00F10858" w:rsidRDefault="00870A85" w:rsidP="009A6F70">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10858">
              <w:rPr>
                <w:rFonts w:cs="Times New Roman"/>
                <w:szCs w:val="24"/>
              </w:rPr>
              <w:t>%</w:t>
            </w:r>
          </w:p>
        </w:tc>
      </w:tr>
      <w:tr w:rsidR="00870A85" w:rsidRPr="00357D2F" w14:paraId="0F65D255" w14:textId="77777777" w:rsidTr="003154E3">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63910BA" w14:textId="4FFAE818" w:rsidR="00870A85" w:rsidRPr="00F10858" w:rsidRDefault="00870A85" w:rsidP="0027416B">
            <w:pPr>
              <w:jc w:val="center"/>
              <w:rPr>
                <w:rFonts w:cs="Times New Roman"/>
                <w:b w:val="0"/>
                <w:szCs w:val="24"/>
              </w:rPr>
            </w:pPr>
            <w:r>
              <w:rPr>
                <w:rFonts w:cs="Times New Roman"/>
                <w:b w:val="0"/>
                <w:szCs w:val="24"/>
              </w:rPr>
              <w:t>Vyrai</w:t>
            </w:r>
          </w:p>
        </w:tc>
        <w:tc>
          <w:tcPr>
            <w:tcW w:w="155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643909A" w14:textId="1364E6A1" w:rsidR="00870A85" w:rsidRPr="00F10858" w:rsidRDefault="008574BD" w:rsidP="00C3190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19</w:t>
            </w:r>
          </w:p>
        </w:tc>
        <w:tc>
          <w:tcPr>
            <w:tcW w:w="141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90F4666" w14:textId="4099EB8E" w:rsidR="00870A85" w:rsidRPr="00F10858" w:rsidRDefault="008574BD" w:rsidP="00C3190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90</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A0CAAD2" w14:textId="6BEE7316" w:rsidR="00870A85" w:rsidRPr="00F10858" w:rsidRDefault="008574BD" w:rsidP="00C3190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2</w:t>
            </w:r>
          </w:p>
        </w:tc>
        <w:tc>
          <w:tcPr>
            <w:tcW w:w="1417" w:type="dxa"/>
            <w:tcBorders>
              <w:top w:val="single" w:sz="2" w:space="0" w:color="auto"/>
              <w:left w:val="single" w:sz="2" w:space="0" w:color="auto"/>
              <w:bottom w:val="single" w:sz="2" w:space="0" w:color="auto"/>
              <w:right w:val="single" w:sz="18" w:space="0" w:color="auto"/>
            </w:tcBorders>
            <w:shd w:val="clear" w:color="auto" w:fill="FFFFFF" w:themeFill="background1"/>
            <w:vAlign w:val="center"/>
          </w:tcPr>
          <w:p w14:paraId="1302061F" w14:textId="70F221A2" w:rsidR="00870A85" w:rsidRPr="00F10858" w:rsidRDefault="008574BD" w:rsidP="00C3190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100</w:t>
            </w:r>
          </w:p>
        </w:tc>
        <w:tc>
          <w:tcPr>
            <w:tcW w:w="993" w:type="dxa"/>
            <w:tcBorders>
              <w:top w:val="single" w:sz="2" w:space="0" w:color="auto"/>
              <w:left w:val="single" w:sz="18" w:space="0" w:color="auto"/>
              <w:bottom w:val="single" w:sz="2" w:space="0" w:color="auto"/>
              <w:right w:val="single" w:sz="2" w:space="0" w:color="auto"/>
            </w:tcBorders>
            <w:shd w:val="clear" w:color="auto" w:fill="FFFFFF" w:themeFill="background1"/>
            <w:vAlign w:val="center"/>
          </w:tcPr>
          <w:p w14:paraId="4FB17FD8" w14:textId="0F7A2063" w:rsidR="00870A85" w:rsidRPr="00F10858" w:rsidRDefault="008574BD" w:rsidP="00C3190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21</w:t>
            </w:r>
          </w:p>
        </w:tc>
        <w:tc>
          <w:tcPr>
            <w:tcW w:w="881" w:type="dxa"/>
            <w:tcBorders>
              <w:top w:val="single" w:sz="2" w:space="0" w:color="auto"/>
              <w:left w:val="single" w:sz="2" w:space="0" w:color="auto"/>
              <w:bottom w:val="single" w:sz="2" w:space="0" w:color="auto"/>
              <w:right w:val="single" w:sz="18" w:space="0" w:color="auto"/>
            </w:tcBorders>
            <w:shd w:val="clear" w:color="auto" w:fill="FFFFFF" w:themeFill="background1"/>
            <w:vAlign w:val="center"/>
          </w:tcPr>
          <w:p w14:paraId="67825E3A" w14:textId="3D9B2755" w:rsidR="00870A85" w:rsidRPr="00F10858" w:rsidRDefault="008574BD" w:rsidP="00C3190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91</w:t>
            </w:r>
          </w:p>
        </w:tc>
      </w:tr>
      <w:tr w:rsidR="00EB5AB5" w:rsidRPr="00357D2F" w14:paraId="1E32BCE7" w14:textId="77777777" w:rsidTr="003154E3">
        <w:trPr>
          <w:trHeight w:val="239"/>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D37BE60" w14:textId="74B0E3D6" w:rsidR="00EB5AB5" w:rsidRPr="00F10858" w:rsidRDefault="00EB5AB5" w:rsidP="0027416B">
            <w:pPr>
              <w:jc w:val="center"/>
              <w:rPr>
                <w:rFonts w:cs="Times New Roman"/>
                <w:b w:val="0"/>
                <w:szCs w:val="24"/>
              </w:rPr>
            </w:pPr>
            <w:r>
              <w:rPr>
                <w:rFonts w:cs="Times New Roman"/>
                <w:b w:val="0"/>
                <w:szCs w:val="24"/>
              </w:rPr>
              <w:t>Moterys</w:t>
            </w:r>
          </w:p>
        </w:tc>
        <w:tc>
          <w:tcPr>
            <w:tcW w:w="155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E8F26D6" w14:textId="6EF5A444" w:rsidR="00EB5AB5" w:rsidRPr="00F10858" w:rsidRDefault="00EB5AB5" w:rsidP="00C3190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2</w:t>
            </w:r>
          </w:p>
        </w:tc>
        <w:tc>
          <w:tcPr>
            <w:tcW w:w="141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4D1E843" w14:textId="60ABC461" w:rsidR="00EB5AB5" w:rsidRPr="00F10858" w:rsidRDefault="00EB5AB5" w:rsidP="00C3190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9</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3C82A62" w14:textId="3899AADC" w:rsidR="00EB5AB5" w:rsidRPr="00F10858" w:rsidRDefault="00EB5AB5" w:rsidP="00C3190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0</w:t>
            </w:r>
          </w:p>
        </w:tc>
        <w:tc>
          <w:tcPr>
            <w:tcW w:w="1417" w:type="dxa"/>
            <w:tcBorders>
              <w:top w:val="single" w:sz="2" w:space="0" w:color="auto"/>
              <w:left w:val="single" w:sz="2" w:space="0" w:color="auto"/>
              <w:bottom w:val="single" w:sz="2" w:space="0" w:color="auto"/>
              <w:right w:val="single" w:sz="18" w:space="0" w:color="auto"/>
            </w:tcBorders>
            <w:shd w:val="clear" w:color="auto" w:fill="FFFFFF" w:themeFill="background1"/>
            <w:vAlign w:val="center"/>
          </w:tcPr>
          <w:p w14:paraId="010EB57E" w14:textId="7A3C89CB" w:rsidR="00EB5AB5" w:rsidRPr="00F10858" w:rsidRDefault="00EB5AB5" w:rsidP="00C3190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w:t>
            </w:r>
          </w:p>
        </w:tc>
        <w:tc>
          <w:tcPr>
            <w:tcW w:w="993" w:type="dxa"/>
            <w:tcBorders>
              <w:top w:val="single" w:sz="2" w:space="0" w:color="auto"/>
              <w:left w:val="single" w:sz="18" w:space="0" w:color="auto"/>
              <w:bottom w:val="single" w:sz="2" w:space="0" w:color="auto"/>
              <w:right w:val="single" w:sz="2" w:space="0" w:color="auto"/>
            </w:tcBorders>
            <w:shd w:val="clear" w:color="auto" w:fill="FFFFFF" w:themeFill="background1"/>
            <w:vAlign w:val="center"/>
          </w:tcPr>
          <w:p w14:paraId="2C55459E" w14:textId="7F7F22B5" w:rsidR="00EB5AB5" w:rsidRPr="00F10858" w:rsidRDefault="00EB5AB5" w:rsidP="00C3190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2</w:t>
            </w:r>
          </w:p>
        </w:tc>
        <w:tc>
          <w:tcPr>
            <w:tcW w:w="881" w:type="dxa"/>
            <w:tcBorders>
              <w:top w:val="single" w:sz="2" w:space="0" w:color="auto"/>
              <w:left w:val="single" w:sz="2" w:space="0" w:color="auto"/>
              <w:bottom w:val="single" w:sz="2" w:space="0" w:color="auto"/>
              <w:right w:val="single" w:sz="18" w:space="0" w:color="auto"/>
            </w:tcBorders>
            <w:shd w:val="clear" w:color="auto" w:fill="FFFFFF" w:themeFill="background1"/>
            <w:vAlign w:val="center"/>
          </w:tcPr>
          <w:p w14:paraId="5E5C83A2" w14:textId="4B638498" w:rsidR="00EB5AB5" w:rsidRPr="00F10858" w:rsidRDefault="00EB5AB5" w:rsidP="00C3190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9</w:t>
            </w:r>
          </w:p>
        </w:tc>
      </w:tr>
      <w:tr w:rsidR="00EB5AB5" w:rsidRPr="00357D2F" w14:paraId="0536DC28" w14:textId="77777777" w:rsidTr="003154E3">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auto"/>
              <w:left w:val="single" w:sz="2" w:space="0" w:color="auto"/>
            </w:tcBorders>
            <w:shd w:val="clear" w:color="auto" w:fill="FFFFFF" w:themeFill="background1"/>
            <w:vAlign w:val="center"/>
          </w:tcPr>
          <w:p w14:paraId="1B859A06" w14:textId="77777777" w:rsidR="00EB5AB5" w:rsidRPr="00F10858" w:rsidRDefault="00EB5AB5" w:rsidP="0027416B">
            <w:pPr>
              <w:jc w:val="center"/>
              <w:rPr>
                <w:rFonts w:cs="Times New Roman"/>
                <w:b w:val="0"/>
                <w:szCs w:val="24"/>
              </w:rPr>
            </w:pPr>
            <w:r w:rsidRPr="00F10858">
              <w:rPr>
                <w:rFonts w:cs="Times New Roman"/>
                <w:b w:val="0"/>
                <w:szCs w:val="24"/>
              </w:rPr>
              <w:t>Iš viso:</w:t>
            </w:r>
          </w:p>
        </w:tc>
        <w:tc>
          <w:tcPr>
            <w:tcW w:w="1559" w:type="dxa"/>
            <w:tcBorders>
              <w:top w:val="single" w:sz="2" w:space="0" w:color="auto"/>
            </w:tcBorders>
            <w:shd w:val="clear" w:color="auto" w:fill="FFFFFF" w:themeFill="background1"/>
            <w:vAlign w:val="center"/>
          </w:tcPr>
          <w:p w14:paraId="6F72A32E" w14:textId="10E78E32" w:rsidR="00EB5AB5" w:rsidRPr="00F10858" w:rsidRDefault="000B7FA3" w:rsidP="00C3190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21</w:t>
            </w:r>
          </w:p>
        </w:tc>
        <w:tc>
          <w:tcPr>
            <w:tcW w:w="1417" w:type="dxa"/>
            <w:tcBorders>
              <w:top w:val="single" w:sz="2" w:space="0" w:color="auto"/>
            </w:tcBorders>
            <w:shd w:val="clear" w:color="auto" w:fill="FFFFFF" w:themeFill="background1"/>
            <w:vAlign w:val="center"/>
          </w:tcPr>
          <w:p w14:paraId="1BEB1519" w14:textId="37FFABB3" w:rsidR="00EB5AB5" w:rsidRPr="00F10858" w:rsidRDefault="00481F9B" w:rsidP="00C3190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w:t>
            </w:r>
          </w:p>
        </w:tc>
        <w:tc>
          <w:tcPr>
            <w:tcW w:w="1418" w:type="dxa"/>
            <w:tcBorders>
              <w:top w:val="single" w:sz="2" w:space="0" w:color="auto"/>
            </w:tcBorders>
            <w:shd w:val="clear" w:color="auto" w:fill="FFFFFF" w:themeFill="background1"/>
            <w:vAlign w:val="center"/>
          </w:tcPr>
          <w:p w14:paraId="24951D73" w14:textId="666ABE87" w:rsidR="00EB5AB5" w:rsidRPr="00F10858" w:rsidRDefault="00481F9B" w:rsidP="00C3190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2</w:t>
            </w:r>
          </w:p>
        </w:tc>
        <w:tc>
          <w:tcPr>
            <w:tcW w:w="1417" w:type="dxa"/>
            <w:tcBorders>
              <w:top w:val="single" w:sz="2" w:space="0" w:color="auto"/>
              <w:right w:val="single" w:sz="18" w:space="0" w:color="auto"/>
            </w:tcBorders>
            <w:shd w:val="clear" w:color="auto" w:fill="FFFFFF" w:themeFill="background1"/>
            <w:vAlign w:val="center"/>
          </w:tcPr>
          <w:p w14:paraId="0797958E" w14:textId="281C2C58" w:rsidR="00EB5AB5" w:rsidRPr="00F10858" w:rsidRDefault="00481F9B" w:rsidP="00C3190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w:t>
            </w:r>
          </w:p>
        </w:tc>
        <w:tc>
          <w:tcPr>
            <w:tcW w:w="993" w:type="dxa"/>
            <w:tcBorders>
              <w:top w:val="single" w:sz="2" w:space="0" w:color="auto"/>
              <w:left w:val="single" w:sz="18" w:space="0" w:color="auto"/>
              <w:bottom w:val="single" w:sz="18" w:space="0" w:color="auto"/>
            </w:tcBorders>
            <w:shd w:val="clear" w:color="auto" w:fill="FFFFFF" w:themeFill="background1"/>
            <w:vAlign w:val="center"/>
          </w:tcPr>
          <w:p w14:paraId="5D5114B8" w14:textId="6A72E2D7" w:rsidR="00EB5AB5" w:rsidRPr="00F10858" w:rsidRDefault="00481F9B" w:rsidP="00C3190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23</w:t>
            </w:r>
          </w:p>
        </w:tc>
        <w:tc>
          <w:tcPr>
            <w:tcW w:w="881" w:type="dxa"/>
            <w:tcBorders>
              <w:top w:val="single" w:sz="2" w:space="0" w:color="auto"/>
              <w:bottom w:val="single" w:sz="18" w:space="0" w:color="auto"/>
              <w:right w:val="single" w:sz="18" w:space="0" w:color="auto"/>
            </w:tcBorders>
            <w:shd w:val="clear" w:color="auto" w:fill="FFFFFF" w:themeFill="background1"/>
            <w:vAlign w:val="center"/>
          </w:tcPr>
          <w:p w14:paraId="0A94B029" w14:textId="54755142" w:rsidR="00EB5AB5" w:rsidRPr="00F10858" w:rsidRDefault="00481F9B" w:rsidP="00C3190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w:t>
            </w:r>
          </w:p>
        </w:tc>
      </w:tr>
    </w:tbl>
    <w:p w14:paraId="24A8940B" w14:textId="77777777" w:rsidR="00870A85" w:rsidRDefault="00870A85" w:rsidP="00870A85">
      <w:pPr>
        <w:spacing w:after="0" w:line="360" w:lineRule="auto"/>
        <w:jc w:val="right"/>
        <w:rPr>
          <w:i/>
          <w:color w:val="000000" w:themeColor="text1"/>
          <w:szCs w:val="24"/>
        </w:rPr>
      </w:pPr>
      <w:r w:rsidRPr="00EC0F9E">
        <w:rPr>
          <w:i/>
          <w:color w:val="000000" w:themeColor="text1"/>
          <w:szCs w:val="24"/>
        </w:rPr>
        <w:t>Šaltinis: Valstybinė darbo inspekcija</w:t>
      </w:r>
    </w:p>
    <w:p w14:paraId="3810A12B" w14:textId="77777777" w:rsidR="00BD136D" w:rsidRPr="009C2A02" w:rsidRDefault="00BD136D" w:rsidP="00FC76AF">
      <w:pPr>
        <w:spacing w:after="0"/>
        <w:rPr>
          <w:color w:val="000000" w:themeColor="text1"/>
          <w:sz w:val="22"/>
          <w:szCs w:val="24"/>
        </w:rPr>
      </w:pPr>
    </w:p>
    <w:p w14:paraId="7103B1C1" w14:textId="0782FC14" w:rsidR="00BD136D" w:rsidRDefault="00BD136D" w:rsidP="00C07549">
      <w:pPr>
        <w:spacing w:after="0"/>
        <w:jc w:val="both"/>
        <w:rPr>
          <w:color w:val="000000" w:themeColor="text1"/>
          <w:szCs w:val="24"/>
        </w:rPr>
      </w:pPr>
      <w:r>
        <w:rPr>
          <w:color w:val="000000" w:themeColor="text1"/>
          <w:szCs w:val="24"/>
        </w:rPr>
        <w:tab/>
        <w:t>Analizuojant sunkių ir mirtinų nelaimingų atsitikimų darbe pasiskirstymą Kauno mieste pagal ekonomines veiklas 201</w:t>
      </w:r>
      <w:r w:rsidR="00C31D36">
        <w:rPr>
          <w:color w:val="000000" w:themeColor="text1"/>
          <w:szCs w:val="24"/>
        </w:rPr>
        <w:t>9</w:t>
      </w:r>
      <w:r>
        <w:rPr>
          <w:color w:val="000000" w:themeColor="text1"/>
          <w:szCs w:val="24"/>
        </w:rPr>
        <w:t xml:space="preserve"> m.</w:t>
      </w:r>
      <w:r w:rsidR="003C34BF">
        <w:rPr>
          <w:color w:val="000000" w:themeColor="text1"/>
          <w:szCs w:val="24"/>
        </w:rPr>
        <w:t>,</w:t>
      </w:r>
      <w:r>
        <w:rPr>
          <w:color w:val="000000" w:themeColor="text1"/>
          <w:szCs w:val="24"/>
        </w:rPr>
        <w:t xml:space="preserve"> matyti, kad daugiausia sunkių nelaimingų atsitikimų darbe nutiko </w:t>
      </w:r>
      <w:r w:rsidR="00C31D36">
        <w:rPr>
          <w:color w:val="000000" w:themeColor="text1"/>
          <w:szCs w:val="24"/>
        </w:rPr>
        <w:t>statybų</w:t>
      </w:r>
      <w:r>
        <w:rPr>
          <w:color w:val="000000" w:themeColor="text1"/>
          <w:szCs w:val="24"/>
        </w:rPr>
        <w:t xml:space="preserve"> sektoriuje, o mirtinų – </w:t>
      </w:r>
      <w:r w:rsidR="00C31D36">
        <w:rPr>
          <w:color w:val="000000" w:themeColor="text1"/>
          <w:szCs w:val="24"/>
        </w:rPr>
        <w:t>transporto ir saugojimo</w:t>
      </w:r>
      <w:r>
        <w:rPr>
          <w:color w:val="000000" w:themeColor="text1"/>
          <w:szCs w:val="24"/>
        </w:rPr>
        <w:t xml:space="preserve"> (</w:t>
      </w:r>
      <w:r w:rsidR="00C31905">
        <w:rPr>
          <w:color w:val="000000" w:themeColor="text1"/>
          <w:szCs w:val="24"/>
        </w:rPr>
        <w:t>10</w:t>
      </w:r>
      <w:r>
        <w:rPr>
          <w:color w:val="000000" w:themeColor="text1"/>
          <w:szCs w:val="24"/>
        </w:rPr>
        <w:t xml:space="preserve"> lentelė).</w:t>
      </w:r>
    </w:p>
    <w:p w14:paraId="5567A3EA" w14:textId="0AB6E43B" w:rsidR="006B77C3" w:rsidRDefault="006B77C3" w:rsidP="00BD136D">
      <w:pPr>
        <w:spacing w:after="0" w:line="360" w:lineRule="auto"/>
        <w:jc w:val="both"/>
        <w:rPr>
          <w:color w:val="000000" w:themeColor="text1"/>
          <w:szCs w:val="24"/>
        </w:rPr>
      </w:pPr>
    </w:p>
    <w:p w14:paraId="255E6069" w14:textId="30A55FBB" w:rsidR="00B31AD8" w:rsidRDefault="00B31AD8" w:rsidP="00BD136D">
      <w:pPr>
        <w:spacing w:after="0" w:line="360" w:lineRule="auto"/>
        <w:jc w:val="both"/>
        <w:rPr>
          <w:color w:val="000000" w:themeColor="text1"/>
          <w:szCs w:val="24"/>
        </w:rPr>
      </w:pPr>
    </w:p>
    <w:p w14:paraId="53565CA1" w14:textId="332C6235" w:rsidR="00B31AD8" w:rsidRDefault="00B31AD8" w:rsidP="00BD136D">
      <w:pPr>
        <w:spacing w:after="0" w:line="360" w:lineRule="auto"/>
        <w:jc w:val="both"/>
        <w:rPr>
          <w:color w:val="000000" w:themeColor="text1"/>
          <w:szCs w:val="24"/>
        </w:rPr>
      </w:pPr>
    </w:p>
    <w:p w14:paraId="48C05D4D" w14:textId="77777777" w:rsidR="00B31AD8" w:rsidRDefault="00B31AD8" w:rsidP="00BD136D">
      <w:pPr>
        <w:spacing w:after="0" w:line="360" w:lineRule="auto"/>
        <w:jc w:val="both"/>
        <w:rPr>
          <w:color w:val="000000" w:themeColor="text1"/>
          <w:szCs w:val="24"/>
        </w:rPr>
      </w:pPr>
    </w:p>
    <w:p w14:paraId="35C72FBA" w14:textId="03A1AB35" w:rsidR="00BD136D" w:rsidRPr="00336F6A" w:rsidRDefault="00F91D7C" w:rsidP="008A1635">
      <w:pPr>
        <w:spacing w:after="0" w:line="240" w:lineRule="auto"/>
        <w:jc w:val="center"/>
      </w:pPr>
      <w:r>
        <w:lastRenderedPageBreak/>
        <w:t>10</w:t>
      </w:r>
      <w:r w:rsidR="00BD136D" w:rsidRPr="00336F6A">
        <w:t xml:space="preserve"> lentelė. Sunkių ir mirtinų nelaimingų atsitikimų darbe (N-1) pasiskirstymas Kauno miesto įmonėse, įstaigose pagal ekonomines veiklas 201</w:t>
      </w:r>
      <w:r>
        <w:t>9</w:t>
      </w:r>
      <w:r w:rsidR="00BD136D" w:rsidRPr="00336F6A">
        <w:t xml:space="preserve"> m.</w:t>
      </w:r>
    </w:p>
    <w:tbl>
      <w:tblPr>
        <w:tblStyle w:val="4tinkleliolentel3parykinimas1"/>
        <w:tblW w:w="99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948"/>
        <w:gridCol w:w="990"/>
        <w:gridCol w:w="863"/>
        <w:gridCol w:w="897"/>
        <w:gridCol w:w="880"/>
        <w:gridCol w:w="633"/>
        <w:gridCol w:w="709"/>
      </w:tblGrid>
      <w:tr w:rsidR="00BD136D" w:rsidRPr="00357D2F" w14:paraId="4D8A51CC" w14:textId="77777777" w:rsidTr="003154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8" w:type="dxa"/>
            <w:vMerge w:val="restart"/>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14:paraId="357EBABA" w14:textId="77777777" w:rsidR="00BD136D" w:rsidRPr="00B7437E" w:rsidRDefault="00BD136D" w:rsidP="00663319">
            <w:pPr>
              <w:jc w:val="center"/>
              <w:rPr>
                <w:rFonts w:cs="Times New Roman"/>
                <w:b w:val="0"/>
                <w:color w:val="auto"/>
                <w:sz w:val="22"/>
              </w:rPr>
            </w:pPr>
            <w:r>
              <w:rPr>
                <w:rFonts w:cs="Times New Roman"/>
                <w:b w:val="0"/>
                <w:color w:val="auto"/>
                <w:sz w:val="22"/>
              </w:rPr>
              <w:t>Ekonominės veiklos rūšis</w:t>
            </w:r>
          </w:p>
        </w:tc>
        <w:tc>
          <w:tcPr>
            <w:tcW w:w="3630" w:type="dxa"/>
            <w:gridSpan w:val="4"/>
            <w:tcBorders>
              <w:top w:val="none" w:sz="0" w:space="0" w:color="auto"/>
              <w:left w:val="none" w:sz="0" w:space="0" w:color="auto"/>
              <w:bottom w:val="none" w:sz="0" w:space="0" w:color="auto"/>
              <w:right w:val="single" w:sz="18" w:space="0" w:color="auto"/>
            </w:tcBorders>
            <w:shd w:val="clear" w:color="auto" w:fill="D6E3BC" w:themeFill="accent3" w:themeFillTint="66"/>
            <w:vAlign w:val="center"/>
          </w:tcPr>
          <w:p w14:paraId="59CE4856" w14:textId="77777777" w:rsidR="00BD136D" w:rsidRPr="00B7437E" w:rsidRDefault="00BD136D" w:rsidP="00663319">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B7437E">
              <w:rPr>
                <w:rFonts w:cs="Times New Roman"/>
                <w:b w:val="0"/>
                <w:color w:val="auto"/>
                <w:sz w:val="22"/>
              </w:rPr>
              <w:t>Nelaimingų atsitikimų darbe (N-1) skaičius</w:t>
            </w:r>
          </w:p>
        </w:tc>
        <w:tc>
          <w:tcPr>
            <w:tcW w:w="1342" w:type="dxa"/>
            <w:gridSpan w:val="2"/>
            <w:vMerge w:val="restart"/>
            <w:tcBorders>
              <w:top w:val="single" w:sz="18" w:space="0" w:color="auto"/>
              <w:left w:val="single" w:sz="18" w:space="0" w:color="auto"/>
              <w:bottom w:val="none" w:sz="0" w:space="0" w:color="auto"/>
              <w:right w:val="single" w:sz="18" w:space="0" w:color="auto"/>
            </w:tcBorders>
            <w:shd w:val="clear" w:color="auto" w:fill="D6E3BC" w:themeFill="accent3" w:themeFillTint="66"/>
            <w:vAlign w:val="center"/>
          </w:tcPr>
          <w:p w14:paraId="59B9F21E" w14:textId="77777777" w:rsidR="00BD136D" w:rsidRPr="00B7437E" w:rsidRDefault="00BD136D" w:rsidP="00663319">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B7437E">
              <w:rPr>
                <w:rFonts w:cs="Times New Roman"/>
                <w:b w:val="0"/>
                <w:color w:val="auto"/>
                <w:sz w:val="22"/>
              </w:rPr>
              <w:t>Iš viso</w:t>
            </w:r>
          </w:p>
        </w:tc>
      </w:tr>
      <w:tr w:rsidR="00663319" w:rsidRPr="00357D2F" w14:paraId="611F122C" w14:textId="77777777" w:rsidTr="00315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8" w:type="dxa"/>
            <w:vMerge/>
            <w:shd w:val="clear" w:color="auto" w:fill="D6E3BC" w:themeFill="accent3" w:themeFillTint="66"/>
            <w:vAlign w:val="center"/>
          </w:tcPr>
          <w:p w14:paraId="4E70E456" w14:textId="77777777" w:rsidR="00BD136D" w:rsidRPr="00357D2F" w:rsidRDefault="00BD136D" w:rsidP="00663319">
            <w:pPr>
              <w:jc w:val="center"/>
              <w:rPr>
                <w:rFonts w:cs="Times New Roman"/>
                <w:sz w:val="22"/>
              </w:rPr>
            </w:pPr>
          </w:p>
        </w:tc>
        <w:tc>
          <w:tcPr>
            <w:tcW w:w="1853" w:type="dxa"/>
            <w:gridSpan w:val="2"/>
            <w:shd w:val="clear" w:color="auto" w:fill="D6E3BC" w:themeFill="accent3" w:themeFillTint="66"/>
            <w:vAlign w:val="center"/>
          </w:tcPr>
          <w:p w14:paraId="5BF4A04A" w14:textId="77777777" w:rsidR="00BD136D" w:rsidRPr="00357D2F" w:rsidRDefault="00BD136D" w:rsidP="00663319">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357D2F">
              <w:rPr>
                <w:rFonts w:cs="Times New Roman"/>
                <w:sz w:val="22"/>
              </w:rPr>
              <w:t>Sunkūs</w:t>
            </w:r>
          </w:p>
        </w:tc>
        <w:tc>
          <w:tcPr>
            <w:tcW w:w="1777" w:type="dxa"/>
            <w:gridSpan w:val="2"/>
            <w:tcBorders>
              <w:right w:val="single" w:sz="18" w:space="0" w:color="auto"/>
            </w:tcBorders>
            <w:shd w:val="clear" w:color="auto" w:fill="D6E3BC" w:themeFill="accent3" w:themeFillTint="66"/>
            <w:vAlign w:val="center"/>
          </w:tcPr>
          <w:p w14:paraId="52B62A0C" w14:textId="77777777" w:rsidR="00BD136D" w:rsidRPr="00357D2F" w:rsidRDefault="00BD136D" w:rsidP="00663319">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357D2F">
              <w:rPr>
                <w:rFonts w:cs="Times New Roman"/>
                <w:sz w:val="22"/>
              </w:rPr>
              <w:t>Mirtini</w:t>
            </w:r>
          </w:p>
        </w:tc>
        <w:tc>
          <w:tcPr>
            <w:tcW w:w="1342" w:type="dxa"/>
            <w:gridSpan w:val="2"/>
            <w:vMerge/>
            <w:tcBorders>
              <w:left w:val="single" w:sz="18" w:space="0" w:color="auto"/>
              <w:right w:val="single" w:sz="18" w:space="0" w:color="auto"/>
            </w:tcBorders>
            <w:shd w:val="clear" w:color="auto" w:fill="D6E3BC" w:themeFill="accent3" w:themeFillTint="66"/>
            <w:vAlign w:val="center"/>
          </w:tcPr>
          <w:p w14:paraId="3177EF2B" w14:textId="77777777" w:rsidR="00BD136D" w:rsidRPr="00357D2F" w:rsidRDefault="00BD136D" w:rsidP="00663319">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r>
      <w:tr w:rsidR="00663319" w:rsidRPr="00357D2F" w14:paraId="4D70F18F" w14:textId="77777777" w:rsidTr="003154E3">
        <w:tc>
          <w:tcPr>
            <w:cnfStyle w:val="001000000000" w:firstRow="0" w:lastRow="0" w:firstColumn="1" w:lastColumn="0" w:oddVBand="0" w:evenVBand="0" w:oddHBand="0" w:evenHBand="0" w:firstRowFirstColumn="0" w:firstRowLastColumn="0" w:lastRowFirstColumn="0" w:lastRowLastColumn="0"/>
            <w:tcW w:w="4948" w:type="dxa"/>
            <w:vMerge/>
            <w:shd w:val="clear" w:color="auto" w:fill="D6E3BC" w:themeFill="accent3" w:themeFillTint="66"/>
            <w:vAlign w:val="center"/>
          </w:tcPr>
          <w:p w14:paraId="0008FBC1" w14:textId="77777777" w:rsidR="00BD136D" w:rsidRPr="00357D2F" w:rsidRDefault="00BD136D" w:rsidP="00663319">
            <w:pPr>
              <w:jc w:val="center"/>
              <w:rPr>
                <w:rFonts w:cs="Times New Roman"/>
                <w:sz w:val="22"/>
              </w:rPr>
            </w:pPr>
          </w:p>
        </w:tc>
        <w:tc>
          <w:tcPr>
            <w:tcW w:w="990" w:type="dxa"/>
            <w:shd w:val="clear" w:color="auto" w:fill="D6E3BC" w:themeFill="accent3" w:themeFillTint="66"/>
            <w:vAlign w:val="center"/>
          </w:tcPr>
          <w:p w14:paraId="73AEBF73" w14:textId="77777777" w:rsidR="00BD136D" w:rsidRPr="00357D2F" w:rsidRDefault="00BD136D" w:rsidP="00663319">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roofErr w:type="spellStart"/>
            <w:r w:rsidRPr="00357D2F">
              <w:rPr>
                <w:rFonts w:cs="Times New Roman"/>
                <w:sz w:val="22"/>
              </w:rPr>
              <w:t>Atv</w:t>
            </w:r>
            <w:proofErr w:type="spellEnd"/>
            <w:r w:rsidRPr="00357D2F">
              <w:rPr>
                <w:rFonts w:cs="Times New Roman"/>
                <w:sz w:val="22"/>
              </w:rPr>
              <w:t>.</w:t>
            </w:r>
          </w:p>
        </w:tc>
        <w:tc>
          <w:tcPr>
            <w:tcW w:w="863" w:type="dxa"/>
            <w:shd w:val="clear" w:color="auto" w:fill="D6E3BC" w:themeFill="accent3" w:themeFillTint="66"/>
            <w:vAlign w:val="center"/>
          </w:tcPr>
          <w:p w14:paraId="11F3A2A8" w14:textId="77777777" w:rsidR="00BD136D" w:rsidRPr="00357D2F" w:rsidRDefault="00BD136D" w:rsidP="00663319">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357D2F">
              <w:rPr>
                <w:rFonts w:cs="Times New Roman"/>
                <w:sz w:val="22"/>
              </w:rPr>
              <w:t>%</w:t>
            </w:r>
          </w:p>
        </w:tc>
        <w:tc>
          <w:tcPr>
            <w:tcW w:w="897" w:type="dxa"/>
            <w:shd w:val="clear" w:color="auto" w:fill="D6E3BC" w:themeFill="accent3" w:themeFillTint="66"/>
            <w:vAlign w:val="center"/>
          </w:tcPr>
          <w:p w14:paraId="4AB3BC4E" w14:textId="77777777" w:rsidR="00BD136D" w:rsidRPr="00357D2F" w:rsidRDefault="00BD136D" w:rsidP="00663319">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roofErr w:type="spellStart"/>
            <w:r w:rsidRPr="00357D2F">
              <w:rPr>
                <w:rFonts w:cs="Times New Roman"/>
                <w:sz w:val="22"/>
              </w:rPr>
              <w:t>Atv</w:t>
            </w:r>
            <w:proofErr w:type="spellEnd"/>
            <w:r w:rsidRPr="00357D2F">
              <w:rPr>
                <w:rFonts w:cs="Times New Roman"/>
                <w:sz w:val="22"/>
              </w:rPr>
              <w:t>.</w:t>
            </w:r>
          </w:p>
        </w:tc>
        <w:tc>
          <w:tcPr>
            <w:tcW w:w="880" w:type="dxa"/>
            <w:tcBorders>
              <w:right w:val="single" w:sz="18" w:space="0" w:color="auto"/>
            </w:tcBorders>
            <w:shd w:val="clear" w:color="auto" w:fill="D6E3BC" w:themeFill="accent3" w:themeFillTint="66"/>
            <w:vAlign w:val="center"/>
          </w:tcPr>
          <w:p w14:paraId="6C4BDBCB" w14:textId="77777777" w:rsidR="00BD136D" w:rsidRPr="00357D2F" w:rsidRDefault="00BD136D" w:rsidP="00663319">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357D2F">
              <w:rPr>
                <w:rFonts w:cs="Times New Roman"/>
                <w:sz w:val="22"/>
              </w:rPr>
              <w:t>%</w:t>
            </w:r>
          </w:p>
        </w:tc>
        <w:tc>
          <w:tcPr>
            <w:tcW w:w="633" w:type="dxa"/>
            <w:tcBorders>
              <w:left w:val="single" w:sz="18" w:space="0" w:color="auto"/>
            </w:tcBorders>
            <w:shd w:val="clear" w:color="auto" w:fill="D6E3BC" w:themeFill="accent3" w:themeFillTint="66"/>
            <w:vAlign w:val="center"/>
          </w:tcPr>
          <w:p w14:paraId="353BE452" w14:textId="77777777" w:rsidR="00BD136D" w:rsidRPr="00357D2F" w:rsidRDefault="00BD136D" w:rsidP="00663319">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roofErr w:type="spellStart"/>
            <w:r w:rsidRPr="00357D2F">
              <w:rPr>
                <w:rFonts w:cs="Times New Roman"/>
                <w:sz w:val="22"/>
              </w:rPr>
              <w:t>Atv</w:t>
            </w:r>
            <w:proofErr w:type="spellEnd"/>
            <w:r w:rsidRPr="00357D2F">
              <w:rPr>
                <w:rFonts w:cs="Times New Roman"/>
                <w:sz w:val="22"/>
              </w:rPr>
              <w:t>.</w:t>
            </w:r>
          </w:p>
        </w:tc>
        <w:tc>
          <w:tcPr>
            <w:tcW w:w="709" w:type="dxa"/>
            <w:tcBorders>
              <w:right w:val="single" w:sz="18" w:space="0" w:color="auto"/>
            </w:tcBorders>
            <w:shd w:val="clear" w:color="auto" w:fill="D6E3BC" w:themeFill="accent3" w:themeFillTint="66"/>
            <w:vAlign w:val="center"/>
          </w:tcPr>
          <w:p w14:paraId="55B2F514" w14:textId="77777777" w:rsidR="00BD136D" w:rsidRPr="00357D2F" w:rsidRDefault="00BD136D" w:rsidP="00663319">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357D2F">
              <w:rPr>
                <w:rFonts w:cs="Times New Roman"/>
                <w:sz w:val="22"/>
              </w:rPr>
              <w:t>%</w:t>
            </w:r>
          </w:p>
        </w:tc>
      </w:tr>
      <w:tr w:rsidR="00663319" w:rsidRPr="00357D2F" w14:paraId="3573D14E" w14:textId="77777777" w:rsidTr="00315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8" w:type="dxa"/>
            <w:shd w:val="clear" w:color="auto" w:fill="FFFFFF" w:themeFill="background1"/>
            <w:vAlign w:val="center"/>
          </w:tcPr>
          <w:p w14:paraId="00EFC701" w14:textId="77777777" w:rsidR="00BD136D" w:rsidRPr="00357D2F" w:rsidRDefault="00BD136D" w:rsidP="00C31905">
            <w:pPr>
              <w:rPr>
                <w:rFonts w:cs="Times New Roman"/>
                <w:b w:val="0"/>
                <w:sz w:val="22"/>
              </w:rPr>
            </w:pPr>
            <w:r>
              <w:rPr>
                <w:rFonts w:cs="Times New Roman"/>
                <w:b w:val="0"/>
                <w:sz w:val="22"/>
              </w:rPr>
              <w:t>Apdirbamoji pramonė</w:t>
            </w:r>
          </w:p>
        </w:tc>
        <w:tc>
          <w:tcPr>
            <w:tcW w:w="990" w:type="dxa"/>
            <w:shd w:val="clear" w:color="auto" w:fill="FFFFFF" w:themeFill="background1"/>
            <w:vAlign w:val="center"/>
          </w:tcPr>
          <w:p w14:paraId="09B232DB" w14:textId="30E5405F" w:rsidR="00BD136D" w:rsidRPr="00357D2F" w:rsidRDefault="00663319" w:rsidP="00C31905">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6</w:t>
            </w:r>
          </w:p>
        </w:tc>
        <w:tc>
          <w:tcPr>
            <w:tcW w:w="863" w:type="dxa"/>
            <w:shd w:val="clear" w:color="auto" w:fill="FFFFFF" w:themeFill="background1"/>
            <w:vAlign w:val="center"/>
          </w:tcPr>
          <w:p w14:paraId="1455A599" w14:textId="5CBF7483" w:rsidR="00BD136D" w:rsidRPr="00357D2F" w:rsidRDefault="00663319" w:rsidP="00C31905">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29</w:t>
            </w:r>
          </w:p>
        </w:tc>
        <w:tc>
          <w:tcPr>
            <w:tcW w:w="897" w:type="dxa"/>
            <w:shd w:val="clear" w:color="auto" w:fill="FFFFFF" w:themeFill="background1"/>
            <w:vAlign w:val="center"/>
          </w:tcPr>
          <w:p w14:paraId="34BE99BD" w14:textId="37E5BC6D" w:rsidR="00BD136D" w:rsidRPr="00357D2F" w:rsidRDefault="00663319" w:rsidP="00C31905">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0</w:t>
            </w:r>
          </w:p>
        </w:tc>
        <w:tc>
          <w:tcPr>
            <w:tcW w:w="880" w:type="dxa"/>
            <w:tcBorders>
              <w:right w:val="single" w:sz="18" w:space="0" w:color="auto"/>
            </w:tcBorders>
            <w:shd w:val="clear" w:color="auto" w:fill="FFFFFF" w:themeFill="background1"/>
            <w:vAlign w:val="center"/>
          </w:tcPr>
          <w:p w14:paraId="0F1CBDDE" w14:textId="037A7E96" w:rsidR="00BD136D" w:rsidRPr="00357D2F" w:rsidRDefault="00663319" w:rsidP="00C31905">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w:t>
            </w:r>
          </w:p>
        </w:tc>
        <w:tc>
          <w:tcPr>
            <w:tcW w:w="633" w:type="dxa"/>
            <w:tcBorders>
              <w:left w:val="single" w:sz="18" w:space="0" w:color="auto"/>
            </w:tcBorders>
            <w:shd w:val="clear" w:color="auto" w:fill="FFFFFF" w:themeFill="background1"/>
            <w:vAlign w:val="center"/>
          </w:tcPr>
          <w:p w14:paraId="5CACB371" w14:textId="0D5703EE" w:rsidR="00BD136D" w:rsidRPr="00357D2F" w:rsidRDefault="00663319" w:rsidP="00C31905">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6</w:t>
            </w:r>
          </w:p>
        </w:tc>
        <w:tc>
          <w:tcPr>
            <w:tcW w:w="709" w:type="dxa"/>
            <w:tcBorders>
              <w:right w:val="single" w:sz="18" w:space="0" w:color="auto"/>
            </w:tcBorders>
            <w:shd w:val="clear" w:color="auto" w:fill="FFFFFF" w:themeFill="background1"/>
            <w:vAlign w:val="center"/>
          </w:tcPr>
          <w:p w14:paraId="686CEAAD" w14:textId="1FD64D4E" w:rsidR="00BD136D" w:rsidRPr="00357D2F" w:rsidRDefault="00663319" w:rsidP="00C31905">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26</w:t>
            </w:r>
          </w:p>
        </w:tc>
      </w:tr>
      <w:tr w:rsidR="00BD136D" w:rsidRPr="00357D2F" w14:paraId="4E0E9D2D" w14:textId="77777777" w:rsidTr="003154E3">
        <w:tc>
          <w:tcPr>
            <w:cnfStyle w:val="001000000000" w:firstRow="0" w:lastRow="0" w:firstColumn="1" w:lastColumn="0" w:oddVBand="0" w:evenVBand="0" w:oddHBand="0" w:evenHBand="0" w:firstRowFirstColumn="0" w:firstRowLastColumn="0" w:lastRowFirstColumn="0" w:lastRowLastColumn="0"/>
            <w:tcW w:w="4948" w:type="dxa"/>
            <w:shd w:val="clear" w:color="auto" w:fill="FFFFFF" w:themeFill="background1"/>
            <w:vAlign w:val="center"/>
          </w:tcPr>
          <w:p w14:paraId="37316ABD" w14:textId="77777777" w:rsidR="00BD136D" w:rsidRPr="00357D2F" w:rsidRDefault="00BD136D" w:rsidP="00C31905">
            <w:pPr>
              <w:rPr>
                <w:rFonts w:cs="Times New Roman"/>
                <w:b w:val="0"/>
                <w:sz w:val="22"/>
              </w:rPr>
            </w:pPr>
            <w:r>
              <w:rPr>
                <w:rFonts w:cs="Times New Roman"/>
                <w:b w:val="0"/>
                <w:sz w:val="22"/>
              </w:rPr>
              <w:t>Statyba</w:t>
            </w:r>
          </w:p>
        </w:tc>
        <w:tc>
          <w:tcPr>
            <w:tcW w:w="990" w:type="dxa"/>
            <w:shd w:val="clear" w:color="auto" w:fill="FFFFFF" w:themeFill="background1"/>
            <w:vAlign w:val="center"/>
          </w:tcPr>
          <w:p w14:paraId="7DD8A07C" w14:textId="63262221" w:rsidR="00BD136D" w:rsidRPr="00357D2F" w:rsidRDefault="00146C59" w:rsidP="00C31905">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8</w:t>
            </w:r>
          </w:p>
        </w:tc>
        <w:tc>
          <w:tcPr>
            <w:tcW w:w="863" w:type="dxa"/>
            <w:shd w:val="clear" w:color="auto" w:fill="FFFFFF" w:themeFill="background1"/>
            <w:vAlign w:val="center"/>
          </w:tcPr>
          <w:p w14:paraId="7A91AE5A" w14:textId="7805CBAD" w:rsidR="00BD136D" w:rsidRPr="00357D2F" w:rsidRDefault="00146C59" w:rsidP="00C31905">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38</w:t>
            </w:r>
          </w:p>
        </w:tc>
        <w:tc>
          <w:tcPr>
            <w:tcW w:w="897" w:type="dxa"/>
            <w:shd w:val="clear" w:color="auto" w:fill="FFFFFF" w:themeFill="background1"/>
            <w:vAlign w:val="center"/>
          </w:tcPr>
          <w:p w14:paraId="41DAB5E5" w14:textId="1163B199" w:rsidR="00BD136D" w:rsidRPr="00357D2F" w:rsidRDefault="00146C59" w:rsidP="00C31905">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0</w:t>
            </w:r>
          </w:p>
        </w:tc>
        <w:tc>
          <w:tcPr>
            <w:tcW w:w="880" w:type="dxa"/>
            <w:tcBorders>
              <w:right w:val="single" w:sz="18" w:space="0" w:color="auto"/>
            </w:tcBorders>
            <w:shd w:val="clear" w:color="auto" w:fill="FFFFFF" w:themeFill="background1"/>
            <w:vAlign w:val="center"/>
          </w:tcPr>
          <w:p w14:paraId="7E80EE20" w14:textId="38A0F6E6" w:rsidR="00BD136D" w:rsidRPr="00357D2F" w:rsidRDefault="00146C59" w:rsidP="00C31905">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w:t>
            </w:r>
          </w:p>
        </w:tc>
        <w:tc>
          <w:tcPr>
            <w:tcW w:w="633" w:type="dxa"/>
            <w:tcBorders>
              <w:left w:val="single" w:sz="18" w:space="0" w:color="auto"/>
            </w:tcBorders>
            <w:shd w:val="clear" w:color="auto" w:fill="FFFFFF" w:themeFill="background1"/>
            <w:vAlign w:val="center"/>
          </w:tcPr>
          <w:p w14:paraId="333C3CF5" w14:textId="122CB7DD" w:rsidR="00BD136D" w:rsidRPr="00357D2F" w:rsidRDefault="00146C59" w:rsidP="00C31905">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8</w:t>
            </w:r>
          </w:p>
        </w:tc>
        <w:tc>
          <w:tcPr>
            <w:tcW w:w="709" w:type="dxa"/>
            <w:tcBorders>
              <w:right w:val="single" w:sz="18" w:space="0" w:color="auto"/>
            </w:tcBorders>
            <w:shd w:val="clear" w:color="auto" w:fill="FFFFFF" w:themeFill="background1"/>
            <w:vAlign w:val="center"/>
          </w:tcPr>
          <w:p w14:paraId="28FB5C3F" w14:textId="1AD791D2" w:rsidR="00BD136D" w:rsidRPr="00357D2F" w:rsidRDefault="00146C59" w:rsidP="00C31905">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35</w:t>
            </w:r>
          </w:p>
        </w:tc>
      </w:tr>
      <w:tr w:rsidR="00BD136D" w:rsidRPr="00357D2F" w14:paraId="26588041" w14:textId="77777777" w:rsidTr="00315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8" w:type="dxa"/>
            <w:shd w:val="clear" w:color="auto" w:fill="FFFFFF" w:themeFill="background1"/>
            <w:vAlign w:val="center"/>
          </w:tcPr>
          <w:p w14:paraId="13857F54" w14:textId="77777777" w:rsidR="00BD136D" w:rsidRPr="00357D2F" w:rsidRDefault="00BD136D" w:rsidP="00C31905">
            <w:pPr>
              <w:rPr>
                <w:rFonts w:cs="Times New Roman"/>
                <w:b w:val="0"/>
                <w:sz w:val="22"/>
              </w:rPr>
            </w:pPr>
            <w:r>
              <w:rPr>
                <w:rFonts w:cs="Times New Roman"/>
                <w:b w:val="0"/>
                <w:sz w:val="22"/>
              </w:rPr>
              <w:t>Transportas ir saugojimas</w:t>
            </w:r>
          </w:p>
        </w:tc>
        <w:tc>
          <w:tcPr>
            <w:tcW w:w="990" w:type="dxa"/>
            <w:shd w:val="clear" w:color="auto" w:fill="FFFFFF" w:themeFill="background1"/>
            <w:vAlign w:val="center"/>
          </w:tcPr>
          <w:p w14:paraId="037285CC" w14:textId="16FC82D7" w:rsidR="00BD136D" w:rsidRPr="00357D2F" w:rsidRDefault="00146C59" w:rsidP="00C31905">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3</w:t>
            </w:r>
          </w:p>
        </w:tc>
        <w:tc>
          <w:tcPr>
            <w:tcW w:w="863" w:type="dxa"/>
            <w:shd w:val="clear" w:color="auto" w:fill="FFFFFF" w:themeFill="background1"/>
            <w:vAlign w:val="center"/>
          </w:tcPr>
          <w:p w14:paraId="5B839323" w14:textId="5CC42A04" w:rsidR="00BD136D" w:rsidRPr="00357D2F" w:rsidRDefault="00146C59" w:rsidP="00C31905">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14</w:t>
            </w:r>
          </w:p>
        </w:tc>
        <w:tc>
          <w:tcPr>
            <w:tcW w:w="897" w:type="dxa"/>
            <w:shd w:val="clear" w:color="auto" w:fill="FFFFFF" w:themeFill="background1"/>
            <w:vAlign w:val="center"/>
          </w:tcPr>
          <w:p w14:paraId="61B0901C" w14:textId="32FFB0F4" w:rsidR="00BD136D" w:rsidRPr="00357D2F" w:rsidRDefault="002D402D" w:rsidP="00C31905">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2</w:t>
            </w:r>
          </w:p>
        </w:tc>
        <w:tc>
          <w:tcPr>
            <w:tcW w:w="880" w:type="dxa"/>
            <w:tcBorders>
              <w:right w:val="single" w:sz="18" w:space="0" w:color="auto"/>
            </w:tcBorders>
            <w:shd w:val="clear" w:color="auto" w:fill="FFFFFF" w:themeFill="background1"/>
            <w:vAlign w:val="center"/>
          </w:tcPr>
          <w:p w14:paraId="4D957FAD" w14:textId="370120A3" w:rsidR="00BD136D" w:rsidRPr="00357D2F" w:rsidRDefault="002D402D" w:rsidP="00C31905">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100</w:t>
            </w:r>
          </w:p>
        </w:tc>
        <w:tc>
          <w:tcPr>
            <w:tcW w:w="633" w:type="dxa"/>
            <w:tcBorders>
              <w:left w:val="single" w:sz="18" w:space="0" w:color="auto"/>
            </w:tcBorders>
            <w:shd w:val="clear" w:color="auto" w:fill="FFFFFF" w:themeFill="background1"/>
            <w:vAlign w:val="center"/>
          </w:tcPr>
          <w:p w14:paraId="7B4FF333" w14:textId="414DD406" w:rsidR="00BD136D" w:rsidRPr="00357D2F" w:rsidRDefault="002D402D" w:rsidP="00C31905">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5</w:t>
            </w:r>
          </w:p>
        </w:tc>
        <w:tc>
          <w:tcPr>
            <w:tcW w:w="709" w:type="dxa"/>
            <w:tcBorders>
              <w:right w:val="single" w:sz="18" w:space="0" w:color="auto"/>
            </w:tcBorders>
            <w:shd w:val="clear" w:color="auto" w:fill="FFFFFF" w:themeFill="background1"/>
            <w:vAlign w:val="center"/>
          </w:tcPr>
          <w:p w14:paraId="4531E62F" w14:textId="5F293CA3" w:rsidR="00BD136D" w:rsidRPr="00357D2F" w:rsidRDefault="002D402D" w:rsidP="00C31905">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22</w:t>
            </w:r>
          </w:p>
        </w:tc>
      </w:tr>
      <w:tr w:rsidR="00663319" w:rsidRPr="00357D2F" w14:paraId="6692419A" w14:textId="77777777" w:rsidTr="003154E3">
        <w:tc>
          <w:tcPr>
            <w:cnfStyle w:val="001000000000" w:firstRow="0" w:lastRow="0" w:firstColumn="1" w:lastColumn="0" w:oddVBand="0" w:evenVBand="0" w:oddHBand="0" w:evenHBand="0" w:firstRowFirstColumn="0" w:firstRowLastColumn="0" w:lastRowFirstColumn="0" w:lastRowLastColumn="0"/>
            <w:tcW w:w="4948" w:type="dxa"/>
            <w:shd w:val="clear" w:color="auto" w:fill="FFFFFF" w:themeFill="background1"/>
            <w:vAlign w:val="center"/>
          </w:tcPr>
          <w:p w14:paraId="2C3CF5A9" w14:textId="77777777" w:rsidR="00BD136D" w:rsidRPr="00357D2F" w:rsidRDefault="00BD136D" w:rsidP="00C31905">
            <w:pPr>
              <w:rPr>
                <w:rFonts w:cs="Times New Roman"/>
                <w:b w:val="0"/>
                <w:sz w:val="22"/>
              </w:rPr>
            </w:pPr>
            <w:r>
              <w:rPr>
                <w:rFonts w:cs="Times New Roman"/>
                <w:b w:val="0"/>
                <w:sz w:val="22"/>
              </w:rPr>
              <w:t>Vandens tiekimas, nuotekų valymas, atliekų tvarkymas ir regeneravimas</w:t>
            </w:r>
          </w:p>
        </w:tc>
        <w:tc>
          <w:tcPr>
            <w:tcW w:w="990" w:type="dxa"/>
            <w:shd w:val="clear" w:color="auto" w:fill="FFFFFF" w:themeFill="background1"/>
            <w:vAlign w:val="center"/>
          </w:tcPr>
          <w:p w14:paraId="39A92924" w14:textId="2B68BA28" w:rsidR="00BD136D" w:rsidRPr="00357D2F" w:rsidRDefault="001873F1" w:rsidP="00C31905">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1</w:t>
            </w:r>
          </w:p>
        </w:tc>
        <w:tc>
          <w:tcPr>
            <w:tcW w:w="863" w:type="dxa"/>
            <w:shd w:val="clear" w:color="auto" w:fill="FFFFFF" w:themeFill="background1"/>
            <w:vAlign w:val="center"/>
          </w:tcPr>
          <w:p w14:paraId="299C0E44" w14:textId="6BBA4BF2" w:rsidR="00BD136D" w:rsidRPr="00357D2F" w:rsidRDefault="001873F1" w:rsidP="00C31905">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5</w:t>
            </w:r>
          </w:p>
        </w:tc>
        <w:tc>
          <w:tcPr>
            <w:tcW w:w="897" w:type="dxa"/>
            <w:shd w:val="clear" w:color="auto" w:fill="FFFFFF" w:themeFill="background1"/>
            <w:vAlign w:val="center"/>
          </w:tcPr>
          <w:p w14:paraId="62DC056B" w14:textId="650084B0" w:rsidR="00BD136D" w:rsidRPr="00357D2F" w:rsidRDefault="001873F1" w:rsidP="00C31905">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0</w:t>
            </w:r>
          </w:p>
        </w:tc>
        <w:tc>
          <w:tcPr>
            <w:tcW w:w="880" w:type="dxa"/>
            <w:tcBorders>
              <w:right w:val="single" w:sz="18" w:space="0" w:color="auto"/>
            </w:tcBorders>
            <w:shd w:val="clear" w:color="auto" w:fill="FFFFFF" w:themeFill="background1"/>
            <w:vAlign w:val="center"/>
          </w:tcPr>
          <w:p w14:paraId="2DC8B4FC" w14:textId="5FEF44DA" w:rsidR="00BD136D" w:rsidRPr="00357D2F" w:rsidRDefault="001873F1" w:rsidP="00C31905">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w:t>
            </w:r>
          </w:p>
        </w:tc>
        <w:tc>
          <w:tcPr>
            <w:tcW w:w="633" w:type="dxa"/>
            <w:tcBorders>
              <w:left w:val="single" w:sz="18" w:space="0" w:color="auto"/>
            </w:tcBorders>
            <w:shd w:val="clear" w:color="auto" w:fill="FFFFFF" w:themeFill="background1"/>
            <w:vAlign w:val="center"/>
          </w:tcPr>
          <w:p w14:paraId="07D3FC98" w14:textId="79315521" w:rsidR="00BD136D" w:rsidRPr="00357D2F" w:rsidRDefault="001873F1" w:rsidP="00C31905">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1</w:t>
            </w:r>
          </w:p>
        </w:tc>
        <w:tc>
          <w:tcPr>
            <w:tcW w:w="709" w:type="dxa"/>
            <w:tcBorders>
              <w:right w:val="single" w:sz="18" w:space="0" w:color="auto"/>
            </w:tcBorders>
            <w:shd w:val="clear" w:color="auto" w:fill="FFFFFF" w:themeFill="background1"/>
            <w:vAlign w:val="center"/>
          </w:tcPr>
          <w:p w14:paraId="6A8E0CE9" w14:textId="749BCF71" w:rsidR="00BD136D" w:rsidRPr="00357D2F" w:rsidRDefault="001873F1" w:rsidP="00C31905">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4</w:t>
            </w:r>
          </w:p>
        </w:tc>
      </w:tr>
      <w:tr w:rsidR="00BD136D" w:rsidRPr="00357D2F" w14:paraId="1ADA950D" w14:textId="77777777" w:rsidTr="00315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8" w:type="dxa"/>
            <w:shd w:val="clear" w:color="auto" w:fill="FFFFFF" w:themeFill="background1"/>
            <w:vAlign w:val="center"/>
          </w:tcPr>
          <w:p w14:paraId="13EB8D8F" w14:textId="77777777" w:rsidR="00BD136D" w:rsidRPr="00357D2F" w:rsidRDefault="00BD136D" w:rsidP="00C31905">
            <w:pPr>
              <w:rPr>
                <w:rFonts w:cs="Times New Roman"/>
                <w:b w:val="0"/>
                <w:sz w:val="22"/>
              </w:rPr>
            </w:pPr>
            <w:r>
              <w:rPr>
                <w:rFonts w:cs="Times New Roman"/>
                <w:b w:val="0"/>
                <w:sz w:val="22"/>
              </w:rPr>
              <w:t>Profesinė, mokslinė ir techninė veikla</w:t>
            </w:r>
          </w:p>
        </w:tc>
        <w:tc>
          <w:tcPr>
            <w:tcW w:w="990" w:type="dxa"/>
            <w:shd w:val="clear" w:color="auto" w:fill="FFFFFF" w:themeFill="background1"/>
            <w:vAlign w:val="center"/>
          </w:tcPr>
          <w:p w14:paraId="4EA26DE8" w14:textId="18721704" w:rsidR="00BD136D" w:rsidRPr="00357D2F" w:rsidRDefault="001873F1" w:rsidP="00C31905">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2</w:t>
            </w:r>
          </w:p>
        </w:tc>
        <w:tc>
          <w:tcPr>
            <w:tcW w:w="863" w:type="dxa"/>
            <w:shd w:val="clear" w:color="auto" w:fill="FFFFFF" w:themeFill="background1"/>
            <w:vAlign w:val="center"/>
          </w:tcPr>
          <w:p w14:paraId="485F37A5" w14:textId="00FB432F" w:rsidR="00BD136D" w:rsidRPr="00357D2F" w:rsidRDefault="001873F1" w:rsidP="00C31905">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10</w:t>
            </w:r>
          </w:p>
        </w:tc>
        <w:tc>
          <w:tcPr>
            <w:tcW w:w="897" w:type="dxa"/>
            <w:shd w:val="clear" w:color="auto" w:fill="FFFFFF" w:themeFill="background1"/>
            <w:vAlign w:val="center"/>
          </w:tcPr>
          <w:p w14:paraId="07E69108" w14:textId="424D1A58" w:rsidR="00BD136D" w:rsidRPr="00357D2F" w:rsidRDefault="001873F1" w:rsidP="00C31905">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0</w:t>
            </w:r>
          </w:p>
        </w:tc>
        <w:tc>
          <w:tcPr>
            <w:tcW w:w="880" w:type="dxa"/>
            <w:tcBorders>
              <w:right w:val="single" w:sz="18" w:space="0" w:color="auto"/>
            </w:tcBorders>
            <w:shd w:val="clear" w:color="auto" w:fill="FFFFFF" w:themeFill="background1"/>
            <w:vAlign w:val="center"/>
          </w:tcPr>
          <w:p w14:paraId="33569C73" w14:textId="22F88B9F" w:rsidR="00BD136D" w:rsidRPr="00357D2F" w:rsidRDefault="001873F1" w:rsidP="00C31905">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w:t>
            </w:r>
          </w:p>
        </w:tc>
        <w:tc>
          <w:tcPr>
            <w:tcW w:w="633" w:type="dxa"/>
            <w:tcBorders>
              <w:left w:val="single" w:sz="18" w:space="0" w:color="auto"/>
            </w:tcBorders>
            <w:shd w:val="clear" w:color="auto" w:fill="FFFFFF" w:themeFill="background1"/>
            <w:vAlign w:val="center"/>
          </w:tcPr>
          <w:p w14:paraId="1CBCB8A1" w14:textId="3411160C" w:rsidR="00BD136D" w:rsidRPr="00357D2F" w:rsidRDefault="001873F1" w:rsidP="00C31905">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2</w:t>
            </w:r>
          </w:p>
        </w:tc>
        <w:tc>
          <w:tcPr>
            <w:tcW w:w="709" w:type="dxa"/>
            <w:tcBorders>
              <w:right w:val="single" w:sz="18" w:space="0" w:color="auto"/>
            </w:tcBorders>
            <w:shd w:val="clear" w:color="auto" w:fill="FFFFFF" w:themeFill="background1"/>
            <w:vAlign w:val="center"/>
          </w:tcPr>
          <w:p w14:paraId="0F03AB98" w14:textId="0E87A88C" w:rsidR="00BD136D" w:rsidRPr="00357D2F" w:rsidRDefault="001873F1" w:rsidP="00C31905">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9</w:t>
            </w:r>
          </w:p>
        </w:tc>
      </w:tr>
      <w:tr w:rsidR="00663319" w:rsidRPr="00357D2F" w14:paraId="5995F5E7" w14:textId="77777777" w:rsidTr="003154E3">
        <w:tc>
          <w:tcPr>
            <w:cnfStyle w:val="001000000000" w:firstRow="0" w:lastRow="0" w:firstColumn="1" w:lastColumn="0" w:oddVBand="0" w:evenVBand="0" w:oddHBand="0" w:evenHBand="0" w:firstRowFirstColumn="0" w:firstRowLastColumn="0" w:lastRowFirstColumn="0" w:lastRowLastColumn="0"/>
            <w:tcW w:w="4948" w:type="dxa"/>
            <w:shd w:val="clear" w:color="auto" w:fill="FFFFFF" w:themeFill="background1"/>
            <w:vAlign w:val="center"/>
          </w:tcPr>
          <w:p w14:paraId="4E94DB5B" w14:textId="07B295DF" w:rsidR="00BD136D" w:rsidRPr="003C34BF" w:rsidRDefault="008A1635" w:rsidP="00C31905">
            <w:pPr>
              <w:rPr>
                <w:rFonts w:cs="Times New Roman"/>
                <w:b w:val="0"/>
                <w:sz w:val="22"/>
              </w:rPr>
            </w:pPr>
            <w:r w:rsidRPr="003C34BF">
              <w:rPr>
                <w:rFonts w:cs="Times New Roman"/>
                <w:b w:val="0"/>
                <w:sz w:val="22"/>
              </w:rPr>
              <w:t>Švietimas</w:t>
            </w:r>
          </w:p>
        </w:tc>
        <w:tc>
          <w:tcPr>
            <w:tcW w:w="990" w:type="dxa"/>
            <w:shd w:val="clear" w:color="auto" w:fill="FFFFFF" w:themeFill="background1"/>
            <w:vAlign w:val="center"/>
          </w:tcPr>
          <w:p w14:paraId="3FAFFE69" w14:textId="6F8A1A8A" w:rsidR="00BD136D" w:rsidRPr="00357D2F" w:rsidRDefault="008A1635" w:rsidP="00C31905">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1</w:t>
            </w:r>
          </w:p>
        </w:tc>
        <w:tc>
          <w:tcPr>
            <w:tcW w:w="863" w:type="dxa"/>
            <w:shd w:val="clear" w:color="auto" w:fill="FFFFFF" w:themeFill="background1"/>
            <w:vAlign w:val="center"/>
          </w:tcPr>
          <w:p w14:paraId="5DBFDF81" w14:textId="2029115A" w:rsidR="00BD136D" w:rsidRPr="00357D2F" w:rsidRDefault="008A1635" w:rsidP="00C31905">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5</w:t>
            </w:r>
          </w:p>
        </w:tc>
        <w:tc>
          <w:tcPr>
            <w:tcW w:w="897" w:type="dxa"/>
            <w:shd w:val="clear" w:color="auto" w:fill="FFFFFF" w:themeFill="background1"/>
            <w:vAlign w:val="center"/>
          </w:tcPr>
          <w:p w14:paraId="24EE3E24" w14:textId="628B6EDA" w:rsidR="00BD136D" w:rsidRPr="00357D2F" w:rsidRDefault="008A1635" w:rsidP="00C31905">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0</w:t>
            </w:r>
          </w:p>
        </w:tc>
        <w:tc>
          <w:tcPr>
            <w:tcW w:w="880" w:type="dxa"/>
            <w:tcBorders>
              <w:right w:val="single" w:sz="18" w:space="0" w:color="auto"/>
            </w:tcBorders>
            <w:shd w:val="clear" w:color="auto" w:fill="FFFFFF" w:themeFill="background1"/>
            <w:vAlign w:val="center"/>
          </w:tcPr>
          <w:p w14:paraId="62D2C298" w14:textId="1A289423" w:rsidR="00BD136D" w:rsidRPr="00357D2F" w:rsidRDefault="008A1635" w:rsidP="00C31905">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w:t>
            </w:r>
          </w:p>
        </w:tc>
        <w:tc>
          <w:tcPr>
            <w:tcW w:w="633" w:type="dxa"/>
            <w:tcBorders>
              <w:left w:val="single" w:sz="18" w:space="0" w:color="auto"/>
            </w:tcBorders>
            <w:shd w:val="clear" w:color="auto" w:fill="FFFFFF" w:themeFill="background1"/>
            <w:vAlign w:val="center"/>
          </w:tcPr>
          <w:p w14:paraId="4A80210D" w14:textId="21C7CE9F" w:rsidR="00BD136D" w:rsidRPr="00357D2F" w:rsidRDefault="008A1635" w:rsidP="00C31905">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1</w:t>
            </w:r>
          </w:p>
        </w:tc>
        <w:tc>
          <w:tcPr>
            <w:tcW w:w="709" w:type="dxa"/>
            <w:tcBorders>
              <w:right w:val="single" w:sz="18" w:space="0" w:color="auto"/>
            </w:tcBorders>
            <w:shd w:val="clear" w:color="auto" w:fill="FFFFFF" w:themeFill="background1"/>
            <w:vAlign w:val="center"/>
          </w:tcPr>
          <w:p w14:paraId="3080D5C7" w14:textId="094E5D51" w:rsidR="00BD136D" w:rsidRPr="00357D2F" w:rsidRDefault="008A1635" w:rsidP="00C31905">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4</w:t>
            </w:r>
          </w:p>
        </w:tc>
      </w:tr>
      <w:tr w:rsidR="00663319" w:rsidRPr="00357D2F" w14:paraId="712B1BD3" w14:textId="77777777" w:rsidTr="00315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8" w:type="dxa"/>
            <w:shd w:val="clear" w:color="auto" w:fill="FFFFFF" w:themeFill="background1"/>
            <w:vAlign w:val="center"/>
          </w:tcPr>
          <w:p w14:paraId="7C109C2B" w14:textId="77777777" w:rsidR="00BD136D" w:rsidRPr="00357D2F" w:rsidRDefault="00BD136D" w:rsidP="00C31905">
            <w:pPr>
              <w:jc w:val="center"/>
              <w:rPr>
                <w:rFonts w:cs="Times New Roman"/>
                <w:b w:val="0"/>
                <w:sz w:val="22"/>
              </w:rPr>
            </w:pPr>
            <w:r w:rsidRPr="00357D2F">
              <w:rPr>
                <w:rFonts w:cs="Times New Roman"/>
                <w:b w:val="0"/>
                <w:sz w:val="22"/>
              </w:rPr>
              <w:t>Iš viso:</w:t>
            </w:r>
          </w:p>
        </w:tc>
        <w:tc>
          <w:tcPr>
            <w:tcW w:w="990" w:type="dxa"/>
            <w:shd w:val="clear" w:color="auto" w:fill="FFFFFF" w:themeFill="background1"/>
            <w:vAlign w:val="center"/>
          </w:tcPr>
          <w:p w14:paraId="24441AE7" w14:textId="2EFB34A9" w:rsidR="00BD136D" w:rsidRPr="00357D2F" w:rsidRDefault="008A1635" w:rsidP="00C31905">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21</w:t>
            </w:r>
          </w:p>
        </w:tc>
        <w:tc>
          <w:tcPr>
            <w:tcW w:w="863" w:type="dxa"/>
            <w:shd w:val="clear" w:color="auto" w:fill="FFFFFF" w:themeFill="background1"/>
            <w:vAlign w:val="center"/>
          </w:tcPr>
          <w:p w14:paraId="63C8DE5E" w14:textId="762005FE" w:rsidR="00BD136D" w:rsidRPr="00357D2F" w:rsidRDefault="008A1635" w:rsidP="00C31905">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w:t>
            </w:r>
          </w:p>
        </w:tc>
        <w:tc>
          <w:tcPr>
            <w:tcW w:w="897" w:type="dxa"/>
            <w:shd w:val="clear" w:color="auto" w:fill="FFFFFF" w:themeFill="background1"/>
            <w:vAlign w:val="center"/>
          </w:tcPr>
          <w:p w14:paraId="2C079CCF" w14:textId="4592CFDE" w:rsidR="00BD136D" w:rsidRPr="00357D2F" w:rsidRDefault="008A1635" w:rsidP="00C31905">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2</w:t>
            </w:r>
          </w:p>
        </w:tc>
        <w:tc>
          <w:tcPr>
            <w:tcW w:w="880" w:type="dxa"/>
            <w:tcBorders>
              <w:right w:val="single" w:sz="18" w:space="0" w:color="auto"/>
            </w:tcBorders>
            <w:shd w:val="clear" w:color="auto" w:fill="FFFFFF" w:themeFill="background1"/>
            <w:vAlign w:val="center"/>
          </w:tcPr>
          <w:p w14:paraId="3B1770D0" w14:textId="2C3D5563" w:rsidR="00BD136D" w:rsidRPr="00357D2F" w:rsidRDefault="008A1635" w:rsidP="00C31905">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w:t>
            </w:r>
          </w:p>
        </w:tc>
        <w:tc>
          <w:tcPr>
            <w:tcW w:w="633" w:type="dxa"/>
            <w:tcBorders>
              <w:left w:val="single" w:sz="18" w:space="0" w:color="auto"/>
              <w:bottom w:val="single" w:sz="18" w:space="0" w:color="auto"/>
            </w:tcBorders>
            <w:shd w:val="clear" w:color="auto" w:fill="FFFFFF" w:themeFill="background1"/>
            <w:vAlign w:val="center"/>
          </w:tcPr>
          <w:p w14:paraId="0D4FBD92" w14:textId="7AB35354" w:rsidR="00BD136D" w:rsidRPr="00357D2F" w:rsidRDefault="008A1635" w:rsidP="00C31905">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23</w:t>
            </w:r>
          </w:p>
        </w:tc>
        <w:tc>
          <w:tcPr>
            <w:tcW w:w="709" w:type="dxa"/>
            <w:tcBorders>
              <w:bottom w:val="single" w:sz="18" w:space="0" w:color="auto"/>
              <w:right w:val="single" w:sz="18" w:space="0" w:color="auto"/>
            </w:tcBorders>
            <w:shd w:val="clear" w:color="auto" w:fill="FFFFFF" w:themeFill="background1"/>
            <w:vAlign w:val="center"/>
          </w:tcPr>
          <w:p w14:paraId="472853FE" w14:textId="4C90C596" w:rsidR="00BD136D" w:rsidRPr="00357D2F" w:rsidRDefault="008A1635" w:rsidP="00C31905">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1</w:t>
            </w:r>
          </w:p>
        </w:tc>
      </w:tr>
    </w:tbl>
    <w:p w14:paraId="1DD764B7" w14:textId="77777777" w:rsidR="00BD136D" w:rsidRDefault="00BD136D" w:rsidP="00BD136D">
      <w:pPr>
        <w:spacing w:after="0" w:line="360" w:lineRule="auto"/>
        <w:jc w:val="right"/>
        <w:rPr>
          <w:i/>
          <w:color w:val="000000" w:themeColor="text1"/>
          <w:szCs w:val="24"/>
        </w:rPr>
      </w:pPr>
      <w:r w:rsidRPr="00EC0F9E">
        <w:rPr>
          <w:i/>
          <w:color w:val="000000" w:themeColor="text1"/>
          <w:szCs w:val="24"/>
        </w:rPr>
        <w:t>Šaltinis: Valstybinė darbo inspekcija</w:t>
      </w:r>
    </w:p>
    <w:p w14:paraId="3D2BF07D" w14:textId="548D4979" w:rsidR="004E795A" w:rsidRDefault="004E795A" w:rsidP="00E651DF">
      <w:pPr>
        <w:rPr>
          <w:rFonts w:eastAsiaTheme="majorEastAsia" w:cstheme="majorBidi"/>
          <w:b/>
          <w:bCs/>
          <w:caps/>
          <w:color w:val="000000" w:themeColor="text1"/>
          <w:sz w:val="28"/>
          <w:szCs w:val="28"/>
          <w:lang w:val="en-US"/>
        </w:rPr>
      </w:pPr>
      <w:r>
        <w:rPr>
          <w:sz w:val="28"/>
          <w:lang w:val="en-US"/>
        </w:rPr>
        <w:br w:type="page"/>
      </w:r>
    </w:p>
    <w:p w14:paraId="3D2BF07E" w14:textId="452963EB" w:rsidR="0085053E" w:rsidRDefault="0085053E" w:rsidP="00AF59B5">
      <w:pPr>
        <w:pStyle w:val="Antrat1"/>
        <w:spacing w:before="0"/>
        <w:ind w:firstLine="0"/>
        <w:jc w:val="center"/>
        <w:rPr>
          <w:lang w:val="en-US"/>
        </w:rPr>
      </w:pPr>
      <w:bookmarkStart w:id="15" w:name="_Toc26535199"/>
      <w:r>
        <w:rPr>
          <w:lang w:val="en-US"/>
        </w:rPr>
        <w:lastRenderedPageBreak/>
        <w:t>IŠVADOS</w:t>
      </w:r>
      <w:bookmarkEnd w:id="15"/>
    </w:p>
    <w:p w14:paraId="3D2BF07F" w14:textId="77777777" w:rsidR="0085053E" w:rsidRDefault="0085053E" w:rsidP="00AD4B3D">
      <w:pPr>
        <w:spacing w:after="0"/>
        <w:rPr>
          <w:lang w:val="en-US"/>
        </w:rPr>
      </w:pPr>
    </w:p>
    <w:p w14:paraId="3D2BF080" w14:textId="77777777" w:rsidR="007F42F0" w:rsidRPr="00CC35D6" w:rsidRDefault="007F42F0" w:rsidP="007F42F0">
      <w:pPr>
        <w:pStyle w:val="Sraopastraipa"/>
        <w:numPr>
          <w:ilvl w:val="0"/>
          <w:numId w:val="36"/>
        </w:numPr>
        <w:jc w:val="both"/>
      </w:pPr>
      <w:r w:rsidRPr="00CC35D6">
        <w:t xml:space="preserve">29,4 proc. Kauno miesto savivaldybės </w:t>
      </w:r>
      <w:r w:rsidR="0061368F">
        <w:t xml:space="preserve">visuomenės sveikatos stebėsenos </w:t>
      </w:r>
      <w:r w:rsidRPr="00CC35D6">
        <w:t>rodiklių reikšmių pateko į žaliąją zoną, 54,9 proc. į geltonąją, o 15,7 proc. – raudonąją zoną.</w:t>
      </w:r>
    </w:p>
    <w:p w14:paraId="3D2BF081" w14:textId="21AE6981" w:rsidR="007F78A5" w:rsidRPr="00CC35D6" w:rsidRDefault="007F78A5" w:rsidP="00C60693">
      <w:pPr>
        <w:pStyle w:val="Sraopastraipa"/>
        <w:numPr>
          <w:ilvl w:val="0"/>
          <w:numId w:val="36"/>
        </w:numPr>
        <w:jc w:val="both"/>
      </w:pPr>
      <w:r w:rsidRPr="00CC35D6">
        <w:t>Kauno miesto savivaldybėje 201</w:t>
      </w:r>
      <w:r w:rsidR="006225B3">
        <w:t>9</w:t>
      </w:r>
      <w:r w:rsidRPr="00CC35D6">
        <w:t xml:space="preserve"> m. lyginant su 201</w:t>
      </w:r>
      <w:r w:rsidR="006225B3">
        <w:t>8</w:t>
      </w:r>
      <w:r w:rsidRPr="00CC35D6">
        <w:t xml:space="preserve"> m. pagerėjo </w:t>
      </w:r>
      <w:r w:rsidR="006225B3">
        <w:t>67,7</w:t>
      </w:r>
      <w:r w:rsidRPr="00CC35D6">
        <w:t xml:space="preserve"> proc. rodiklių, </w:t>
      </w:r>
      <w:r w:rsidR="006225B3">
        <w:t>1,6</w:t>
      </w:r>
      <w:r w:rsidRPr="00CC35D6">
        <w:t xml:space="preserve"> proc. nepakito, o </w:t>
      </w:r>
      <w:r w:rsidR="00AE4F85">
        <w:t>30,7</w:t>
      </w:r>
      <w:r w:rsidRPr="00CC35D6">
        <w:t xml:space="preserve"> proc. pablogėjo.</w:t>
      </w:r>
    </w:p>
    <w:p w14:paraId="3D2BF082" w14:textId="1FC1539B" w:rsidR="0005319D" w:rsidRPr="00CC35D6" w:rsidRDefault="00342683" w:rsidP="007F42F0">
      <w:pPr>
        <w:pStyle w:val="Sraopastraipa"/>
        <w:numPr>
          <w:ilvl w:val="0"/>
          <w:numId w:val="36"/>
        </w:numPr>
        <w:jc w:val="both"/>
      </w:pPr>
      <w:r w:rsidRPr="00CC35D6">
        <w:t>Kauno miesto</w:t>
      </w:r>
      <w:r w:rsidR="00D21945" w:rsidRPr="00CC35D6">
        <w:t xml:space="preserve"> savivaldybėje 201</w:t>
      </w:r>
      <w:r w:rsidR="00C63B63">
        <w:t>9</w:t>
      </w:r>
      <w:r w:rsidR="00D21945" w:rsidRPr="00CC35D6">
        <w:t xml:space="preserve"> m. </w:t>
      </w:r>
      <w:r w:rsidR="00C63B63">
        <w:t>penktadalis</w:t>
      </w:r>
      <w:r w:rsidR="007F78A5" w:rsidRPr="00CC35D6">
        <w:t xml:space="preserve"> rodiklių </w:t>
      </w:r>
      <w:r w:rsidR="0005319D" w:rsidRPr="00CC35D6">
        <w:t xml:space="preserve">buvo prastesni </w:t>
      </w:r>
      <w:r w:rsidR="007F78A5" w:rsidRPr="00CC35D6">
        <w:t>už Lietuvos vidurkį.</w:t>
      </w:r>
    </w:p>
    <w:p w14:paraId="3D2BF083" w14:textId="2C935338" w:rsidR="007F78A5" w:rsidRPr="00CC35D6" w:rsidRDefault="00C60693" w:rsidP="007F42F0">
      <w:pPr>
        <w:pStyle w:val="Sraopastraipa"/>
        <w:numPr>
          <w:ilvl w:val="0"/>
          <w:numId w:val="36"/>
        </w:numPr>
        <w:jc w:val="both"/>
      </w:pPr>
      <w:r w:rsidRPr="00CC35D6">
        <w:t>Geriausiai Kauno miesto savivaldybėje sekasi įgyvendinti pirmąjį Lietu</w:t>
      </w:r>
      <w:r w:rsidR="0018424C">
        <w:t>vos sveikatos programos tikslą „</w:t>
      </w:r>
      <w:r w:rsidRPr="00CC35D6">
        <w:t>Sukurti saugesnę socialinę aplinką, mažinti sveikatos netolygumus ir socialinę atskirtį</w:t>
      </w:r>
      <w:r w:rsidR="0018424C">
        <w:t>“</w:t>
      </w:r>
      <w:r w:rsidRPr="00CC35D6">
        <w:t xml:space="preserve">. Prasčiausiai sekasi įgyvendinti </w:t>
      </w:r>
      <w:r w:rsidR="00AF69CE">
        <w:t>antrąjį</w:t>
      </w:r>
      <w:r w:rsidR="00CC35D6">
        <w:t xml:space="preserve"> Lietuvos sveikatos programos </w:t>
      </w:r>
      <w:r w:rsidR="0018424C">
        <w:t>tikslą „</w:t>
      </w:r>
      <w:r w:rsidR="00AF69CE" w:rsidRPr="00AF69CE">
        <w:rPr>
          <w:rFonts w:cs="Times New Roman"/>
          <w:szCs w:val="24"/>
        </w:rPr>
        <w:t>sukurti sveikatai palankią fizinę darbo ir gyvenamąją aplinką</w:t>
      </w:r>
      <w:r w:rsidR="0018424C">
        <w:t>“</w:t>
      </w:r>
      <w:r w:rsidR="00CC35D6" w:rsidRPr="00CC35D6">
        <w:t>.</w:t>
      </w:r>
    </w:p>
    <w:p w14:paraId="3D2BF084" w14:textId="77777777" w:rsidR="0085053E" w:rsidRPr="00CA4B50" w:rsidRDefault="0085053E" w:rsidP="007F42F0">
      <w:pPr>
        <w:pStyle w:val="Sraopastraipa"/>
        <w:numPr>
          <w:ilvl w:val="0"/>
          <w:numId w:val="36"/>
        </w:numPr>
        <w:jc w:val="both"/>
        <w:rPr>
          <w:lang w:val="en-US"/>
        </w:rPr>
      </w:pPr>
      <w:r w:rsidRPr="00CA4B50">
        <w:rPr>
          <w:lang w:val="en-US"/>
        </w:rPr>
        <w:br w:type="page"/>
      </w:r>
    </w:p>
    <w:p w14:paraId="3D2BF085" w14:textId="77777777" w:rsidR="002C348D" w:rsidRPr="006A4774" w:rsidRDefault="002C348D" w:rsidP="00A46942">
      <w:pPr>
        <w:pStyle w:val="Antrat1"/>
        <w:spacing w:before="0" w:line="276" w:lineRule="auto"/>
        <w:ind w:firstLine="0"/>
        <w:jc w:val="center"/>
        <w:rPr>
          <w:sz w:val="28"/>
          <w:lang w:val="en-US"/>
        </w:rPr>
      </w:pPr>
      <w:bookmarkStart w:id="16" w:name="_Toc26535200"/>
      <w:r w:rsidRPr="0085053E">
        <w:rPr>
          <w:lang w:val="en-US"/>
        </w:rPr>
        <w:lastRenderedPageBreak/>
        <w:t>REKOMENDACIJOS</w:t>
      </w:r>
      <w:bookmarkEnd w:id="16"/>
    </w:p>
    <w:p w14:paraId="3D2BF086" w14:textId="77777777" w:rsidR="00F61EB5" w:rsidRDefault="00F61EB5" w:rsidP="00A46942">
      <w:pPr>
        <w:spacing w:after="0"/>
        <w:rPr>
          <w:lang w:val="en-US"/>
        </w:rPr>
      </w:pPr>
    </w:p>
    <w:p w14:paraId="3D2BF087" w14:textId="77777777" w:rsidR="004A2E1F" w:rsidRDefault="004A2E1F" w:rsidP="00A46942">
      <w:pPr>
        <w:spacing w:after="0"/>
        <w:jc w:val="both"/>
        <w:rPr>
          <w:b/>
        </w:rPr>
      </w:pPr>
      <w:r w:rsidRPr="00000506">
        <w:rPr>
          <w:b/>
        </w:rPr>
        <w:t>Kauno mie</w:t>
      </w:r>
      <w:r>
        <w:rPr>
          <w:b/>
        </w:rPr>
        <w:t>sto savivaldybės administracijai</w:t>
      </w:r>
      <w:r w:rsidR="00D91DA5">
        <w:rPr>
          <w:b/>
        </w:rPr>
        <w:t xml:space="preserve"> dėl</w:t>
      </w:r>
      <w:r w:rsidRPr="00000506">
        <w:rPr>
          <w:b/>
        </w:rPr>
        <w:t>:</w:t>
      </w:r>
    </w:p>
    <w:p w14:paraId="3D2BF088" w14:textId="77777777" w:rsidR="004D60B6" w:rsidRDefault="004D60B6" w:rsidP="004D60B6">
      <w:pPr>
        <w:pStyle w:val="Sraopastraipa"/>
        <w:numPr>
          <w:ilvl w:val="0"/>
          <w:numId w:val="31"/>
        </w:numPr>
        <w:jc w:val="both"/>
        <w:rPr>
          <w:szCs w:val="24"/>
        </w:rPr>
      </w:pPr>
      <w:r w:rsidRPr="004D60B6">
        <w:rPr>
          <w:szCs w:val="24"/>
        </w:rPr>
        <w:t>Susižalojimo dėl nukritimo atvejų skaičius (W00-W19) 65+ m. amžiaus grupėje 10 000 gyv.</w:t>
      </w:r>
    </w:p>
    <w:p w14:paraId="3D2BF089" w14:textId="7CAEE560" w:rsidR="004D60B6" w:rsidRDefault="004D60B6" w:rsidP="004D60B6">
      <w:pPr>
        <w:pStyle w:val="Sraopastraipa"/>
        <w:numPr>
          <w:ilvl w:val="0"/>
          <w:numId w:val="32"/>
        </w:numPr>
        <w:jc w:val="both"/>
        <w:rPr>
          <w:szCs w:val="24"/>
        </w:rPr>
      </w:pPr>
      <w:r>
        <w:rPr>
          <w:szCs w:val="24"/>
        </w:rPr>
        <w:t>Skatinti vyresnio amžiaus gyventojus įsitraukti į fizinio aktyvumo veiklas</w:t>
      </w:r>
      <w:r w:rsidR="00C775C9">
        <w:rPr>
          <w:szCs w:val="24"/>
        </w:rPr>
        <w:t>,</w:t>
      </w:r>
      <w:r>
        <w:rPr>
          <w:szCs w:val="24"/>
        </w:rPr>
        <w:t xml:space="preserve"> siekiant pagerinti</w:t>
      </w:r>
      <w:r w:rsidR="0061368F">
        <w:rPr>
          <w:szCs w:val="24"/>
        </w:rPr>
        <w:t xml:space="preserve"> jų koordinaciją ir pusiausvyrą;</w:t>
      </w:r>
    </w:p>
    <w:p w14:paraId="3D2BF08A" w14:textId="77777777" w:rsidR="0061368F" w:rsidRPr="004D60B6" w:rsidRDefault="0061368F" w:rsidP="004D60B6">
      <w:pPr>
        <w:pStyle w:val="Sraopastraipa"/>
        <w:numPr>
          <w:ilvl w:val="0"/>
          <w:numId w:val="32"/>
        </w:numPr>
        <w:jc w:val="both"/>
        <w:rPr>
          <w:szCs w:val="24"/>
        </w:rPr>
      </w:pPr>
      <w:r>
        <w:rPr>
          <w:szCs w:val="24"/>
        </w:rPr>
        <w:t>Gerinti viešųjų erdvių, pėsčiųjų takų priežiūrą šaltuoju laikotarpiu (valyti, barstyti šaligatvius ir kitas viešąsias erdves).</w:t>
      </w:r>
    </w:p>
    <w:p w14:paraId="28DEB39D" w14:textId="5CA27FD8" w:rsidR="00D17D05" w:rsidRPr="006F12A4" w:rsidRDefault="00757AED" w:rsidP="004D60B6">
      <w:pPr>
        <w:pStyle w:val="Sraopastraipa"/>
        <w:numPr>
          <w:ilvl w:val="0"/>
          <w:numId w:val="31"/>
        </w:numPr>
        <w:jc w:val="both"/>
        <w:rPr>
          <w:szCs w:val="24"/>
        </w:rPr>
      </w:pPr>
      <w:r w:rsidRPr="006F12A4">
        <w:rPr>
          <w:szCs w:val="24"/>
        </w:rPr>
        <w:t>Asmenų</w:t>
      </w:r>
      <w:r w:rsidR="00C775C9">
        <w:rPr>
          <w:szCs w:val="24"/>
        </w:rPr>
        <w:t>,</w:t>
      </w:r>
      <w:r w:rsidRPr="006F12A4">
        <w:rPr>
          <w:szCs w:val="24"/>
        </w:rPr>
        <w:t xml:space="preserve"> žuvusių ar sunkiai sužalotų dėl nelaimingų atsitikimų darbe, skaičius 10 000 darbingo amžiaus gyv.</w:t>
      </w:r>
    </w:p>
    <w:p w14:paraId="2C97C833" w14:textId="4EE198B5" w:rsidR="00757AED" w:rsidRDefault="00F03E51" w:rsidP="00757AED">
      <w:pPr>
        <w:pStyle w:val="Sraopastraipa"/>
        <w:numPr>
          <w:ilvl w:val="0"/>
          <w:numId w:val="38"/>
        </w:numPr>
        <w:jc w:val="both"/>
        <w:rPr>
          <w:szCs w:val="24"/>
        </w:rPr>
      </w:pPr>
      <w:r>
        <w:rPr>
          <w:szCs w:val="24"/>
        </w:rPr>
        <w:t xml:space="preserve">Rekomenduoti </w:t>
      </w:r>
      <w:r w:rsidR="007E5713">
        <w:rPr>
          <w:szCs w:val="24"/>
        </w:rPr>
        <w:t>V</w:t>
      </w:r>
      <w:r w:rsidR="009D62D3">
        <w:rPr>
          <w:szCs w:val="24"/>
        </w:rPr>
        <w:t xml:space="preserve">alstybinei darbo inspekcijai didinti atliekamų darbų saugos patikrinimų skaičių Kauno miesto </w:t>
      </w:r>
      <w:r w:rsidR="00DF31A9">
        <w:rPr>
          <w:szCs w:val="24"/>
        </w:rPr>
        <w:t>savivaldybės ūkio subjektuose</w:t>
      </w:r>
      <w:r w:rsidR="00D72F9B">
        <w:rPr>
          <w:szCs w:val="24"/>
        </w:rPr>
        <w:t>;</w:t>
      </w:r>
    </w:p>
    <w:p w14:paraId="2AF4D1B4" w14:textId="276CA297" w:rsidR="00DF31A9" w:rsidRPr="00757AED" w:rsidRDefault="00835A7F" w:rsidP="00757AED">
      <w:pPr>
        <w:pStyle w:val="Sraopastraipa"/>
        <w:numPr>
          <w:ilvl w:val="0"/>
          <w:numId w:val="38"/>
        </w:numPr>
        <w:jc w:val="both"/>
        <w:rPr>
          <w:szCs w:val="24"/>
        </w:rPr>
      </w:pPr>
      <w:r>
        <w:rPr>
          <w:szCs w:val="24"/>
        </w:rPr>
        <w:t xml:space="preserve">Didinti darbuotojų informuotumą </w:t>
      </w:r>
      <w:r w:rsidR="00AA2DEB">
        <w:rPr>
          <w:szCs w:val="24"/>
        </w:rPr>
        <w:t xml:space="preserve">apie </w:t>
      </w:r>
      <w:r w:rsidR="00E96A8D">
        <w:rPr>
          <w:rFonts w:cs="Times New Roman"/>
          <w:szCs w:val="24"/>
        </w:rPr>
        <w:t>s</w:t>
      </w:r>
      <w:r w:rsidR="00AA2DEB" w:rsidRPr="00F10858">
        <w:rPr>
          <w:rFonts w:cs="Times New Roman"/>
          <w:szCs w:val="24"/>
        </w:rPr>
        <w:t>augos ir sveikatos normini</w:t>
      </w:r>
      <w:r w:rsidR="00E96A8D">
        <w:rPr>
          <w:rFonts w:cs="Times New Roman"/>
          <w:szCs w:val="24"/>
        </w:rPr>
        <w:t>ų</w:t>
      </w:r>
      <w:r w:rsidR="00AA2DEB" w:rsidRPr="00F10858">
        <w:rPr>
          <w:rFonts w:cs="Times New Roman"/>
          <w:szCs w:val="24"/>
        </w:rPr>
        <w:t xml:space="preserve"> teisės akt</w:t>
      </w:r>
      <w:r w:rsidR="00E96A8D">
        <w:rPr>
          <w:rFonts w:cs="Times New Roman"/>
          <w:szCs w:val="24"/>
        </w:rPr>
        <w:t>ų</w:t>
      </w:r>
      <w:r w:rsidR="00AA2DEB" w:rsidRPr="00F10858">
        <w:rPr>
          <w:rFonts w:cs="Times New Roman"/>
          <w:szCs w:val="24"/>
        </w:rPr>
        <w:t xml:space="preserve"> (darbuotojams</w:t>
      </w:r>
      <w:r w:rsidR="00AA2DEB">
        <w:rPr>
          <w:rFonts w:cs="Times New Roman"/>
          <w:szCs w:val="24"/>
        </w:rPr>
        <w:t xml:space="preserve"> </w:t>
      </w:r>
      <w:r w:rsidR="00AA2DEB" w:rsidRPr="00F10858">
        <w:rPr>
          <w:rFonts w:cs="Times New Roman"/>
          <w:szCs w:val="24"/>
        </w:rPr>
        <w:t>privalomų vykdyti instrukcijų, taisyklių) reikalavim</w:t>
      </w:r>
      <w:r w:rsidR="00AA2DEB">
        <w:rPr>
          <w:rFonts w:cs="Times New Roman"/>
          <w:szCs w:val="24"/>
        </w:rPr>
        <w:t>us.</w:t>
      </w:r>
    </w:p>
    <w:p w14:paraId="3D2BF08B" w14:textId="6819B009" w:rsidR="004D60B6" w:rsidRPr="006D3AE7" w:rsidRDefault="004D60B6" w:rsidP="004D60B6">
      <w:pPr>
        <w:pStyle w:val="Sraopastraipa"/>
        <w:numPr>
          <w:ilvl w:val="0"/>
          <w:numId w:val="31"/>
        </w:numPr>
        <w:jc w:val="both"/>
        <w:rPr>
          <w:szCs w:val="24"/>
        </w:rPr>
      </w:pPr>
      <w:r w:rsidRPr="006D3AE7">
        <w:rPr>
          <w:szCs w:val="24"/>
        </w:rPr>
        <w:t>Į atmosferą iš stacionarių taršos šaltinių išmestų teršalų k</w:t>
      </w:r>
      <w:r w:rsidR="00583F48">
        <w:rPr>
          <w:szCs w:val="24"/>
        </w:rPr>
        <w:t>iekis, tenkantis 1 kvadratiniam</w:t>
      </w:r>
      <w:r w:rsidRPr="006D3AE7">
        <w:rPr>
          <w:szCs w:val="24"/>
        </w:rPr>
        <w:t xml:space="preserve"> kilometrui</w:t>
      </w:r>
    </w:p>
    <w:p w14:paraId="3D2BF08C" w14:textId="77777777" w:rsidR="005A591D" w:rsidRPr="006D3AE7" w:rsidRDefault="004B0515" w:rsidP="005A591D">
      <w:pPr>
        <w:pStyle w:val="Sraopastraipa"/>
        <w:numPr>
          <w:ilvl w:val="0"/>
          <w:numId w:val="32"/>
        </w:numPr>
        <w:jc w:val="both"/>
        <w:rPr>
          <w:szCs w:val="24"/>
        </w:rPr>
      </w:pPr>
      <w:r>
        <w:rPr>
          <w:szCs w:val="24"/>
        </w:rPr>
        <w:t xml:space="preserve">Kreiptis į atsakingas institucijas dėl </w:t>
      </w:r>
      <w:r w:rsidR="006D3AE7" w:rsidRPr="006D3AE7">
        <w:rPr>
          <w:szCs w:val="24"/>
        </w:rPr>
        <w:t>stacionarių taršos šaltinių objektų patikrin</w:t>
      </w:r>
      <w:r>
        <w:rPr>
          <w:szCs w:val="24"/>
        </w:rPr>
        <w:t>imų apimties didinimo</w:t>
      </w:r>
      <w:r w:rsidR="006D3AE7">
        <w:rPr>
          <w:szCs w:val="24"/>
        </w:rPr>
        <w:t>, siekiant nustatyti neatitikimus teisės aktams bei pateikti rekomendacijas ir numatyti laikotarpį</w:t>
      </w:r>
      <w:r w:rsidR="00583F48">
        <w:rPr>
          <w:szCs w:val="24"/>
        </w:rPr>
        <w:t>,</w:t>
      </w:r>
      <w:r w:rsidR="006D3AE7">
        <w:rPr>
          <w:szCs w:val="24"/>
        </w:rPr>
        <w:t xml:space="preserve"> per kurį neatitikimai turi būti pašalinti.</w:t>
      </w:r>
    </w:p>
    <w:p w14:paraId="3D2BF08D" w14:textId="1E1D60DD" w:rsidR="004D60B6" w:rsidRDefault="004D60B6" w:rsidP="004D60B6">
      <w:pPr>
        <w:pStyle w:val="Sraopastraipa"/>
        <w:numPr>
          <w:ilvl w:val="0"/>
          <w:numId w:val="31"/>
        </w:numPr>
        <w:jc w:val="both"/>
        <w:rPr>
          <w:szCs w:val="24"/>
        </w:rPr>
      </w:pPr>
      <w:r w:rsidRPr="004D60B6">
        <w:rPr>
          <w:szCs w:val="24"/>
        </w:rPr>
        <w:t>Gyventojų skaičius, tenkantis vienai licencijai verstis mažmenine prekyba alkoholiniais gėrimais</w:t>
      </w:r>
    </w:p>
    <w:p w14:paraId="3D2BF08E" w14:textId="77777777" w:rsidR="004D60B6" w:rsidRPr="004D60B6" w:rsidRDefault="004D60B6" w:rsidP="004D60B6">
      <w:pPr>
        <w:pStyle w:val="Sraopastraipa"/>
        <w:numPr>
          <w:ilvl w:val="0"/>
          <w:numId w:val="32"/>
        </w:numPr>
        <w:spacing w:after="0"/>
        <w:jc w:val="both"/>
        <w:rPr>
          <w:b/>
        </w:rPr>
      </w:pPr>
      <w:r>
        <w:t>Periodiškai peržiūrėti išduotų licencijų sąrašus ir įvertinus pagal Valstybės įmonės Registrų centro Juridinių asmenų registrą, kai įmonė likviduota ir išregistruota iš juridinių asmenų registro, panaikinti alkoholinių gėrimų licencijų galiojimą pagal Alkoholio kontrolės įstatymo nuostatas.</w:t>
      </w:r>
    </w:p>
    <w:p w14:paraId="3D2BF08F" w14:textId="77777777" w:rsidR="004D60B6" w:rsidRDefault="004D60B6" w:rsidP="004D60B6">
      <w:pPr>
        <w:pStyle w:val="Sraopastraipa"/>
        <w:numPr>
          <w:ilvl w:val="0"/>
          <w:numId w:val="31"/>
        </w:numPr>
        <w:jc w:val="both"/>
        <w:rPr>
          <w:szCs w:val="24"/>
        </w:rPr>
      </w:pPr>
      <w:r w:rsidRPr="004D60B6">
        <w:rPr>
          <w:szCs w:val="24"/>
        </w:rPr>
        <w:t>Slaugytojų, tenkančių vienam gydytojui, skaičius</w:t>
      </w:r>
    </w:p>
    <w:p w14:paraId="3D2BF090" w14:textId="77777777" w:rsidR="004D60B6" w:rsidRPr="004D60B6" w:rsidRDefault="00FD145E" w:rsidP="004D60B6">
      <w:pPr>
        <w:pStyle w:val="Sraopastraipa"/>
        <w:numPr>
          <w:ilvl w:val="0"/>
          <w:numId w:val="32"/>
        </w:numPr>
        <w:jc w:val="both"/>
      </w:pPr>
      <w:r>
        <w:t>Steigti papildomas, gerai apmokamas darbo vietas, siekiant d</w:t>
      </w:r>
      <w:r w:rsidR="004D60B6">
        <w:t xml:space="preserve">idinti galimybę slaugytojoms </w:t>
      </w:r>
      <w:r>
        <w:t>įsidarbinti ASPĮ.</w:t>
      </w:r>
    </w:p>
    <w:p w14:paraId="3D2BF091" w14:textId="77777777" w:rsidR="00983EEA" w:rsidRDefault="00983EEA" w:rsidP="00A46942">
      <w:pPr>
        <w:spacing w:after="0"/>
        <w:jc w:val="both"/>
      </w:pPr>
      <w:r w:rsidRPr="00000506">
        <w:rPr>
          <w:b/>
        </w:rPr>
        <w:t>Sveikatos priežiūros įstaigoms dėl:</w:t>
      </w:r>
      <w:r w:rsidRPr="00000506">
        <w:t xml:space="preserve"> </w:t>
      </w:r>
    </w:p>
    <w:p w14:paraId="3D2BF092" w14:textId="77777777" w:rsidR="00E06700" w:rsidRDefault="00E06700" w:rsidP="00E06700">
      <w:pPr>
        <w:pStyle w:val="Sraopastraipa"/>
        <w:numPr>
          <w:ilvl w:val="0"/>
          <w:numId w:val="35"/>
        </w:numPr>
        <w:jc w:val="both"/>
        <w:rPr>
          <w:szCs w:val="24"/>
        </w:rPr>
      </w:pPr>
      <w:r w:rsidRPr="004D60B6">
        <w:rPr>
          <w:szCs w:val="24"/>
        </w:rPr>
        <w:t>Sergamumas žarnyno infekcinėmis ligomis (A00-A08) 10 000 gyv.</w:t>
      </w:r>
    </w:p>
    <w:p w14:paraId="3D2BF093" w14:textId="77777777" w:rsidR="00E06700" w:rsidRDefault="00E06700" w:rsidP="00E06700">
      <w:pPr>
        <w:pStyle w:val="Sraopastraipa"/>
        <w:numPr>
          <w:ilvl w:val="0"/>
          <w:numId w:val="32"/>
        </w:numPr>
        <w:jc w:val="both"/>
        <w:rPr>
          <w:szCs w:val="24"/>
        </w:rPr>
      </w:pPr>
      <w:r>
        <w:rPr>
          <w:szCs w:val="24"/>
        </w:rPr>
        <w:t>Didinti gyventojų informuotumą apie žarnyno infekcines ligas, jų plitimo bei išvengimo būdus.</w:t>
      </w:r>
    </w:p>
    <w:p w14:paraId="3D2BF094" w14:textId="77777777" w:rsidR="00E06700" w:rsidRDefault="00E06700" w:rsidP="00E06700">
      <w:pPr>
        <w:pStyle w:val="Sraopastraipa"/>
        <w:numPr>
          <w:ilvl w:val="0"/>
          <w:numId w:val="35"/>
        </w:numPr>
        <w:jc w:val="both"/>
        <w:rPr>
          <w:szCs w:val="24"/>
        </w:rPr>
      </w:pPr>
      <w:r w:rsidRPr="004D60B6">
        <w:rPr>
          <w:szCs w:val="24"/>
        </w:rPr>
        <w:t>Sergamumas ŽIV ir lytiškai plintančiomis ligomis (B20-B22, B23 (B23.0-B23.2, B23.8), B24, Z21, A50 (A50.0-A50.7, A50.9), A51-A53, A54 (A54.0-A54.6, A54.8-A54.9), A56 (A56.0-A56.4, A56.8)) 10 000 gyv.</w:t>
      </w:r>
    </w:p>
    <w:p w14:paraId="3D2BF095" w14:textId="77777777" w:rsidR="00E06700" w:rsidRDefault="00E06700" w:rsidP="00E06700">
      <w:pPr>
        <w:pStyle w:val="Sraopastraipa"/>
        <w:numPr>
          <w:ilvl w:val="0"/>
          <w:numId w:val="32"/>
        </w:numPr>
        <w:jc w:val="both"/>
        <w:rPr>
          <w:szCs w:val="24"/>
        </w:rPr>
      </w:pPr>
      <w:r>
        <w:rPr>
          <w:szCs w:val="24"/>
        </w:rPr>
        <w:t>Didinti gyventojų informuotumą apie ŽIV ir lytiškai plintančias ligas, jų plitimo bei išvengimo būdus;</w:t>
      </w:r>
    </w:p>
    <w:p w14:paraId="3D2BF096" w14:textId="77777777" w:rsidR="00E06700" w:rsidRPr="001B4AB5" w:rsidRDefault="00E06700" w:rsidP="00E06700">
      <w:pPr>
        <w:pStyle w:val="Sraopastraipa"/>
        <w:numPr>
          <w:ilvl w:val="0"/>
          <w:numId w:val="32"/>
        </w:numPr>
        <w:jc w:val="both"/>
        <w:rPr>
          <w:szCs w:val="24"/>
        </w:rPr>
      </w:pPr>
      <w:r>
        <w:rPr>
          <w:szCs w:val="24"/>
        </w:rPr>
        <w:t>Užtikrinti ankstyvos, anonimiškos diagnostikos prieinamumą.</w:t>
      </w:r>
    </w:p>
    <w:p w14:paraId="3D2BF09A" w14:textId="77777777" w:rsidR="00E06700" w:rsidRDefault="00E06700" w:rsidP="00E06700">
      <w:pPr>
        <w:pStyle w:val="Sraopastraipa"/>
        <w:numPr>
          <w:ilvl w:val="0"/>
          <w:numId w:val="35"/>
        </w:numPr>
        <w:jc w:val="both"/>
        <w:rPr>
          <w:szCs w:val="24"/>
        </w:rPr>
      </w:pPr>
      <w:r w:rsidRPr="004D60B6">
        <w:rPr>
          <w:szCs w:val="24"/>
        </w:rPr>
        <w:t>Sergamumas II tipo cukriniu diabetu (E11) 10 000 gyv.</w:t>
      </w:r>
    </w:p>
    <w:p w14:paraId="3D2BF09B" w14:textId="77777777" w:rsidR="00E06700" w:rsidRDefault="00E06700" w:rsidP="00E06700">
      <w:pPr>
        <w:pStyle w:val="Sraopastraipa"/>
        <w:numPr>
          <w:ilvl w:val="0"/>
          <w:numId w:val="34"/>
        </w:numPr>
        <w:jc w:val="both"/>
        <w:rPr>
          <w:szCs w:val="24"/>
        </w:rPr>
      </w:pPr>
      <w:r>
        <w:rPr>
          <w:szCs w:val="24"/>
        </w:rPr>
        <w:t>Didinti rizikos grupių asmenų informuotumą apie įvairių tipų cukrinio diabeto rizikos veiksnius, galimas komplikacijas, ligos išvengimo būdus;</w:t>
      </w:r>
    </w:p>
    <w:p w14:paraId="3D2BF09C" w14:textId="2D9A00E6" w:rsidR="00FF42D6" w:rsidRPr="00FF42D6" w:rsidRDefault="00E06700" w:rsidP="00FF42D6">
      <w:pPr>
        <w:pStyle w:val="Sraopastraipa"/>
        <w:numPr>
          <w:ilvl w:val="0"/>
          <w:numId w:val="34"/>
        </w:numPr>
        <w:jc w:val="both"/>
        <w:rPr>
          <w:szCs w:val="24"/>
        </w:rPr>
      </w:pPr>
      <w:r>
        <w:rPr>
          <w:szCs w:val="24"/>
        </w:rPr>
        <w:t xml:space="preserve">Skatinti šeimos gydytojus kviesti savo pacientus į </w:t>
      </w:r>
      <w:r w:rsidR="001538B7">
        <w:rPr>
          <w:szCs w:val="24"/>
        </w:rPr>
        <w:t>programą</w:t>
      </w:r>
      <w:r w:rsidR="00CF3D1D">
        <w:rPr>
          <w:szCs w:val="24"/>
        </w:rPr>
        <w:t>,</w:t>
      </w:r>
      <w:r w:rsidR="001538B7">
        <w:rPr>
          <w:szCs w:val="24"/>
        </w:rPr>
        <w:t xml:space="preserve"> </w:t>
      </w:r>
      <w:r w:rsidR="001661B8">
        <w:rPr>
          <w:szCs w:val="24"/>
        </w:rPr>
        <w:t>skirt</w:t>
      </w:r>
      <w:r w:rsidR="00CF3D1D">
        <w:rPr>
          <w:szCs w:val="24"/>
        </w:rPr>
        <w:t>ą</w:t>
      </w:r>
      <w:r w:rsidR="001661B8">
        <w:rPr>
          <w:szCs w:val="24"/>
        </w:rPr>
        <w:t xml:space="preserve"> širdies ir kraujagyslių ligų bei cukrinio diabeto prevencijai</w:t>
      </w:r>
      <w:r w:rsidR="00583F48">
        <w:rPr>
          <w:szCs w:val="24"/>
        </w:rPr>
        <w:t>.</w:t>
      </w:r>
    </w:p>
    <w:p w14:paraId="3D2BF09D" w14:textId="77777777" w:rsidR="00E06700" w:rsidRPr="00E06700" w:rsidRDefault="00FF42D6" w:rsidP="00FF42D6">
      <w:pPr>
        <w:ind w:left="2160"/>
        <w:jc w:val="both"/>
        <w:rPr>
          <w:szCs w:val="24"/>
        </w:rPr>
      </w:pPr>
      <w:r>
        <w:rPr>
          <w:szCs w:val="24"/>
        </w:rPr>
        <w:t>_____________________________________________</w:t>
      </w:r>
    </w:p>
    <w:p w14:paraId="3D2BF09E" w14:textId="77777777" w:rsidR="00E06700" w:rsidRDefault="00E06700" w:rsidP="00A46942">
      <w:pPr>
        <w:spacing w:after="0"/>
        <w:jc w:val="both"/>
      </w:pPr>
    </w:p>
    <w:sectPr w:rsidR="00E06700" w:rsidSect="003154E3">
      <w:pgSz w:w="11907" w:h="16839" w:code="9"/>
      <w:pgMar w:top="1134" w:right="567"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65D69" w14:textId="77777777" w:rsidR="00B11E22" w:rsidRDefault="00B11E22" w:rsidP="00934CBB">
      <w:pPr>
        <w:spacing w:after="0" w:line="240" w:lineRule="auto"/>
      </w:pPr>
      <w:r>
        <w:separator/>
      </w:r>
    </w:p>
  </w:endnote>
  <w:endnote w:type="continuationSeparator" w:id="0">
    <w:p w14:paraId="5A5DB60B" w14:textId="77777777" w:rsidR="00B11E22" w:rsidRDefault="00B11E22" w:rsidP="0093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257488"/>
      <w:docPartObj>
        <w:docPartGallery w:val="Page Numbers (Bottom of Page)"/>
        <w:docPartUnique/>
      </w:docPartObj>
    </w:sdtPr>
    <w:sdtEndPr>
      <w:rPr>
        <w:noProof/>
      </w:rPr>
    </w:sdtEndPr>
    <w:sdtContent>
      <w:p w14:paraId="2B7152E4" w14:textId="75EE909E" w:rsidR="00644ADE" w:rsidRDefault="00644ADE">
        <w:pPr>
          <w:pStyle w:val="Porat"/>
          <w:jc w:val="right"/>
        </w:pPr>
        <w:r>
          <w:fldChar w:fldCharType="begin"/>
        </w:r>
        <w:r>
          <w:instrText xml:space="preserve"> PAGE   \* MERGEFORMAT </w:instrText>
        </w:r>
        <w:r>
          <w:fldChar w:fldCharType="separate"/>
        </w:r>
        <w:r w:rsidR="005D4850">
          <w:rPr>
            <w:noProof/>
          </w:rPr>
          <w:t>19</w:t>
        </w:r>
        <w:r>
          <w:rPr>
            <w:noProof/>
          </w:rPr>
          <w:fldChar w:fldCharType="end"/>
        </w:r>
      </w:p>
    </w:sdtContent>
  </w:sdt>
  <w:p w14:paraId="3D2BF0BC" w14:textId="77777777" w:rsidR="00015666" w:rsidRDefault="00015666">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0EFD1" w14:textId="4DB9D93D" w:rsidR="002068FD" w:rsidRDefault="002068FD">
    <w:pPr>
      <w:pStyle w:val="Porat"/>
      <w:jc w:val="right"/>
    </w:pPr>
  </w:p>
  <w:p w14:paraId="3D2BF0BE" w14:textId="77777777" w:rsidR="00015666" w:rsidRDefault="0001566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05C04" w14:textId="77777777" w:rsidR="00B11E22" w:rsidRDefault="00B11E22" w:rsidP="00934CBB">
      <w:pPr>
        <w:spacing w:after="0" w:line="240" w:lineRule="auto"/>
      </w:pPr>
      <w:r>
        <w:separator/>
      </w:r>
    </w:p>
  </w:footnote>
  <w:footnote w:type="continuationSeparator" w:id="0">
    <w:p w14:paraId="16189DD2" w14:textId="77777777" w:rsidR="00B11E22" w:rsidRDefault="00B11E22" w:rsidP="00934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F7C"/>
    <w:multiLevelType w:val="hybridMultilevel"/>
    <w:tmpl w:val="08727894"/>
    <w:lvl w:ilvl="0" w:tplc="04270001">
      <w:start w:val="1"/>
      <w:numFmt w:val="bullet"/>
      <w:lvlText w:val=""/>
      <w:lvlJc w:val="left"/>
      <w:pPr>
        <w:ind w:left="690" w:hanging="360"/>
      </w:pPr>
      <w:rPr>
        <w:rFonts w:ascii="Symbol" w:hAnsi="Symbol" w:hint="default"/>
      </w:rPr>
    </w:lvl>
    <w:lvl w:ilvl="1" w:tplc="04270003" w:tentative="1">
      <w:start w:val="1"/>
      <w:numFmt w:val="bullet"/>
      <w:lvlText w:val="o"/>
      <w:lvlJc w:val="left"/>
      <w:pPr>
        <w:ind w:left="1410" w:hanging="360"/>
      </w:pPr>
      <w:rPr>
        <w:rFonts w:ascii="Courier New" w:hAnsi="Courier New" w:cs="Courier New" w:hint="default"/>
      </w:rPr>
    </w:lvl>
    <w:lvl w:ilvl="2" w:tplc="04270005" w:tentative="1">
      <w:start w:val="1"/>
      <w:numFmt w:val="bullet"/>
      <w:lvlText w:val=""/>
      <w:lvlJc w:val="left"/>
      <w:pPr>
        <w:ind w:left="2130" w:hanging="360"/>
      </w:pPr>
      <w:rPr>
        <w:rFonts w:ascii="Wingdings" w:hAnsi="Wingdings" w:hint="default"/>
      </w:rPr>
    </w:lvl>
    <w:lvl w:ilvl="3" w:tplc="04270001" w:tentative="1">
      <w:start w:val="1"/>
      <w:numFmt w:val="bullet"/>
      <w:lvlText w:val=""/>
      <w:lvlJc w:val="left"/>
      <w:pPr>
        <w:ind w:left="2850" w:hanging="360"/>
      </w:pPr>
      <w:rPr>
        <w:rFonts w:ascii="Symbol" w:hAnsi="Symbol" w:hint="default"/>
      </w:rPr>
    </w:lvl>
    <w:lvl w:ilvl="4" w:tplc="04270003" w:tentative="1">
      <w:start w:val="1"/>
      <w:numFmt w:val="bullet"/>
      <w:lvlText w:val="o"/>
      <w:lvlJc w:val="left"/>
      <w:pPr>
        <w:ind w:left="3570" w:hanging="360"/>
      </w:pPr>
      <w:rPr>
        <w:rFonts w:ascii="Courier New" w:hAnsi="Courier New" w:cs="Courier New" w:hint="default"/>
      </w:rPr>
    </w:lvl>
    <w:lvl w:ilvl="5" w:tplc="04270005" w:tentative="1">
      <w:start w:val="1"/>
      <w:numFmt w:val="bullet"/>
      <w:lvlText w:val=""/>
      <w:lvlJc w:val="left"/>
      <w:pPr>
        <w:ind w:left="4290" w:hanging="360"/>
      </w:pPr>
      <w:rPr>
        <w:rFonts w:ascii="Wingdings" w:hAnsi="Wingdings" w:hint="default"/>
      </w:rPr>
    </w:lvl>
    <w:lvl w:ilvl="6" w:tplc="04270001" w:tentative="1">
      <w:start w:val="1"/>
      <w:numFmt w:val="bullet"/>
      <w:lvlText w:val=""/>
      <w:lvlJc w:val="left"/>
      <w:pPr>
        <w:ind w:left="5010" w:hanging="360"/>
      </w:pPr>
      <w:rPr>
        <w:rFonts w:ascii="Symbol" w:hAnsi="Symbol" w:hint="default"/>
      </w:rPr>
    </w:lvl>
    <w:lvl w:ilvl="7" w:tplc="04270003" w:tentative="1">
      <w:start w:val="1"/>
      <w:numFmt w:val="bullet"/>
      <w:lvlText w:val="o"/>
      <w:lvlJc w:val="left"/>
      <w:pPr>
        <w:ind w:left="5730" w:hanging="360"/>
      </w:pPr>
      <w:rPr>
        <w:rFonts w:ascii="Courier New" w:hAnsi="Courier New" w:cs="Courier New" w:hint="default"/>
      </w:rPr>
    </w:lvl>
    <w:lvl w:ilvl="8" w:tplc="04270005" w:tentative="1">
      <w:start w:val="1"/>
      <w:numFmt w:val="bullet"/>
      <w:lvlText w:val=""/>
      <w:lvlJc w:val="left"/>
      <w:pPr>
        <w:ind w:left="6450" w:hanging="360"/>
      </w:pPr>
      <w:rPr>
        <w:rFonts w:ascii="Wingdings" w:hAnsi="Wingdings" w:hint="default"/>
      </w:rPr>
    </w:lvl>
  </w:abstractNum>
  <w:abstractNum w:abstractNumId="1" w15:restartNumberingAfterBreak="0">
    <w:nsid w:val="11AF0772"/>
    <w:multiLevelType w:val="hybridMultilevel"/>
    <w:tmpl w:val="7CE285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6102485"/>
    <w:multiLevelType w:val="multilevel"/>
    <w:tmpl w:val="6BEEF308"/>
    <w:lvl w:ilvl="0">
      <w:start w:val="1"/>
      <w:numFmt w:val="decimal"/>
      <w:lvlText w:val="%1."/>
      <w:lvlJc w:val="left"/>
      <w:pPr>
        <w:ind w:left="1152" w:hanging="360"/>
      </w:p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3" w15:restartNumberingAfterBreak="0">
    <w:nsid w:val="17DF7E31"/>
    <w:multiLevelType w:val="hybridMultilevel"/>
    <w:tmpl w:val="7CD20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66F5B"/>
    <w:multiLevelType w:val="hybridMultilevel"/>
    <w:tmpl w:val="629A4C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D464E64"/>
    <w:multiLevelType w:val="hybridMultilevel"/>
    <w:tmpl w:val="4626B056"/>
    <w:lvl w:ilvl="0" w:tplc="04090001">
      <w:start w:val="1"/>
      <w:numFmt w:val="bullet"/>
      <w:lvlText w:val=""/>
      <w:lvlJc w:val="left"/>
      <w:pPr>
        <w:ind w:left="3600" w:hanging="360"/>
      </w:pPr>
      <w:rPr>
        <w:rFonts w:ascii="Symbol" w:hAnsi="Symbol" w:hint="default"/>
      </w:rPr>
    </w:lvl>
    <w:lvl w:ilvl="1" w:tplc="04270003" w:tentative="1">
      <w:start w:val="1"/>
      <w:numFmt w:val="bullet"/>
      <w:lvlText w:val="o"/>
      <w:lvlJc w:val="left"/>
      <w:pPr>
        <w:ind w:left="4320" w:hanging="360"/>
      </w:pPr>
      <w:rPr>
        <w:rFonts w:ascii="Courier New" w:hAnsi="Courier New" w:cs="Courier New" w:hint="default"/>
      </w:rPr>
    </w:lvl>
    <w:lvl w:ilvl="2" w:tplc="04270005" w:tentative="1">
      <w:start w:val="1"/>
      <w:numFmt w:val="bullet"/>
      <w:lvlText w:val=""/>
      <w:lvlJc w:val="left"/>
      <w:pPr>
        <w:ind w:left="5040" w:hanging="360"/>
      </w:pPr>
      <w:rPr>
        <w:rFonts w:ascii="Wingdings" w:hAnsi="Wingdings" w:hint="default"/>
      </w:rPr>
    </w:lvl>
    <w:lvl w:ilvl="3" w:tplc="04270001" w:tentative="1">
      <w:start w:val="1"/>
      <w:numFmt w:val="bullet"/>
      <w:lvlText w:val=""/>
      <w:lvlJc w:val="left"/>
      <w:pPr>
        <w:ind w:left="5760" w:hanging="360"/>
      </w:pPr>
      <w:rPr>
        <w:rFonts w:ascii="Symbol" w:hAnsi="Symbol" w:hint="default"/>
      </w:rPr>
    </w:lvl>
    <w:lvl w:ilvl="4" w:tplc="04270003" w:tentative="1">
      <w:start w:val="1"/>
      <w:numFmt w:val="bullet"/>
      <w:lvlText w:val="o"/>
      <w:lvlJc w:val="left"/>
      <w:pPr>
        <w:ind w:left="6480" w:hanging="360"/>
      </w:pPr>
      <w:rPr>
        <w:rFonts w:ascii="Courier New" w:hAnsi="Courier New" w:cs="Courier New" w:hint="default"/>
      </w:rPr>
    </w:lvl>
    <w:lvl w:ilvl="5" w:tplc="04270005" w:tentative="1">
      <w:start w:val="1"/>
      <w:numFmt w:val="bullet"/>
      <w:lvlText w:val=""/>
      <w:lvlJc w:val="left"/>
      <w:pPr>
        <w:ind w:left="7200" w:hanging="360"/>
      </w:pPr>
      <w:rPr>
        <w:rFonts w:ascii="Wingdings" w:hAnsi="Wingdings" w:hint="default"/>
      </w:rPr>
    </w:lvl>
    <w:lvl w:ilvl="6" w:tplc="04270001" w:tentative="1">
      <w:start w:val="1"/>
      <w:numFmt w:val="bullet"/>
      <w:lvlText w:val=""/>
      <w:lvlJc w:val="left"/>
      <w:pPr>
        <w:ind w:left="7920" w:hanging="360"/>
      </w:pPr>
      <w:rPr>
        <w:rFonts w:ascii="Symbol" w:hAnsi="Symbol" w:hint="default"/>
      </w:rPr>
    </w:lvl>
    <w:lvl w:ilvl="7" w:tplc="04270003" w:tentative="1">
      <w:start w:val="1"/>
      <w:numFmt w:val="bullet"/>
      <w:lvlText w:val="o"/>
      <w:lvlJc w:val="left"/>
      <w:pPr>
        <w:ind w:left="8640" w:hanging="360"/>
      </w:pPr>
      <w:rPr>
        <w:rFonts w:ascii="Courier New" w:hAnsi="Courier New" w:cs="Courier New" w:hint="default"/>
      </w:rPr>
    </w:lvl>
    <w:lvl w:ilvl="8" w:tplc="04270005" w:tentative="1">
      <w:start w:val="1"/>
      <w:numFmt w:val="bullet"/>
      <w:lvlText w:val=""/>
      <w:lvlJc w:val="left"/>
      <w:pPr>
        <w:ind w:left="9360" w:hanging="360"/>
      </w:pPr>
      <w:rPr>
        <w:rFonts w:ascii="Wingdings" w:hAnsi="Wingdings" w:hint="default"/>
      </w:rPr>
    </w:lvl>
  </w:abstractNum>
  <w:abstractNum w:abstractNumId="6" w15:restartNumberingAfterBreak="0">
    <w:nsid w:val="1EBD69E1"/>
    <w:multiLevelType w:val="hybridMultilevel"/>
    <w:tmpl w:val="54A0E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C1C80"/>
    <w:multiLevelType w:val="hybridMultilevel"/>
    <w:tmpl w:val="3BA466D6"/>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8" w15:restartNumberingAfterBreak="0">
    <w:nsid w:val="1FE849BF"/>
    <w:multiLevelType w:val="hybridMultilevel"/>
    <w:tmpl w:val="DD7A20B6"/>
    <w:lvl w:ilvl="0" w:tplc="475C0376">
      <w:start w:val="1"/>
      <w:numFmt w:val="bullet"/>
      <w:lvlText w:val=""/>
      <w:lvlJc w:val="left"/>
      <w:pPr>
        <w:ind w:left="690" w:hanging="360"/>
      </w:pPr>
      <w:rPr>
        <w:rFonts w:ascii="Symbol" w:hAnsi="Symbol" w:hint="default"/>
        <w:sz w:val="24"/>
        <w:szCs w:val="24"/>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9" w15:restartNumberingAfterBreak="0">
    <w:nsid w:val="2036716A"/>
    <w:multiLevelType w:val="multilevel"/>
    <w:tmpl w:val="6BEEF308"/>
    <w:lvl w:ilvl="0">
      <w:start w:val="1"/>
      <w:numFmt w:val="decimal"/>
      <w:lvlText w:val="%1."/>
      <w:lvlJc w:val="left"/>
      <w:pPr>
        <w:ind w:left="1152" w:hanging="360"/>
      </w:p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0" w15:restartNumberingAfterBreak="0">
    <w:nsid w:val="213A7659"/>
    <w:multiLevelType w:val="hybridMultilevel"/>
    <w:tmpl w:val="66A43D44"/>
    <w:lvl w:ilvl="0" w:tplc="00CE4D6E">
      <w:start w:val="1"/>
      <w:numFmt w:val="bullet"/>
      <w:lvlText w:val=""/>
      <w:lvlJc w:val="left"/>
      <w:pPr>
        <w:ind w:left="690" w:hanging="360"/>
      </w:pPr>
      <w:rPr>
        <w:rFonts w:ascii="Symbol" w:hAnsi="Symbol" w:hint="default"/>
        <w:sz w:val="24"/>
        <w:szCs w:val="24"/>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1" w15:restartNumberingAfterBreak="0">
    <w:nsid w:val="21F84DAE"/>
    <w:multiLevelType w:val="hybridMultilevel"/>
    <w:tmpl w:val="D8026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27522"/>
    <w:multiLevelType w:val="hybridMultilevel"/>
    <w:tmpl w:val="598A97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2E4A7F"/>
    <w:multiLevelType w:val="hybridMultilevel"/>
    <w:tmpl w:val="485E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3739BE"/>
    <w:multiLevelType w:val="hybridMultilevel"/>
    <w:tmpl w:val="DCECF31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5" w15:restartNumberingAfterBreak="0">
    <w:nsid w:val="2E7D1FB8"/>
    <w:multiLevelType w:val="hybridMultilevel"/>
    <w:tmpl w:val="CCE63342"/>
    <w:lvl w:ilvl="0" w:tplc="04090001">
      <w:start w:val="1"/>
      <w:numFmt w:val="bullet"/>
      <w:lvlText w:val=""/>
      <w:lvlJc w:val="left"/>
      <w:pPr>
        <w:ind w:left="3600" w:hanging="360"/>
      </w:pPr>
      <w:rPr>
        <w:rFonts w:ascii="Symbol" w:hAnsi="Symbol" w:hint="default"/>
      </w:rPr>
    </w:lvl>
    <w:lvl w:ilvl="1" w:tplc="04270003" w:tentative="1">
      <w:start w:val="1"/>
      <w:numFmt w:val="bullet"/>
      <w:lvlText w:val="o"/>
      <w:lvlJc w:val="left"/>
      <w:pPr>
        <w:ind w:left="4320" w:hanging="360"/>
      </w:pPr>
      <w:rPr>
        <w:rFonts w:ascii="Courier New" w:hAnsi="Courier New" w:cs="Courier New" w:hint="default"/>
      </w:rPr>
    </w:lvl>
    <w:lvl w:ilvl="2" w:tplc="04270005" w:tentative="1">
      <w:start w:val="1"/>
      <w:numFmt w:val="bullet"/>
      <w:lvlText w:val=""/>
      <w:lvlJc w:val="left"/>
      <w:pPr>
        <w:ind w:left="5040" w:hanging="360"/>
      </w:pPr>
      <w:rPr>
        <w:rFonts w:ascii="Wingdings" w:hAnsi="Wingdings" w:hint="default"/>
      </w:rPr>
    </w:lvl>
    <w:lvl w:ilvl="3" w:tplc="04270001" w:tentative="1">
      <w:start w:val="1"/>
      <w:numFmt w:val="bullet"/>
      <w:lvlText w:val=""/>
      <w:lvlJc w:val="left"/>
      <w:pPr>
        <w:ind w:left="5760" w:hanging="360"/>
      </w:pPr>
      <w:rPr>
        <w:rFonts w:ascii="Symbol" w:hAnsi="Symbol" w:hint="default"/>
      </w:rPr>
    </w:lvl>
    <w:lvl w:ilvl="4" w:tplc="04270003" w:tentative="1">
      <w:start w:val="1"/>
      <w:numFmt w:val="bullet"/>
      <w:lvlText w:val="o"/>
      <w:lvlJc w:val="left"/>
      <w:pPr>
        <w:ind w:left="6480" w:hanging="360"/>
      </w:pPr>
      <w:rPr>
        <w:rFonts w:ascii="Courier New" w:hAnsi="Courier New" w:cs="Courier New" w:hint="default"/>
      </w:rPr>
    </w:lvl>
    <w:lvl w:ilvl="5" w:tplc="04270005" w:tentative="1">
      <w:start w:val="1"/>
      <w:numFmt w:val="bullet"/>
      <w:lvlText w:val=""/>
      <w:lvlJc w:val="left"/>
      <w:pPr>
        <w:ind w:left="7200" w:hanging="360"/>
      </w:pPr>
      <w:rPr>
        <w:rFonts w:ascii="Wingdings" w:hAnsi="Wingdings" w:hint="default"/>
      </w:rPr>
    </w:lvl>
    <w:lvl w:ilvl="6" w:tplc="04270001" w:tentative="1">
      <w:start w:val="1"/>
      <w:numFmt w:val="bullet"/>
      <w:lvlText w:val=""/>
      <w:lvlJc w:val="left"/>
      <w:pPr>
        <w:ind w:left="7920" w:hanging="360"/>
      </w:pPr>
      <w:rPr>
        <w:rFonts w:ascii="Symbol" w:hAnsi="Symbol" w:hint="default"/>
      </w:rPr>
    </w:lvl>
    <w:lvl w:ilvl="7" w:tplc="04270003" w:tentative="1">
      <w:start w:val="1"/>
      <w:numFmt w:val="bullet"/>
      <w:lvlText w:val="o"/>
      <w:lvlJc w:val="left"/>
      <w:pPr>
        <w:ind w:left="8640" w:hanging="360"/>
      </w:pPr>
      <w:rPr>
        <w:rFonts w:ascii="Courier New" w:hAnsi="Courier New" w:cs="Courier New" w:hint="default"/>
      </w:rPr>
    </w:lvl>
    <w:lvl w:ilvl="8" w:tplc="04270005" w:tentative="1">
      <w:start w:val="1"/>
      <w:numFmt w:val="bullet"/>
      <w:lvlText w:val=""/>
      <w:lvlJc w:val="left"/>
      <w:pPr>
        <w:ind w:left="9360" w:hanging="360"/>
      </w:pPr>
      <w:rPr>
        <w:rFonts w:ascii="Wingdings" w:hAnsi="Wingdings" w:hint="default"/>
      </w:rPr>
    </w:lvl>
  </w:abstractNum>
  <w:abstractNum w:abstractNumId="16" w15:restartNumberingAfterBreak="0">
    <w:nsid w:val="352461A7"/>
    <w:multiLevelType w:val="hybridMultilevel"/>
    <w:tmpl w:val="0F3A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241F70"/>
    <w:multiLevelType w:val="multilevel"/>
    <w:tmpl w:val="6BEEF308"/>
    <w:lvl w:ilvl="0">
      <w:start w:val="1"/>
      <w:numFmt w:val="decimal"/>
      <w:lvlText w:val="%1."/>
      <w:lvlJc w:val="left"/>
      <w:pPr>
        <w:ind w:left="1152" w:hanging="360"/>
      </w:p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8" w15:restartNumberingAfterBreak="0">
    <w:nsid w:val="38F419E1"/>
    <w:multiLevelType w:val="hybridMultilevel"/>
    <w:tmpl w:val="4914E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FD3EBF"/>
    <w:multiLevelType w:val="multilevel"/>
    <w:tmpl w:val="B13E1B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7E0C40"/>
    <w:multiLevelType w:val="hybridMultilevel"/>
    <w:tmpl w:val="92568A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3CFD7ED4"/>
    <w:multiLevelType w:val="hybridMultilevel"/>
    <w:tmpl w:val="61741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C259D4"/>
    <w:multiLevelType w:val="hybridMultilevel"/>
    <w:tmpl w:val="54A0E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C30806"/>
    <w:multiLevelType w:val="hybridMultilevel"/>
    <w:tmpl w:val="110AFFF6"/>
    <w:lvl w:ilvl="0" w:tplc="04270001">
      <w:start w:val="1"/>
      <w:numFmt w:val="bullet"/>
      <w:lvlText w:val=""/>
      <w:lvlJc w:val="left"/>
      <w:pPr>
        <w:ind w:left="690" w:hanging="360"/>
      </w:pPr>
      <w:rPr>
        <w:rFonts w:ascii="Symbol" w:hAnsi="Symbol" w:hint="default"/>
      </w:rPr>
    </w:lvl>
    <w:lvl w:ilvl="1" w:tplc="04270003" w:tentative="1">
      <w:start w:val="1"/>
      <w:numFmt w:val="bullet"/>
      <w:lvlText w:val="o"/>
      <w:lvlJc w:val="left"/>
      <w:pPr>
        <w:ind w:left="1410" w:hanging="360"/>
      </w:pPr>
      <w:rPr>
        <w:rFonts w:ascii="Courier New" w:hAnsi="Courier New" w:cs="Courier New" w:hint="default"/>
      </w:rPr>
    </w:lvl>
    <w:lvl w:ilvl="2" w:tplc="04270005" w:tentative="1">
      <w:start w:val="1"/>
      <w:numFmt w:val="bullet"/>
      <w:lvlText w:val=""/>
      <w:lvlJc w:val="left"/>
      <w:pPr>
        <w:ind w:left="2130" w:hanging="360"/>
      </w:pPr>
      <w:rPr>
        <w:rFonts w:ascii="Wingdings" w:hAnsi="Wingdings" w:hint="default"/>
      </w:rPr>
    </w:lvl>
    <w:lvl w:ilvl="3" w:tplc="04270001" w:tentative="1">
      <w:start w:val="1"/>
      <w:numFmt w:val="bullet"/>
      <w:lvlText w:val=""/>
      <w:lvlJc w:val="left"/>
      <w:pPr>
        <w:ind w:left="2850" w:hanging="360"/>
      </w:pPr>
      <w:rPr>
        <w:rFonts w:ascii="Symbol" w:hAnsi="Symbol" w:hint="default"/>
      </w:rPr>
    </w:lvl>
    <w:lvl w:ilvl="4" w:tplc="04270003" w:tentative="1">
      <w:start w:val="1"/>
      <w:numFmt w:val="bullet"/>
      <w:lvlText w:val="o"/>
      <w:lvlJc w:val="left"/>
      <w:pPr>
        <w:ind w:left="3570" w:hanging="360"/>
      </w:pPr>
      <w:rPr>
        <w:rFonts w:ascii="Courier New" w:hAnsi="Courier New" w:cs="Courier New" w:hint="default"/>
      </w:rPr>
    </w:lvl>
    <w:lvl w:ilvl="5" w:tplc="04270005" w:tentative="1">
      <w:start w:val="1"/>
      <w:numFmt w:val="bullet"/>
      <w:lvlText w:val=""/>
      <w:lvlJc w:val="left"/>
      <w:pPr>
        <w:ind w:left="4290" w:hanging="360"/>
      </w:pPr>
      <w:rPr>
        <w:rFonts w:ascii="Wingdings" w:hAnsi="Wingdings" w:hint="default"/>
      </w:rPr>
    </w:lvl>
    <w:lvl w:ilvl="6" w:tplc="04270001" w:tentative="1">
      <w:start w:val="1"/>
      <w:numFmt w:val="bullet"/>
      <w:lvlText w:val=""/>
      <w:lvlJc w:val="left"/>
      <w:pPr>
        <w:ind w:left="5010" w:hanging="360"/>
      </w:pPr>
      <w:rPr>
        <w:rFonts w:ascii="Symbol" w:hAnsi="Symbol" w:hint="default"/>
      </w:rPr>
    </w:lvl>
    <w:lvl w:ilvl="7" w:tplc="04270003" w:tentative="1">
      <w:start w:val="1"/>
      <w:numFmt w:val="bullet"/>
      <w:lvlText w:val="o"/>
      <w:lvlJc w:val="left"/>
      <w:pPr>
        <w:ind w:left="5730" w:hanging="360"/>
      </w:pPr>
      <w:rPr>
        <w:rFonts w:ascii="Courier New" w:hAnsi="Courier New" w:cs="Courier New" w:hint="default"/>
      </w:rPr>
    </w:lvl>
    <w:lvl w:ilvl="8" w:tplc="04270005" w:tentative="1">
      <w:start w:val="1"/>
      <w:numFmt w:val="bullet"/>
      <w:lvlText w:val=""/>
      <w:lvlJc w:val="left"/>
      <w:pPr>
        <w:ind w:left="6450" w:hanging="360"/>
      </w:pPr>
      <w:rPr>
        <w:rFonts w:ascii="Wingdings" w:hAnsi="Wingdings" w:hint="default"/>
      </w:rPr>
    </w:lvl>
  </w:abstractNum>
  <w:abstractNum w:abstractNumId="24" w15:restartNumberingAfterBreak="0">
    <w:nsid w:val="4CE23D20"/>
    <w:multiLevelType w:val="hybridMultilevel"/>
    <w:tmpl w:val="E8661972"/>
    <w:lvl w:ilvl="0" w:tplc="47086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3F550F"/>
    <w:multiLevelType w:val="hybridMultilevel"/>
    <w:tmpl w:val="486E13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20C696C"/>
    <w:multiLevelType w:val="hybridMultilevel"/>
    <w:tmpl w:val="028AE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3B6EFE"/>
    <w:multiLevelType w:val="hybridMultilevel"/>
    <w:tmpl w:val="B27A99C8"/>
    <w:lvl w:ilvl="0" w:tplc="0427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5E74476"/>
    <w:multiLevelType w:val="hybridMultilevel"/>
    <w:tmpl w:val="37E81C78"/>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9" w15:restartNumberingAfterBreak="0">
    <w:nsid w:val="5A971835"/>
    <w:multiLevelType w:val="hybridMultilevel"/>
    <w:tmpl w:val="54A0E4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C2957D2"/>
    <w:multiLevelType w:val="hybridMultilevel"/>
    <w:tmpl w:val="183C2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C714BE"/>
    <w:multiLevelType w:val="hybridMultilevel"/>
    <w:tmpl w:val="7DEE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FF6DE5"/>
    <w:multiLevelType w:val="hybridMultilevel"/>
    <w:tmpl w:val="BC98B102"/>
    <w:lvl w:ilvl="0" w:tplc="04270001">
      <w:start w:val="1"/>
      <w:numFmt w:val="bullet"/>
      <w:lvlText w:val=""/>
      <w:lvlJc w:val="left"/>
      <w:pPr>
        <w:ind w:left="690" w:hanging="360"/>
      </w:pPr>
      <w:rPr>
        <w:rFonts w:ascii="Symbol" w:hAnsi="Symbol" w:hint="default"/>
      </w:rPr>
    </w:lvl>
    <w:lvl w:ilvl="1" w:tplc="04270003" w:tentative="1">
      <w:start w:val="1"/>
      <w:numFmt w:val="bullet"/>
      <w:lvlText w:val="o"/>
      <w:lvlJc w:val="left"/>
      <w:pPr>
        <w:ind w:left="1410" w:hanging="360"/>
      </w:pPr>
      <w:rPr>
        <w:rFonts w:ascii="Courier New" w:hAnsi="Courier New" w:cs="Courier New" w:hint="default"/>
      </w:rPr>
    </w:lvl>
    <w:lvl w:ilvl="2" w:tplc="04270005" w:tentative="1">
      <w:start w:val="1"/>
      <w:numFmt w:val="bullet"/>
      <w:lvlText w:val=""/>
      <w:lvlJc w:val="left"/>
      <w:pPr>
        <w:ind w:left="2130" w:hanging="360"/>
      </w:pPr>
      <w:rPr>
        <w:rFonts w:ascii="Wingdings" w:hAnsi="Wingdings" w:hint="default"/>
      </w:rPr>
    </w:lvl>
    <w:lvl w:ilvl="3" w:tplc="04270001" w:tentative="1">
      <w:start w:val="1"/>
      <w:numFmt w:val="bullet"/>
      <w:lvlText w:val=""/>
      <w:lvlJc w:val="left"/>
      <w:pPr>
        <w:ind w:left="2850" w:hanging="360"/>
      </w:pPr>
      <w:rPr>
        <w:rFonts w:ascii="Symbol" w:hAnsi="Symbol" w:hint="default"/>
      </w:rPr>
    </w:lvl>
    <w:lvl w:ilvl="4" w:tplc="04270003" w:tentative="1">
      <w:start w:val="1"/>
      <w:numFmt w:val="bullet"/>
      <w:lvlText w:val="o"/>
      <w:lvlJc w:val="left"/>
      <w:pPr>
        <w:ind w:left="3570" w:hanging="360"/>
      </w:pPr>
      <w:rPr>
        <w:rFonts w:ascii="Courier New" w:hAnsi="Courier New" w:cs="Courier New" w:hint="default"/>
      </w:rPr>
    </w:lvl>
    <w:lvl w:ilvl="5" w:tplc="04270005" w:tentative="1">
      <w:start w:val="1"/>
      <w:numFmt w:val="bullet"/>
      <w:lvlText w:val=""/>
      <w:lvlJc w:val="left"/>
      <w:pPr>
        <w:ind w:left="4290" w:hanging="360"/>
      </w:pPr>
      <w:rPr>
        <w:rFonts w:ascii="Wingdings" w:hAnsi="Wingdings" w:hint="default"/>
      </w:rPr>
    </w:lvl>
    <w:lvl w:ilvl="6" w:tplc="04270001" w:tentative="1">
      <w:start w:val="1"/>
      <w:numFmt w:val="bullet"/>
      <w:lvlText w:val=""/>
      <w:lvlJc w:val="left"/>
      <w:pPr>
        <w:ind w:left="5010" w:hanging="360"/>
      </w:pPr>
      <w:rPr>
        <w:rFonts w:ascii="Symbol" w:hAnsi="Symbol" w:hint="default"/>
      </w:rPr>
    </w:lvl>
    <w:lvl w:ilvl="7" w:tplc="04270003" w:tentative="1">
      <w:start w:val="1"/>
      <w:numFmt w:val="bullet"/>
      <w:lvlText w:val="o"/>
      <w:lvlJc w:val="left"/>
      <w:pPr>
        <w:ind w:left="5730" w:hanging="360"/>
      </w:pPr>
      <w:rPr>
        <w:rFonts w:ascii="Courier New" w:hAnsi="Courier New" w:cs="Courier New" w:hint="default"/>
      </w:rPr>
    </w:lvl>
    <w:lvl w:ilvl="8" w:tplc="04270005" w:tentative="1">
      <w:start w:val="1"/>
      <w:numFmt w:val="bullet"/>
      <w:lvlText w:val=""/>
      <w:lvlJc w:val="left"/>
      <w:pPr>
        <w:ind w:left="6450" w:hanging="360"/>
      </w:pPr>
      <w:rPr>
        <w:rFonts w:ascii="Wingdings" w:hAnsi="Wingdings" w:hint="default"/>
      </w:rPr>
    </w:lvl>
  </w:abstractNum>
  <w:abstractNum w:abstractNumId="33" w15:restartNumberingAfterBreak="0">
    <w:nsid w:val="6BFD292F"/>
    <w:multiLevelType w:val="hybridMultilevel"/>
    <w:tmpl w:val="AF363C86"/>
    <w:lvl w:ilvl="0" w:tplc="4A505ACA">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171F6A"/>
    <w:multiLevelType w:val="hybridMultilevel"/>
    <w:tmpl w:val="AB880B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01E77AA"/>
    <w:multiLevelType w:val="hybridMultilevel"/>
    <w:tmpl w:val="26283732"/>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6" w15:restartNumberingAfterBreak="0">
    <w:nsid w:val="72016A3D"/>
    <w:multiLevelType w:val="hybridMultilevel"/>
    <w:tmpl w:val="B27A99C8"/>
    <w:lvl w:ilvl="0" w:tplc="0427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226676C"/>
    <w:multiLevelType w:val="hybridMultilevel"/>
    <w:tmpl w:val="C98696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9"/>
  </w:num>
  <w:num w:numId="4">
    <w:abstractNumId w:val="17"/>
  </w:num>
  <w:num w:numId="5">
    <w:abstractNumId w:val="2"/>
  </w:num>
  <w:num w:numId="6">
    <w:abstractNumId w:val="16"/>
  </w:num>
  <w:num w:numId="7">
    <w:abstractNumId w:val="12"/>
  </w:num>
  <w:num w:numId="8">
    <w:abstractNumId w:val="14"/>
  </w:num>
  <w:num w:numId="9">
    <w:abstractNumId w:val="13"/>
  </w:num>
  <w:num w:numId="10">
    <w:abstractNumId w:val="29"/>
  </w:num>
  <w:num w:numId="11">
    <w:abstractNumId w:val="22"/>
  </w:num>
  <w:num w:numId="12">
    <w:abstractNumId w:val="6"/>
  </w:num>
  <w:num w:numId="13">
    <w:abstractNumId w:val="3"/>
  </w:num>
  <w:num w:numId="14">
    <w:abstractNumId w:val="25"/>
  </w:num>
  <w:num w:numId="15">
    <w:abstractNumId w:val="20"/>
  </w:num>
  <w:num w:numId="16">
    <w:abstractNumId w:val="1"/>
  </w:num>
  <w:num w:numId="17">
    <w:abstractNumId w:val="24"/>
  </w:num>
  <w:num w:numId="18">
    <w:abstractNumId w:val="37"/>
  </w:num>
  <w:num w:numId="19">
    <w:abstractNumId w:val="30"/>
  </w:num>
  <w:num w:numId="20">
    <w:abstractNumId w:val="11"/>
  </w:num>
  <w:num w:numId="21">
    <w:abstractNumId w:val="4"/>
  </w:num>
  <w:num w:numId="22">
    <w:abstractNumId w:val="7"/>
  </w:num>
  <w:num w:numId="23">
    <w:abstractNumId w:val="26"/>
  </w:num>
  <w:num w:numId="24">
    <w:abstractNumId w:val="31"/>
  </w:num>
  <w:num w:numId="25">
    <w:abstractNumId w:val="8"/>
  </w:num>
  <w:num w:numId="26">
    <w:abstractNumId w:val="21"/>
  </w:num>
  <w:num w:numId="27">
    <w:abstractNumId w:val="33"/>
  </w:num>
  <w:num w:numId="28">
    <w:abstractNumId w:val="10"/>
  </w:num>
  <w:num w:numId="29">
    <w:abstractNumId w:val="15"/>
  </w:num>
  <w:num w:numId="30">
    <w:abstractNumId w:val="5"/>
  </w:num>
  <w:num w:numId="31">
    <w:abstractNumId w:val="27"/>
  </w:num>
  <w:num w:numId="32">
    <w:abstractNumId w:val="32"/>
  </w:num>
  <w:num w:numId="33">
    <w:abstractNumId w:val="0"/>
  </w:num>
  <w:num w:numId="34">
    <w:abstractNumId w:val="23"/>
  </w:num>
  <w:num w:numId="35">
    <w:abstractNumId w:val="36"/>
  </w:num>
  <w:num w:numId="36">
    <w:abstractNumId w:val="35"/>
  </w:num>
  <w:num w:numId="37">
    <w:abstractNumId w:val="28"/>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hyphenationZone w:val="396"/>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43A"/>
    <w:rsid w:val="000003D4"/>
    <w:rsid w:val="00001432"/>
    <w:rsid w:val="000018D4"/>
    <w:rsid w:val="00002C00"/>
    <w:rsid w:val="0001093E"/>
    <w:rsid w:val="000155E1"/>
    <w:rsid w:val="00015666"/>
    <w:rsid w:val="00015D88"/>
    <w:rsid w:val="00016811"/>
    <w:rsid w:val="0001766D"/>
    <w:rsid w:val="00023343"/>
    <w:rsid w:val="00023740"/>
    <w:rsid w:val="0002400C"/>
    <w:rsid w:val="00025BAC"/>
    <w:rsid w:val="00026176"/>
    <w:rsid w:val="00030251"/>
    <w:rsid w:val="000325A4"/>
    <w:rsid w:val="000329E7"/>
    <w:rsid w:val="00036C4F"/>
    <w:rsid w:val="00037673"/>
    <w:rsid w:val="00037696"/>
    <w:rsid w:val="00040AD6"/>
    <w:rsid w:val="00041BDA"/>
    <w:rsid w:val="00042C22"/>
    <w:rsid w:val="00043C01"/>
    <w:rsid w:val="00044C09"/>
    <w:rsid w:val="0004678A"/>
    <w:rsid w:val="0005319D"/>
    <w:rsid w:val="000531F6"/>
    <w:rsid w:val="0005403C"/>
    <w:rsid w:val="00056A2B"/>
    <w:rsid w:val="00056FC8"/>
    <w:rsid w:val="00060DDF"/>
    <w:rsid w:val="0006392C"/>
    <w:rsid w:val="00063D76"/>
    <w:rsid w:val="0007145B"/>
    <w:rsid w:val="0007163F"/>
    <w:rsid w:val="00073353"/>
    <w:rsid w:val="0007360C"/>
    <w:rsid w:val="000808FA"/>
    <w:rsid w:val="00084EA6"/>
    <w:rsid w:val="00087BCA"/>
    <w:rsid w:val="0009052E"/>
    <w:rsid w:val="00092BFA"/>
    <w:rsid w:val="0009785D"/>
    <w:rsid w:val="000A29C2"/>
    <w:rsid w:val="000A4557"/>
    <w:rsid w:val="000A5A82"/>
    <w:rsid w:val="000B716F"/>
    <w:rsid w:val="000B766E"/>
    <w:rsid w:val="000B7C1E"/>
    <w:rsid w:val="000B7FA3"/>
    <w:rsid w:val="000C2CA1"/>
    <w:rsid w:val="000C2DEB"/>
    <w:rsid w:val="000C3FA3"/>
    <w:rsid w:val="000C4722"/>
    <w:rsid w:val="000C52F6"/>
    <w:rsid w:val="000C63E4"/>
    <w:rsid w:val="000C6B42"/>
    <w:rsid w:val="000D2843"/>
    <w:rsid w:val="000D2C26"/>
    <w:rsid w:val="000D485A"/>
    <w:rsid w:val="000D5036"/>
    <w:rsid w:val="000D552C"/>
    <w:rsid w:val="000D6192"/>
    <w:rsid w:val="000E0AC3"/>
    <w:rsid w:val="000E16BD"/>
    <w:rsid w:val="000E373C"/>
    <w:rsid w:val="000E38DC"/>
    <w:rsid w:val="000E396A"/>
    <w:rsid w:val="000E575F"/>
    <w:rsid w:val="000E5D2D"/>
    <w:rsid w:val="000F0E13"/>
    <w:rsid w:val="000F3F31"/>
    <w:rsid w:val="000F736A"/>
    <w:rsid w:val="00102BC9"/>
    <w:rsid w:val="00104CC4"/>
    <w:rsid w:val="001050E5"/>
    <w:rsid w:val="00105B95"/>
    <w:rsid w:val="001068D6"/>
    <w:rsid w:val="00107CE2"/>
    <w:rsid w:val="001106B7"/>
    <w:rsid w:val="00114528"/>
    <w:rsid w:val="001149F4"/>
    <w:rsid w:val="001162BC"/>
    <w:rsid w:val="001201EE"/>
    <w:rsid w:val="00120551"/>
    <w:rsid w:val="00120C97"/>
    <w:rsid w:val="001247BD"/>
    <w:rsid w:val="00127BBF"/>
    <w:rsid w:val="00130AD6"/>
    <w:rsid w:val="00131E65"/>
    <w:rsid w:val="00132359"/>
    <w:rsid w:val="00132F64"/>
    <w:rsid w:val="001348EB"/>
    <w:rsid w:val="0013649C"/>
    <w:rsid w:val="00137A7B"/>
    <w:rsid w:val="001415E0"/>
    <w:rsid w:val="001455E2"/>
    <w:rsid w:val="00146C59"/>
    <w:rsid w:val="00153850"/>
    <w:rsid w:val="001538B7"/>
    <w:rsid w:val="00154312"/>
    <w:rsid w:val="00154658"/>
    <w:rsid w:val="00154855"/>
    <w:rsid w:val="001569F2"/>
    <w:rsid w:val="00156BDC"/>
    <w:rsid w:val="00156C3F"/>
    <w:rsid w:val="00160395"/>
    <w:rsid w:val="00161ABF"/>
    <w:rsid w:val="001661B8"/>
    <w:rsid w:val="00167008"/>
    <w:rsid w:val="00167416"/>
    <w:rsid w:val="001718AC"/>
    <w:rsid w:val="00171BBC"/>
    <w:rsid w:val="00171E6A"/>
    <w:rsid w:val="00172875"/>
    <w:rsid w:val="001735FB"/>
    <w:rsid w:val="00175E74"/>
    <w:rsid w:val="00182B07"/>
    <w:rsid w:val="00183AD6"/>
    <w:rsid w:val="00183C15"/>
    <w:rsid w:val="0018424C"/>
    <w:rsid w:val="001873F1"/>
    <w:rsid w:val="00190B36"/>
    <w:rsid w:val="00197000"/>
    <w:rsid w:val="001A1197"/>
    <w:rsid w:val="001A1658"/>
    <w:rsid w:val="001A30ED"/>
    <w:rsid w:val="001A6648"/>
    <w:rsid w:val="001A76EA"/>
    <w:rsid w:val="001A779B"/>
    <w:rsid w:val="001B3917"/>
    <w:rsid w:val="001B3EFE"/>
    <w:rsid w:val="001B4AB5"/>
    <w:rsid w:val="001B4F27"/>
    <w:rsid w:val="001B6909"/>
    <w:rsid w:val="001B6EB6"/>
    <w:rsid w:val="001C0921"/>
    <w:rsid w:val="001C2002"/>
    <w:rsid w:val="001C607E"/>
    <w:rsid w:val="001D0F16"/>
    <w:rsid w:val="001D1706"/>
    <w:rsid w:val="001D248D"/>
    <w:rsid w:val="001D3045"/>
    <w:rsid w:val="001D57D9"/>
    <w:rsid w:val="001D69FF"/>
    <w:rsid w:val="001D6EA8"/>
    <w:rsid w:val="001E4330"/>
    <w:rsid w:val="001E480E"/>
    <w:rsid w:val="001F17DE"/>
    <w:rsid w:val="001F445D"/>
    <w:rsid w:val="001F7B86"/>
    <w:rsid w:val="002007A2"/>
    <w:rsid w:val="00206557"/>
    <w:rsid w:val="002068FD"/>
    <w:rsid w:val="00206AC1"/>
    <w:rsid w:val="00210133"/>
    <w:rsid w:val="00211F4F"/>
    <w:rsid w:val="002148D1"/>
    <w:rsid w:val="0021709A"/>
    <w:rsid w:val="00221009"/>
    <w:rsid w:val="002225D8"/>
    <w:rsid w:val="00226109"/>
    <w:rsid w:val="0022643A"/>
    <w:rsid w:val="002304E9"/>
    <w:rsid w:val="0023188D"/>
    <w:rsid w:val="00232327"/>
    <w:rsid w:val="002325DE"/>
    <w:rsid w:val="00232D16"/>
    <w:rsid w:val="0023770B"/>
    <w:rsid w:val="00241288"/>
    <w:rsid w:val="002412C8"/>
    <w:rsid w:val="00250DED"/>
    <w:rsid w:val="00250EB0"/>
    <w:rsid w:val="002537A9"/>
    <w:rsid w:val="00253C0A"/>
    <w:rsid w:val="00253D27"/>
    <w:rsid w:val="00255F2E"/>
    <w:rsid w:val="00263755"/>
    <w:rsid w:val="002719F6"/>
    <w:rsid w:val="002739D9"/>
    <w:rsid w:val="00273A45"/>
    <w:rsid w:val="0027416B"/>
    <w:rsid w:val="00280774"/>
    <w:rsid w:val="0028085F"/>
    <w:rsid w:val="00280901"/>
    <w:rsid w:val="00282E1C"/>
    <w:rsid w:val="002837B2"/>
    <w:rsid w:val="00292377"/>
    <w:rsid w:val="002A6765"/>
    <w:rsid w:val="002B1D4D"/>
    <w:rsid w:val="002B214B"/>
    <w:rsid w:val="002B62D9"/>
    <w:rsid w:val="002B71AA"/>
    <w:rsid w:val="002C1233"/>
    <w:rsid w:val="002C18EA"/>
    <w:rsid w:val="002C29E9"/>
    <w:rsid w:val="002C348D"/>
    <w:rsid w:val="002C6102"/>
    <w:rsid w:val="002C7D6F"/>
    <w:rsid w:val="002D2791"/>
    <w:rsid w:val="002D3314"/>
    <w:rsid w:val="002D402D"/>
    <w:rsid w:val="002D4238"/>
    <w:rsid w:val="002D67C0"/>
    <w:rsid w:val="002D733B"/>
    <w:rsid w:val="002E1AFD"/>
    <w:rsid w:val="002E20A6"/>
    <w:rsid w:val="002E3BF2"/>
    <w:rsid w:val="002E5657"/>
    <w:rsid w:val="002F2FC5"/>
    <w:rsid w:val="002F4E67"/>
    <w:rsid w:val="00300551"/>
    <w:rsid w:val="00300B3C"/>
    <w:rsid w:val="00303877"/>
    <w:rsid w:val="003045CD"/>
    <w:rsid w:val="00304D2E"/>
    <w:rsid w:val="003111F3"/>
    <w:rsid w:val="00313DA4"/>
    <w:rsid w:val="003154E3"/>
    <w:rsid w:val="00315C2C"/>
    <w:rsid w:val="00316C06"/>
    <w:rsid w:val="003201F6"/>
    <w:rsid w:val="0032362F"/>
    <w:rsid w:val="00324FC0"/>
    <w:rsid w:val="00325BF6"/>
    <w:rsid w:val="00327226"/>
    <w:rsid w:val="003316ED"/>
    <w:rsid w:val="00331E40"/>
    <w:rsid w:val="003352BC"/>
    <w:rsid w:val="00336A63"/>
    <w:rsid w:val="00336F6A"/>
    <w:rsid w:val="00341962"/>
    <w:rsid w:val="00342683"/>
    <w:rsid w:val="003427FB"/>
    <w:rsid w:val="0034571B"/>
    <w:rsid w:val="00345AE8"/>
    <w:rsid w:val="003521A8"/>
    <w:rsid w:val="00353FF6"/>
    <w:rsid w:val="003566BB"/>
    <w:rsid w:val="00357D2F"/>
    <w:rsid w:val="00357D7F"/>
    <w:rsid w:val="003610FF"/>
    <w:rsid w:val="00362BAF"/>
    <w:rsid w:val="003638AD"/>
    <w:rsid w:val="003644DC"/>
    <w:rsid w:val="0036602C"/>
    <w:rsid w:val="0036652C"/>
    <w:rsid w:val="003714C4"/>
    <w:rsid w:val="003730BD"/>
    <w:rsid w:val="003739EF"/>
    <w:rsid w:val="00376773"/>
    <w:rsid w:val="003770FF"/>
    <w:rsid w:val="0037729F"/>
    <w:rsid w:val="00380745"/>
    <w:rsid w:val="00387739"/>
    <w:rsid w:val="003909C3"/>
    <w:rsid w:val="00390F8D"/>
    <w:rsid w:val="003929CC"/>
    <w:rsid w:val="0039375F"/>
    <w:rsid w:val="00396057"/>
    <w:rsid w:val="003A1DFF"/>
    <w:rsid w:val="003A56C6"/>
    <w:rsid w:val="003A5F1C"/>
    <w:rsid w:val="003B6552"/>
    <w:rsid w:val="003C02F6"/>
    <w:rsid w:val="003C27FF"/>
    <w:rsid w:val="003C34BF"/>
    <w:rsid w:val="003C5C20"/>
    <w:rsid w:val="003C623E"/>
    <w:rsid w:val="003C6688"/>
    <w:rsid w:val="003D08D0"/>
    <w:rsid w:val="003D0DFF"/>
    <w:rsid w:val="003E0586"/>
    <w:rsid w:val="003E0B49"/>
    <w:rsid w:val="003E1BB9"/>
    <w:rsid w:val="003E2BA6"/>
    <w:rsid w:val="003E2FA4"/>
    <w:rsid w:val="003E4663"/>
    <w:rsid w:val="003E497B"/>
    <w:rsid w:val="003E53D2"/>
    <w:rsid w:val="003E6CED"/>
    <w:rsid w:val="003E7E34"/>
    <w:rsid w:val="0040082B"/>
    <w:rsid w:val="0040131E"/>
    <w:rsid w:val="0040395A"/>
    <w:rsid w:val="00404359"/>
    <w:rsid w:val="0040795B"/>
    <w:rsid w:val="00410603"/>
    <w:rsid w:val="0041587E"/>
    <w:rsid w:val="004226EC"/>
    <w:rsid w:val="00423627"/>
    <w:rsid w:val="00424263"/>
    <w:rsid w:val="00425DF8"/>
    <w:rsid w:val="004310A0"/>
    <w:rsid w:val="00431208"/>
    <w:rsid w:val="004320DB"/>
    <w:rsid w:val="0043371E"/>
    <w:rsid w:val="004367FB"/>
    <w:rsid w:val="00436B65"/>
    <w:rsid w:val="00437726"/>
    <w:rsid w:val="004378AE"/>
    <w:rsid w:val="004405FA"/>
    <w:rsid w:val="004423BC"/>
    <w:rsid w:val="00442E28"/>
    <w:rsid w:val="00443380"/>
    <w:rsid w:val="004456A0"/>
    <w:rsid w:val="00450D0D"/>
    <w:rsid w:val="00451B8D"/>
    <w:rsid w:val="0045270F"/>
    <w:rsid w:val="004529A1"/>
    <w:rsid w:val="004552B0"/>
    <w:rsid w:val="004562DE"/>
    <w:rsid w:val="00462311"/>
    <w:rsid w:val="00462F5A"/>
    <w:rsid w:val="004639E1"/>
    <w:rsid w:val="00472EF2"/>
    <w:rsid w:val="004747EF"/>
    <w:rsid w:val="00475634"/>
    <w:rsid w:val="00475ABD"/>
    <w:rsid w:val="00477472"/>
    <w:rsid w:val="00481F9B"/>
    <w:rsid w:val="00482C42"/>
    <w:rsid w:val="00485B95"/>
    <w:rsid w:val="00486409"/>
    <w:rsid w:val="004908CB"/>
    <w:rsid w:val="00490F82"/>
    <w:rsid w:val="0049140B"/>
    <w:rsid w:val="00491601"/>
    <w:rsid w:val="00496F38"/>
    <w:rsid w:val="00497C50"/>
    <w:rsid w:val="004A11B0"/>
    <w:rsid w:val="004A2D9A"/>
    <w:rsid w:val="004A2E1F"/>
    <w:rsid w:val="004A637D"/>
    <w:rsid w:val="004B0515"/>
    <w:rsid w:val="004B1581"/>
    <w:rsid w:val="004B5179"/>
    <w:rsid w:val="004B7A02"/>
    <w:rsid w:val="004C0D66"/>
    <w:rsid w:val="004C1CA2"/>
    <w:rsid w:val="004C715A"/>
    <w:rsid w:val="004D5DD9"/>
    <w:rsid w:val="004D60B6"/>
    <w:rsid w:val="004E0525"/>
    <w:rsid w:val="004E1316"/>
    <w:rsid w:val="004E15C7"/>
    <w:rsid w:val="004E3533"/>
    <w:rsid w:val="004E795A"/>
    <w:rsid w:val="004F2BDC"/>
    <w:rsid w:val="004F2C1D"/>
    <w:rsid w:val="004F35AA"/>
    <w:rsid w:val="004F3BC8"/>
    <w:rsid w:val="004F3ECB"/>
    <w:rsid w:val="004F4147"/>
    <w:rsid w:val="004F498A"/>
    <w:rsid w:val="004F5FA8"/>
    <w:rsid w:val="004F72ED"/>
    <w:rsid w:val="0050016C"/>
    <w:rsid w:val="00500250"/>
    <w:rsid w:val="00504500"/>
    <w:rsid w:val="00504C7E"/>
    <w:rsid w:val="00505493"/>
    <w:rsid w:val="00505E7B"/>
    <w:rsid w:val="0051017D"/>
    <w:rsid w:val="005107AB"/>
    <w:rsid w:val="00511F4C"/>
    <w:rsid w:val="00512CDF"/>
    <w:rsid w:val="005137C9"/>
    <w:rsid w:val="00516CA8"/>
    <w:rsid w:val="00522CAE"/>
    <w:rsid w:val="00525D58"/>
    <w:rsid w:val="00526C3C"/>
    <w:rsid w:val="005303FD"/>
    <w:rsid w:val="00532B41"/>
    <w:rsid w:val="005334AE"/>
    <w:rsid w:val="00537116"/>
    <w:rsid w:val="00543F04"/>
    <w:rsid w:val="005461D9"/>
    <w:rsid w:val="00547711"/>
    <w:rsid w:val="0054790C"/>
    <w:rsid w:val="00550982"/>
    <w:rsid w:val="0055102A"/>
    <w:rsid w:val="005552E8"/>
    <w:rsid w:val="00555406"/>
    <w:rsid w:val="005563AE"/>
    <w:rsid w:val="00557202"/>
    <w:rsid w:val="00557B28"/>
    <w:rsid w:val="00560D6D"/>
    <w:rsid w:val="00561F58"/>
    <w:rsid w:val="00563746"/>
    <w:rsid w:val="0056469E"/>
    <w:rsid w:val="00566A15"/>
    <w:rsid w:val="00567C67"/>
    <w:rsid w:val="00570E74"/>
    <w:rsid w:val="00571286"/>
    <w:rsid w:val="00571542"/>
    <w:rsid w:val="00573637"/>
    <w:rsid w:val="0057790A"/>
    <w:rsid w:val="00583D5D"/>
    <w:rsid w:val="00583F48"/>
    <w:rsid w:val="005851BA"/>
    <w:rsid w:val="0058594D"/>
    <w:rsid w:val="0058671B"/>
    <w:rsid w:val="00594E52"/>
    <w:rsid w:val="005A1C09"/>
    <w:rsid w:val="005A2B75"/>
    <w:rsid w:val="005A2C4F"/>
    <w:rsid w:val="005A4E90"/>
    <w:rsid w:val="005A56F8"/>
    <w:rsid w:val="005A591D"/>
    <w:rsid w:val="005B0720"/>
    <w:rsid w:val="005B118A"/>
    <w:rsid w:val="005B192C"/>
    <w:rsid w:val="005B20CA"/>
    <w:rsid w:val="005B5BDE"/>
    <w:rsid w:val="005B5FD9"/>
    <w:rsid w:val="005C0319"/>
    <w:rsid w:val="005C0C4F"/>
    <w:rsid w:val="005C39DD"/>
    <w:rsid w:val="005C50BF"/>
    <w:rsid w:val="005C59B9"/>
    <w:rsid w:val="005C75CA"/>
    <w:rsid w:val="005D10FB"/>
    <w:rsid w:val="005D1F3A"/>
    <w:rsid w:val="005D4850"/>
    <w:rsid w:val="005E5587"/>
    <w:rsid w:val="005E59F9"/>
    <w:rsid w:val="005E5EDD"/>
    <w:rsid w:val="005F13FE"/>
    <w:rsid w:val="005F220E"/>
    <w:rsid w:val="005F4402"/>
    <w:rsid w:val="005F4B1C"/>
    <w:rsid w:val="005F57F6"/>
    <w:rsid w:val="00600DBA"/>
    <w:rsid w:val="00601327"/>
    <w:rsid w:val="00605656"/>
    <w:rsid w:val="0061026B"/>
    <w:rsid w:val="006111C8"/>
    <w:rsid w:val="00611B85"/>
    <w:rsid w:val="00611B99"/>
    <w:rsid w:val="006133F6"/>
    <w:rsid w:val="0061368F"/>
    <w:rsid w:val="00613AA6"/>
    <w:rsid w:val="0061415B"/>
    <w:rsid w:val="006225B3"/>
    <w:rsid w:val="00624C7B"/>
    <w:rsid w:val="00627F17"/>
    <w:rsid w:val="006312B6"/>
    <w:rsid w:val="00631355"/>
    <w:rsid w:val="00637C1A"/>
    <w:rsid w:val="0064193D"/>
    <w:rsid w:val="0064272C"/>
    <w:rsid w:val="00644ADE"/>
    <w:rsid w:val="00645E1B"/>
    <w:rsid w:val="00651514"/>
    <w:rsid w:val="006521FC"/>
    <w:rsid w:val="00652D10"/>
    <w:rsid w:val="00653969"/>
    <w:rsid w:val="006571EC"/>
    <w:rsid w:val="00660B1E"/>
    <w:rsid w:val="00663046"/>
    <w:rsid w:val="00663319"/>
    <w:rsid w:val="00664051"/>
    <w:rsid w:val="00664D37"/>
    <w:rsid w:val="0066567B"/>
    <w:rsid w:val="00666323"/>
    <w:rsid w:val="00670BF5"/>
    <w:rsid w:val="00674240"/>
    <w:rsid w:val="006763D5"/>
    <w:rsid w:val="006808EC"/>
    <w:rsid w:val="00683BEC"/>
    <w:rsid w:val="006871C1"/>
    <w:rsid w:val="0069104E"/>
    <w:rsid w:val="00691E01"/>
    <w:rsid w:val="00694F4F"/>
    <w:rsid w:val="00695391"/>
    <w:rsid w:val="006960D0"/>
    <w:rsid w:val="00696313"/>
    <w:rsid w:val="0069683B"/>
    <w:rsid w:val="006A12D8"/>
    <w:rsid w:val="006A1385"/>
    <w:rsid w:val="006A1386"/>
    <w:rsid w:val="006A4774"/>
    <w:rsid w:val="006B051D"/>
    <w:rsid w:val="006B0EAD"/>
    <w:rsid w:val="006B469E"/>
    <w:rsid w:val="006B6835"/>
    <w:rsid w:val="006B77C3"/>
    <w:rsid w:val="006C16BB"/>
    <w:rsid w:val="006C1F55"/>
    <w:rsid w:val="006C2A19"/>
    <w:rsid w:val="006D09EB"/>
    <w:rsid w:val="006D3052"/>
    <w:rsid w:val="006D3AE7"/>
    <w:rsid w:val="006D66D3"/>
    <w:rsid w:val="006E07D4"/>
    <w:rsid w:val="006E1850"/>
    <w:rsid w:val="006E323A"/>
    <w:rsid w:val="006E419B"/>
    <w:rsid w:val="006E4CD6"/>
    <w:rsid w:val="006E56DE"/>
    <w:rsid w:val="006F12A4"/>
    <w:rsid w:val="006F6191"/>
    <w:rsid w:val="00705F4F"/>
    <w:rsid w:val="00710350"/>
    <w:rsid w:val="007124C5"/>
    <w:rsid w:val="00713CCD"/>
    <w:rsid w:val="0071430B"/>
    <w:rsid w:val="0071431F"/>
    <w:rsid w:val="00715AFC"/>
    <w:rsid w:val="0071782A"/>
    <w:rsid w:val="007179AE"/>
    <w:rsid w:val="0072158F"/>
    <w:rsid w:val="00721771"/>
    <w:rsid w:val="00722AA1"/>
    <w:rsid w:val="0072306B"/>
    <w:rsid w:val="00725C12"/>
    <w:rsid w:val="00734BE3"/>
    <w:rsid w:val="00737B06"/>
    <w:rsid w:val="007400B1"/>
    <w:rsid w:val="0074324E"/>
    <w:rsid w:val="00750ED5"/>
    <w:rsid w:val="00753531"/>
    <w:rsid w:val="00757AED"/>
    <w:rsid w:val="00760922"/>
    <w:rsid w:val="007614ED"/>
    <w:rsid w:val="00764B63"/>
    <w:rsid w:val="00766B69"/>
    <w:rsid w:val="00766FBC"/>
    <w:rsid w:val="0077038F"/>
    <w:rsid w:val="007745DE"/>
    <w:rsid w:val="00775F3B"/>
    <w:rsid w:val="0077664E"/>
    <w:rsid w:val="00776711"/>
    <w:rsid w:val="00777203"/>
    <w:rsid w:val="00786B12"/>
    <w:rsid w:val="00790FFD"/>
    <w:rsid w:val="00791BE6"/>
    <w:rsid w:val="007934F2"/>
    <w:rsid w:val="00793B77"/>
    <w:rsid w:val="00795D1A"/>
    <w:rsid w:val="00796083"/>
    <w:rsid w:val="00796D60"/>
    <w:rsid w:val="007978F1"/>
    <w:rsid w:val="00797DA5"/>
    <w:rsid w:val="007A0E48"/>
    <w:rsid w:val="007A2735"/>
    <w:rsid w:val="007A3A20"/>
    <w:rsid w:val="007A4982"/>
    <w:rsid w:val="007A4C3C"/>
    <w:rsid w:val="007A5BB2"/>
    <w:rsid w:val="007A6BA7"/>
    <w:rsid w:val="007A70EB"/>
    <w:rsid w:val="007A78B6"/>
    <w:rsid w:val="007A7A2E"/>
    <w:rsid w:val="007B3DB2"/>
    <w:rsid w:val="007B43BB"/>
    <w:rsid w:val="007B4B80"/>
    <w:rsid w:val="007B604C"/>
    <w:rsid w:val="007B6872"/>
    <w:rsid w:val="007B7B34"/>
    <w:rsid w:val="007C015C"/>
    <w:rsid w:val="007C090A"/>
    <w:rsid w:val="007C37FF"/>
    <w:rsid w:val="007C68AF"/>
    <w:rsid w:val="007D1819"/>
    <w:rsid w:val="007D2649"/>
    <w:rsid w:val="007D32BF"/>
    <w:rsid w:val="007D4601"/>
    <w:rsid w:val="007D4C76"/>
    <w:rsid w:val="007D56EF"/>
    <w:rsid w:val="007D5EE9"/>
    <w:rsid w:val="007E1585"/>
    <w:rsid w:val="007E1C1B"/>
    <w:rsid w:val="007E3ACE"/>
    <w:rsid w:val="007E3B49"/>
    <w:rsid w:val="007E5713"/>
    <w:rsid w:val="007F25EC"/>
    <w:rsid w:val="007F40A3"/>
    <w:rsid w:val="007F42D0"/>
    <w:rsid w:val="007F42F0"/>
    <w:rsid w:val="007F5E89"/>
    <w:rsid w:val="007F730C"/>
    <w:rsid w:val="007F78A5"/>
    <w:rsid w:val="008002E0"/>
    <w:rsid w:val="00802DB4"/>
    <w:rsid w:val="00802ED4"/>
    <w:rsid w:val="008072D6"/>
    <w:rsid w:val="008111E5"/>
    <w:rsid w:val="00811FC2"/>
    <w:rsid w:val="008122C6"/>
    <w:rsid w:val="00812644"/>
    <w:rsid w:val="0081339C"/>
    <w:rsid w:val="008156EC"/>
    <w:rsid w:val="0081583C"/>
    <w:rsid w:val="00821558"/>
    <w:rsid w:val="00826A92"/>
    <w:rsid w:val="00826F3F"/>
    <w:rsid w:val="00830011"/>
    <w:rsid w:val="00831E03"/>
    <w:rsid w:val="00832B80"/>
    <w:rsid w:val="008352F1"/>
    <w:rsid w:val="00835A7F"/>
    <w:rsid w:val="008367B0"/>
    <w:rsid w:val="008409E8"/>
    <w:rsid w:val="00842716"/>
    <w:rsid w:val="008441B9"/>
    <w:rsid w:val="0085053E"/>
    <w:rsid w:val="00852F0A"/>
    <w:rsid w:val="00854860"/>
    <w:rsid w:val="00855CAD"/>
    <w:rsid w:val="008574BD"/>
    <w:rsid w:val="008577EF"/>
    <w:rsid w:val="00861A2F"/>
    <w:rsid w:val="00861DB4"/>
    <w:rsid w:val="00862590"/>
    <w:rsid w:val="0086385A"/>
    <w:rsid w:val="00863C6E"/>
    <w:rsid w:val="008669D2"/>
    <w:rsid w:val="008677E4"/>
    <w:rsid w:val="00870053"/>
    <w:rsid w:val="00870A85"/>
    <w:rsid w:val="0087197E"/>
    <w:rsid w:val="0087291D"/>
    <w:rsid w:val="00872EA4"/>
    <w:rsid w:val="008740DF"/>
    <w:rsid w:val="008742D7"/>
    <w:rsid w:val="008756E9"/>
    <w:rsid w:val="00875F5D"/>
    <w:rsid w:val="00876B72"/>
    <w:rsid w:val="00877430"/>
    <w:rsid w:val="00877F0F"/>
    <w:rsid w:val="0088019D"/>
    <w:rsid w:val="008802FD"/>
    <w:rsid w:val="00880C89"/>
    <w:rsid w:val="008853EF"/>
    <w:rsid w:val="00885D33"/>
    <w:rsid w:val="00885E08"/>
    <w:rsid w:val="008873D6"/>
    <w:rsid w:val="00890CF7"/>
    <w:rsid w:val="00891BC2"/>
    <w:rsid w:val="00893E7E"/>
    <w:rsid w:val="008953DE"/>
    <w:rsid w:val="00896D72"/>
    <w:rsid w:val="00897128"/>
    <w:rsid w:val="008A1635"/>
    <w:rsid w:val="008A2116"/>
    <w:rsid w:val="008A32F7"/>
    <w:rsid w:val="008A3823"/>
    <w:rsid w:val="008A485D"/>
    <w:rsid w:val="008A661F"/>
    <w:rsid w:val="008A6C18"/>
    <w:rsid w:val="008A77C7"/>
    <w:rsid w:val="008B46D7"/>
    <w:rsid w:val="008C1751"/>
    <w:rsid w:val="008C3F1A"/>
    <w:rsid w:val="008D1297"/>
    <w:rsid w:val="008D52B7"/>
    <w:rsid w:val="008D69C7"/>
    <w:rsid w:val="008D75BE"/>
    <w:rsid w:val="008E2018"/>
    <w:rsid w:val="008E399D"/>
    <w:rsid w:val="008E40EA"/>
    <w:rsid w:val="008E6915"/>
    <w:rsid w:val="008E718E"/>
    <w:rsid w:val="008F6068"/>
    <w:rsid w:val="008F6B50"/>
    <w:rsid w:val="008F6F68"/>
    <w:rsid w:val="009026F4"/>
    <w:rsid w:val="00912B83"/>
    <w:rsid w:val="00912D3C"/>
    <w:rsid w:val="0091617B"/>
    <w:rsid w:val="00916DF1"/>
    <w:rsid w:val="00917DC3"/>
    <w:rsid w:val="00924029"/>
    <w:rsid w:val="00930B92"/>
    <w:rsid w:val="00930EB6"/>
    <w:rsid w:val="009329EE"/>
    <w:rsid w:val="009330A9"/>
    <w:rsid w:val="0093385A"/>
    <w:rsid w:val="00934CBB"/>
    <w:rsid w:val="00937846"/>
    <w:rsid w:val="009404AC"/>
    <w:rsid w:val="00940EE7"/>
    <w:rsid w:val="0094205D"/>
    <w:rsid w:val="00943C91"/>
    <w:rsid w:val="0094455F"/>
    <w:rsid w:val="00947CFF"/>
    <w:rsid w:val="009522A4"/>
    <w:rsid w:val="00953735"/>
    <w:rsid w:val="0095438A"/>
    <w:rsid w:val="009554F6"/>
    <w:rsid w:val="00960FCF"/>
    <w:rsid w:val="0096417E"/>
    <w:rsid w:val="00965FD2"/>
    <w:rsid w:val="00966523"/>
    <w:rsid w:val="00967BE7"/>
    <w:rsid w:val="00970053"/>
    <w:rsid w:val="0097383C"/>
    <w:rsid w:val="009801B5"/>
    <w:rsid w:val="0098026F"/>
    <w:rsid w:val="0098094B"/>
    <w:rsid w:val="009814DB"/>
    <w:rsid w:val="00983AFE"/>
    <w:rsid w:val="00983EEA"/>
    <w:rsid w:val="009848E9"/>
    <w:rsid w:val="00985852"/>
    <w:rsid w:val="00986C25"/>
    <w:rsid w:val="009874B6"/>
    <w:rsid w:val="00992C87"/>
    <w:rsid w:val="009A5741"/>
    <w:rsid w:val="009A6F70"/>
    <w:rsid w:val="009A77AE"/>
    <w:rsid w:val="009A7EE9"/>
    <w:rsid w:val="009B03B4"/>
    <w:rsid w:val="009B151C"/>
    <w:rsid w:val="009B1C76"/>
    <w:rsid w:val="009B5CAC"/>
    <w:rsid w:val="009B5F60"/>
    <w:rsid w:val="009C2A02"/>
    <w:rsid w:val="009C5345"/>
    <w:rsid w:val="009C73E8"/>
    <w:rsid w:val="009D0DAB"/>
    <w:rsid w:val="009D1D3A"/>
    <w:rsid w:val="009D4CCC"/>
    <w:rsid w:val="009D62D3"/>
    <w:rsid w:val="009D79AC"/>
    <w:rsid w:val="009E33BA"/>
    <w:rsid w:val="009F3A9A"/>
    <w:rsid w:val="009F5282"/>
    <w:rsid w:val="009F59BE"/>
    <w:rsid w:val="00A002B7"/>
    <w:rsid w:val="00A01380"/>
    <w:rsid w:val="00A031CA"/>
    <w:rsid w:val="00A07CB1"/>
    <w:rsid w:val="00A1323E"/>
    <w:rsid w:val="00A1407D"/>
    <w:rsid w:val="00A1530D"/>
    <w:rsid w:val="00A2216E"/>
    <w:rsid w:val="00A242D3"/>
    <w:rsid w:val="00A25DE2"/>
    <w:rsid w:val="00A271FB"/>
    <w:rsid w:val="00A3782F"/>
    <w:rsid w:val="00A40833"/>
    <w:rsid w:val="00A41B8A"/>
    <w:rsid w:val="00A41F82"/>
    <w:rsid w:val="00A4246C"/>
    <w:rsid w:val="00A46942"/>
    <w:rsid w:val="00A50663"/>
    <w:rsid w:val="00A514E4"/>
    <w:rsid w:val="00A5193E"/>
    <w:rsid w:val="00A52250"/>
    <w:rsid w:val="00A53A3D"/>
    <w:rsid w:val="00A55BC6"/>
    <w:rsid w:val="00A55C30"/>
    <w:rsid w:val="00A56966"/>
    <w:rsid w:val="00A56A91"/>
    <w:rsid w:val="00A56F37"/>
    <w:rsid w:val="00A61480"/>
    <w:rsid w:val="00A63ABC"/>
    <w:rsid w:val="00A64FE1"/>
    <w:rsid w:val="00A64FF1"/>
    <w:rsid w:val="00A66300"/>
    <w:rsid w:val="00A67E0B"/>
    <w:rsid w:val="00A735F4"/>
    <w:rsid w:val="00A81C2D"/>
    <w:rsid w:val="00A8212E"/>
    <w:rsid w:val="00A82696"/>
    <w:rsid w:val="00A90770"/>
    <w:rsid w:val="00A90894"/>
    <w:rsid w:val="00A920E1"/>
    <w:rsid w:val="00A9256A"/>
    <w:rsid w:val="00A94F8A"/>
    <w:rsid w:val="00A9666B"/>
    <w:rsid w:val="00A96C84"/>
    <w:rsid w:val="00AA086B"/>
    <w:rsid w:val="00AA1D90"/>
    <w:rsid w:val="00AA2DEB"/>
    <w:rsid w:val="00AA2F59"/>
    <w:rsid w:val="00AA4A7F"/>
    <w:rsid w:val="00AA709F"/>
    <w:rsid w:val="00AA7322"/>
    <w:rsid w:val="00AA7F90"/>
    <w:rsid w:val="00AB16B5"/>
    <w:rsid w:val="00AB1A6D"/>
    <w:rsid w:val="00AB595D"/>
    <w:rsid w:val="00AC0496"/>
    <w:rsid w:val="00AC4A6B"/>
    <w:rsid w:val="00AC63E1"/>
    <w:rsid w:val="00AC7102"/>
    <w:rsid w:val="00AC75F5"/>
    <w:rsid w:val="00AD4A11"/>
    <w:rsid w:val="00AD4B3D"/>
    <w:rsid w:val="00AD7470"/>
    <w:rsid w:val="00AE0575"/>
    <w:rsid w:val="00AE06C7"/>
    <w:rsid w:val="00AE33B0"/>
    <w:rsid w:val="00AE4014"/>
    <w:rsid w:val="00AE4F85"/>
    <w:rsid w:val="00AE509E"/>
    <w:rsid w:val="00AE5101"/>
    <w:rsid w:val="00AE5871"/>
    <w:rsid w:val="00AE7857"/>
    <w:rsid w:val="00AF2020"/>
    <w:rsid w:val="00AF59B5"/>
    <w:rsid w:val="00AF5DE3"/>
    <w:rsid w:val="00AF69CE"/>
    <w:rsid w:val="00B00A19"/>
    <w:rsid w:val="00B01E7A"/>
    <w:rsid w:val="00B021C7"/>
    <w:rsid w:val="00B0301C"/>
    <w:rsid w:val="00B04FEF"/>
    <w:rsid w:val="00B06016"/>
    <w:rsid w:val="00B06C3E"/>
    <w:rsid w:val="00B10067"/>
    <w:rsid w:val="00B11874"/>
    <w:rsid w:val="00B11B5D"/>
    <w:rsid w:val="00B11E22"/>
    <w:rsid w:val="00B12404"/>
    <w:rsid w:val="00B12CB5"/>
    <w:rsid w:val="00B13DF5"/>
    <w:rsid w:val="00B1424C"/>
    <w:rsid w:val="00B15F37"/>
    <w:rsid w:val="00B15FB7"/>
    <w:rsid w:val="00B16593"/>
    <w:rsid w:val="00B16B7E"/>
    <w:rsid w:val="00B174EF"/>
    <w:rsid w:val="00B202E9"/>
    <w:rsid w:val="00B235D3"/>
    <w:rsid w:val="00B25F08"/>
    <w:rsid w:val="00B300BD"/>
    <w:rsid w:val="00B309A5"/>
    <w:rsid w:val="00B30FEF"/>
    <w:rsid w:val="00B31AD8"/>
    <w:rsid w:val="00B31B0B"/>
    <w:rsid w:val="00B31BF7"/>
    <w:rsid w:val="00B35305"/>
    <w:rsid w:val="00B35778"/>
    <w:rsid w:val="00B376BC"/>
    <w:rsid w:val="00B379B9"/>
    <w:rsid w:val="00B401D3"/>
    <w:rsid w:val="00B40893"/>
    <w:rsid w:val="00B452FF"/>
    <w:rsid w:val="00B46E59"/>
    <w:rsid w:val="00B47655"/>
    <w:rsid w:val="00B51285"/>
    <w:rsid w:val="00B52116"/>
    <w:rsid w:val="00B525FE"/>
    <w:rsid w:val="00B54B06"/>
    <w:rsid w:val="00B57099"/>
    <w:rsid w:val="00B620E2"/>
    <w:rsid w:val="00B63386"/>
    <w:rsid w:val="00B65072"/>
    <w:rsid w:val="00B66D82"/>
    <w:rsid w:val="00B6708F"/>
    <w:rsid w:val="00B70000"/>
    <w:rsid w:val="00B7228D"/>
    <w:rsid w:val="00B7437E"/>
    <w:rsid w:val="00B75EE0"/>
    <w:rsid w:val="00B77470"/>
    <w:rsid w:val="00B82B73"/>
    <w:rsid w:val="00B84F25"/>
    <w:rsid w:val="00B93900"/>
    <w:rsid w:val="00B95478"/>
    <w:rsid w:val="00B960C8"/>
    <w:rsid w:val="00BA1E6F"/>
    <w:rsid w:val="00BA3C7C"/>
    <w:rsid w:val="00BA4505"/>
    <w:rsid w:val="00BB635D"/>
    <w:rsid w:val="00BB66A1"/>
    <w:rsid w:val="00BC0ACD"/>
    <w:rsid w:val="00BC1306"/>
    <w:rsid w:val="00BC1556"/>
    <w:rsid w:val="00BC158F"/>
    <w:rsid w:val="00BC2A41"/>
    <w:rsid w:val="00BC3AC4"/>
    <w:rsid w:val="00BC59B3"/>
    <w:rsid w:val="00BC6A89"/>
    <w:rsid w:val="00BD136D"/>
    <w:rsid w:val="00BD17B9"/>
    <w:rsid w:val="00BD3415"/>
    <w:rsid w:val="00BD3BF1"/>
    <w:rsid w:val="00BF089E"/>
    <w:rsid w:val="00BF2F4B"/>
    <w:rsid w:val="00C05C56"/>
    <w:rsid w:val="00C07549"/>
    <w:rsid w:val="00C07D01"/>
    <w:rsid w:val="00C105FD"/>
    <w:rsid w:val="00C12B16"/>
    <w:rsid w:val="00C148B2"/>
    <w:rsid w:val="00C215BB"/>
    <w:rsid w:val="00C2273D"/>
    <w:rsid w:val="00C22A38"/>
    <w:rsid w:val="00C22F67"/>
    <w:rsid w:val="00C239A6"/>
    <w:rsid w:val="00C25EE8"/>
    <w:rsid w:val="00C26B24"/>
    <w:rsid w:val="00C31905"/>
    <w:rsid w:val="00C31D36"/>
    <w:rsid w:val="00C33DB6"/>
    <w:rsid w:val="00C35371"/>
    <w:rsid w:val="00C37416"/>
    <w:rsid w:val="00C41B4D"/>
    <w:rsid w:val="00C453B3"/>
    <w:rsid w:val="00C45693"/>
    <w:rsid w:val="00C46C6D"/>
    <w:rsid w:val="00C4744D"/>
    <w:rsid w:val="00C47A2F"/>
    <w:rsid w:val="00C50570"/>
    <w:rsid w:val="00C50787"/>
    <w:rsid w:val="00C520EC"/>
    <w:rsid w:val="00C5471C"/>
    <w:rsid w:val="00C55DE2"/>
    <w:rsid w:val="00C6005C"/>
    <w:rsid w:val="00C60693"/>
    <w:rsid w:val="00C61E4C"/>
    <w:rsid w:val="00C639F0"/>
    <w:rsid w:val="00C63B63"/>
    <w:rsid w:val="00C73BE6"/>
    <w:rsid w:val="00C7416E"/>
    <w:rsid w:val="00C775C9"/>
    <w:rsid w:val="00C8181F"/>
    <w:rsid w:val="00C84342"/>
    <w:rsid w:val="00C8539F"/>
    <w:rsid w:val="00C87ED7"/>
    <w:rsid w:val="00C9172F"/>
    <w:rsid w:val="00C923A0"/>
    <w:rsid w:val="00C93A30"/>
    <w:rsid w:val="00C93DF0"/>
    <w:rsid w:val="00C9486D"/>
    <w:rsid w:val="00C95599"/>
    <w:rsid w:val="00C95866"/>
    <w:rsid w:val="00C96C88"/>
    <w:rsid w:val="00C979CF"/>
    <w:rsid w:val="00CA00C9"/>
    <w:rsid w:val="00CA4B50"/>
    <w:rsid w:val="00CA69B6"/>
    <w:rsid w:val="00CA7EB5"/>
    <w:rsid w:val="00CB00DD"/>
    <w:rsid w:val="00CB1C39"/>
    <w:rsid w:val="00CB323A"/>
    <w:rsid w:val="00CB4C77"/>
    <w:rsid w:val="00CB54E5"/>
    <w:rsid w:val="00CB69D9"/>
    <w:rsid w:val="00CB6A77"/>
    <w:rsid w:val="00CB742C"/>
    <w:rsid w:val="00CC35D6"/>
    <w:rsid w:val="00CC3AC0"/>
    <w:rsid w:val="00CC4A65"/>
    <w:rsid w:val="00CD1A27"/>
    <w:rsid w:val="00CD37A6"/>
    <w:rsid w:val="00CD3BD9"/>
    <w:rsid w:val="00CD4594"/>
    <w:rsid w:val="00CD60B1"/>
    <w:rsid w:val="00CD7BE5"/>
    <w:rsid w:val="00CE09B9"/>
    <w:rsid w:val="00CE3B0C"/>
    <w:rsid w:val="00CE4E56"/>
    <w:rsid w:val="00CE6531"/>
    <w:rsid w:val="00CF005D"/>
    <w:rsid w:val="00CF12B4"/>
    <w:rsid w:val="00CF2483"/>
    <w:rsid w:val="00CF3D1D"/>
    <w:rsid w:val="00CF430F"/>
    <w:rsid w:val="00CF7C87"/>
    <w:rsid w:val="00D006D7"/>
    <w:rsid w:val="00D06029"/>
    <w:rsid w:val="00D07439"/>
    <w:rsid w:val="00D10730"/>
    <w:rsid w:val="00D128CB"/>
    <w:rsid w:val="00D13146"/>
    <w:rsid w:val="00D16E0E"/>
    <w:rsid w:val="00D17572"/>
    <w:rsid w:val="00D17AB2"/>
    <w:rsid w:val="00D17D05"/>
    <w:rsid w:val="00D21945"/>
    <w:rsid w:val="00D22D30"/>
    <w:rsid w:val="00D315E9"/>
    <w:rsid w:val="00D31706"/>
    <w:rsid w:val="00D42BE3"/>
    <w:rsid w:val="00D461B4"/>
    <w:rsid w:val="00D47772"/>
    <w:rsid w:val="00D50829"/>
    <w:rsid w:val="00D53378"/>
    <w:rsid w:val="00D538F9"/>
    <w:rsid w:val="00D5403C"/>
    <w:rsid w:val="00D545DA"/>
    <w:rsid w:val="00D55677"/>
    <w:rsid w:val="00D610C4"/>
    <w:rsid w:val="00D62E07"/>
    <w:rsid w:val="00D6599F"/>
    <w:rsid w:val="00D67030"/>
    <w:rsid w:val="00D72F9B"/>
    <w:rsid w:val="00D7557C"/>
    <w:rsid w:val="00D82180"/>
    <w:rsid w:val="00D84719"/>
    <w:rsid w:val="00D851D0"/>
    <w:rsid w:val="00D85A57"/>
    <w:rsid w:val="00D87A7E"/>
    <w:rsid w:val="00D908E1"/>
    <w:rsid w:val="00D90BA9"/>
    <w:rsid w:val="00D91DA5"/>
    <w:rsid w:val="00D920DE"/>
    <w:rsid w:val="00DA029C"/>
    <w:rsid w:val="00DA0672"/>
    <w:rsid w:val="00DA452D"/>
    <w:rsid w:val="00DA7130"/>
    <w:rsid w:val="00DB52E4"/>
    <w:rsid w:val="00DB6137"/>
    <w:rsid w:val="00DB7050"/>
    <w:rsid w:val="00DB7698"/>
    <w:rsid w:val="00DB7B44"/>
    <w:rsid w:val="00DC0712"/>
    <w:rsid w:val="00DD0905"/>
    <w:rsid w:val="00DD24BD"/>
    <w:rsid w:val="00DD556E"/>
    <w:rsid w:val="00DE7139"/>
    <w:rsid w:val="00DF11A2"/>
    <w:rsid w:val="00DF2325"/>
    <w:rsid w:val="00DF2493"/>
    <w:rsid w:val="00DF31A9"/>
    <w:rsid w:val="00DF3853"/>
    <w:rsid w:val="00E01856"/>
    <w:rsid w:val="00E02D83"/>
    <w:rsid w:val="00E048B4"/>
    <w:rsid w:val="00E0593A"/>
    <w:rsid w:val="00E06700"/>
    <w:rsid w:val="00E07696"/>
    <w:rsid w:val="00E10B24"/>
    <w:rsid w:val="00E1321E"/>
    <w:rsid w:val="00E14812"/>
    <w:rsid w:val="00E17029"/>
    <w:rsid w:val="00E17661"/>
    <w:rsid w:val="00E17A7A"/>
    <w:rsid w:val="00E32EF3"/>
    <w:rsid w:val="00E33257"/>
    <w:rsid w:val="00E3427B"/>
    <w:rsid w:val="00E34394"/>
    <w:rsid w:val="00E346FA"/>
    <w:rsid w:val="00E34AC2"/>
    <w:rsid w:val="00E35164"/>
    <w:rsid w:val="00E353DD"/>
    <w:rsid w:val="00E36429"/>
    <w:rsid w:val="00E3720F"/>
    <w:rsid w:val="00E4275E"/>
    <w:rsid w:val="00E42D68"/>
    <w:rsid w:val="00E43E1F"/>
    <w:rsid w:val="00E44935"/>
    <w:rsid w:val="00E44A2F"/>
    <w:rsid w:val="00E47063"/>
    <w:rsid w:val="00E47D5F"/>
    <w:rsid w:val="00E5396B"/>
    <w:rsid w:val="00E5407B"/>
    <w:rsid w:val="00E5686C"/>
    <w:rsid w:val="00E568F0"/>
    <w:rsid w:val="00E616D6"/>
    <w:rsid w:val="00E62DF5"/>
    <w:rsid w:val="00E651DF"/>
    <w:rsid w:val="00E6705D"/>
    <w:rsid w:val="00E7455F"/>
    <w:rsid w:val="00E765F7"/>
    <w:rsid w:val="00E80C45"/>
    <w:rsid w:val="00E81B50"/>
    <w:rsid w:val="00E826A0"/>
    <w:rsid w:val="00E83622"/>
    <w:rsid w:val="00E83B90"/>
    <w:rsid w:val="00E879C0"/>
    <w:rsid w:val="00E9004A"/>
    <w:rsid w:val="00E92E3B"/>
    <w:rsid w:val="00E944C7"/>
    <w:rsid w:val="00E94FE2"/>
    <w:rsid w:val="00E95C4A"/>
    <w:rsid w:val="00E95F11"/>
    <w:rsid w:val="00E96784"/>
    <w:rsid w:val="00E96A8D"/>
    <w:rsid w:val="00EA00EB"/>
    <w:rsid w:val="00EA2098"/>
    <w:rsid w:val="00EA3DC5"/>
    <w:rsid w:val="00EA3FB9"/>
    <w:rsid w:val="00EA506C"/>
    <w:rsid w:val="00EB0819"/>
    <w:rsid w:val="00EB5AB5"/>
    <w:rsid w:val="00EB7090"/>
    <w:rsid w:val="00EC0632"/>
    <w:rsid w:val="00EC5E0B"/>
    <w:rsid w:val="00EC6A12"/>
    <w:rsid w:val="00ED08A4"/>
    <w:rsid w:val="00ED21FB"/>
    <w:rsid w:val="00ED4268"/>
    <w:rsid w:val="00EE0B39"/>
    <w:rsid w:val="00EE14AA"/>
    <w:rsid w:val="00EE3E8F"/>
    <w:rsid w:val="00EE583D"/>
    <w:rsid w:val="00EE5FC3"/>
    <w:rsid w:val="00EF010F"/>
    <w:rsid w:val="00EF09E8"/>
    <w:rsid w:val="00EF3E85"/>
    <w:rsid w:val="00EF59F2"/>
    <w:rsid w:val="00F0003E"/>
    <w:rsid w:val="00F01B41"/>
    <w:rsid w:val="00F02C6E"/>
    <w:rsid w:val="00F02D24"/>
    <w:rsid w:val="00F0382B"/>
    <w:rsid w:val="00F03E51"/>
    <w:rsid w:val="00F05640"/>
    <w:rsid w:val="00F07A15"/>
    <w:rsid w:val="00F10858"/>
    <w:rsid w:val="00F12338"/>
    <w:rsid w:val="00F12686"/>
    <w:rsid w:val="00F13C95"/>
    <w:rsid w:val="00F161C1"/>
    <w:rsid w:val="00F208C7"/>
    <w:rsid w:val="00F20E69"/>
    <w:rsid w:val="00F23AEC"/>
    <w:rsid w:val="00F30071"/>
    <w:rsid w:val="00F3416D"/>
    <w:rsid w:val="00F37478"/>
    <w:rsid w:val="00F4075E"/>
    <w:rsid w:val="00F437B6"/>
    <w:rsid w:val="00F43BCF"/>
    <w:rsid w:val="00F46DA1"/>
    <w:rsid w:val="00F547DA"/>
    <w:rsid w:val="00F60D14"/>
    <w:rsid w:val="00F618D3"/>
    <w:rsid w:val="00F619AE"/>
    <w:rsid w:val="00F61EB5"/>
    <w:rsid w:val="00F6403A"/>
    <w:rsid w:val="00F66DFC"/>
    <w:rsid w:val="00F7085D"/>
    <w:rsid w:val="00F70B61"/>
    <w:rsid w:val="00F73F00"/>
    <w:rsid w:val="00F7466B"/>
    <w:rsid w:val="00F74EE8"/>
    <w:rsid w:val="00F75FD2"/>
    <w:rsid w:val="00F80490"/>
    <w:rsid w:val="00F80AC0"/>
    <w:rsid w:val="00F844C1"/>
    <w:rsid w:val="00F8713D"/>
    <w:rsid w:val="00F8744E"/>
    <w:rsid w:val="00F87EB5"/>
    <w:rsid w:val="00F9021B"/>
    <w:rsid w:val="00F91BF1"/>
    <w:rsid w:val="00F91D7C"/>
    <w:rsid w:val="00F91E00"/>
    <w:rsid w:val="00F9657E"/>
    <w:rsid w:val="00F97464"/>
    <w:rsid w:val="00FA3FB5"/>
    <w:rsid w:val="00FB02D8"/>
    <w:rsid w:val="00FB0633"/>
    <w:rsid w:val="00FB0D36"/>
    <w:rsid w:val="00FB7000"/>
    <w:rsid w:val="00FC654C"/>
    <w:rsid w:val="00FC68D5"/>
    <w:rsid w:val="00FC75CF"/>
    <w:rsid w:val="00FC76AF"/>
    <w:rsid w:val="00FC7BE8"/>
    <w:rsid w:val="00FD145E"/>
    <w:rsid w:val="00FD1DD3"/>
    <w:rsid w:val="00FD4136"/>
    <w:rsid w:val="00FD55C0"/>
    <w:rsid w:val="00FD63C5"/>
    <w:rsid w:val="00FD6D3A"/>
    <w:rsid w:val="00FE1E30"/>
    <w:rsid w:val="00FE7499"/>
    <w:rsid w:val="00FF0617"/>
    <w:rsid w:val="00FF2CDD"/>
    <w:rsid w:val="00FF415F"/>
    <w:rsid w:val="00FF4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2BEC61"/>
  <w15:docId w15:val="{6AD1714E-54C9-4F37-8D1D-DEDD7039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D7BE5"/>
    <w:rPr>
      <w:rFonts w:ascii="Times New Roman" w:hAnsi="Times New Roman"/>
      <w:sz w:val="24"/>
      <w:lang w:val="lt-LT"/>
    </w:rPr>
  </w:style>
  <w:style w:type="paragraph" w:styleId="Antrat1">
    <w:name w:val="heading 1"/>
    <w:basedOn w:val="prastasis"/>
    <w:next w:val="prastasis"/>
    <w:link w:val="Antrat1Diagrama"/>
    <w:uiPriority w:val="9"/>
    <w:qFormat/>
    <w:rsid w:val="00380745"/>
    <w:pPr>
      <w:keepNext/>
      <w:keepLines/>
      <w:spacing w:before="480" w:after="0" w:line="240" w:lineRule="auto"/>
      <w:ind w:firstLine="851"/>
      <w:jc w:val="both"/>
      <w:outlineLvl w:val="0"/>
    </w:pPr>
    <w:rPr>
      <w:rFonts w:eastAsiaTheme="majorEastAsia" w:cstheme="majorBidi"/>
      <w:b/>
      <w:bCs/>
      <w:caps/>
      <w:color w:val="000000" w:themeColor="text1"/>
      <w:szCs w:val="28"/>
    </w:rPr>
  </w:style>
  <w:style w:type="paragraph" w:styleId="Antrat2">
    <w:name w:val="heading 2"/>
    <w:basedOn w:val="prastasis"/>
    <w:next w:val="prastasis"/>
    <w:link w:val="Antrat2Diagrama"/>
    <w:uiPriority w:val="9"/>
    <w:unhideWhenUsed/>
    <w:qFormat/>
    <w:rsid w:val="00863C6E"/>
    <w:pPr>
      <w:keepNext/>
      <w:keepLines/>
      <w:spacing w:before="200" w:after="0"/>
      <w:jc w:val="center"/>
      <w:outlineLvl w:val="1"/>
    </w:pPr>
    <w:rPr>
      <w:rFonts w:eastAsiaTheme="majorEastAsia" w:cstheme="majorBidi"/>
      <w:b/>
      <w:bCs/>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380745"/>
    <w:rPr>
      <w:rFonts w:ascii="Times New Roman" w:eastAsiaTheme="majorEastAsia" w:hAnsi="Times New Roman" w:cstheme="majorBidi"/>
      <w:b/>
      <w:bCs/>
      <w:caps/>
      <w:color w:val="000000" w:themeColor="text1"/>
      <w:sz w:val="24"/>
      <w:szCs w:val="28"/>
      <w:lang w:val="lt-LT"/>
    </w:rPr>
  </w:style>
  <w:style w:type="paragraph" w:styleId="Debesliotekstas">
    <w:name w:val="Balloon Text"/>
    <w:basedOn w:val="prastasis"/>
    <w:link w:val="DebesliotekstasDiagrama"/>
    <w:uiPriority w:val="99"/>
    <w:semiHidden/>
    <w:unhideWhenUsed/>
    <w:rsid w:val="00912D3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12D3C"/>
    <w:rPr>
      <w:rFonts w:ascii="Tahoma" w:hAnsi="Tahoma" w:cs="Tahoma"/>
      <w:sz w:val="16"/>
      <w:szCs w:val="16"/>
      <w:lang w:val="lt-LT"/>
    </w:rPr>
  </w:style>
  <w:style w:type="paragraph" w:styleId="Betarp">
    <w:name w:val="No Spacing"/>
    <w:aliases w:val="ĮVADAS"/>
    <w:uiPriority w:val="1"/>
    <w:qFormat/>
    <w:rsid w:val="00912D3C"/>
    <w:pPr>
      <w:spacing w:before="240" w:after="240" w:line="240" w:lineRule="auto"/>
      <w:jc w:val="center"/>
    </w:pPr>
    <w:rPr>
      <w:rFonts w:ascii="Times New Roman" w:hAnsi="Times New Roman"/>
      <w:caps/>
      <w:sz w:val="24"/>
    </w:rPr>
  </w:style>
  <w:style w:type="paragraph" w:styleId="Sraopastraipa">
    <w:name w:val="List Paragraph"/>
    <w:basedOn w:val="prastasis"/>
    <w:uiPriority w:val="34"/>
    <w:qFormat/>
    <w:rsid w:val="00863C6E"/>
    <w:pPr>
      <w:ind w:left="720"/>
      <w:contextualSpacing/>
    </w:pPr>
  </w:style>
  <w:style w:type="character" w:customStyle="1" w:styleId="Antrat2Diagrama">
    <w:name w:val="Antraštė 2 Diagrama"/>
    <w:basedOn w:val="Numatytasispastraiposriftas"/>
    <w:link w:val="Antrat2"/>
    <w:uiPriority w:val="9"/>
    <w:rsid w:val="00863C6E"/>
    <w:rPr>
      <w:rFonts w:ascii="Times New Roman" w:eastAsiaTheme="majorEastAsia" w:hAnsi="Times New Roman" w:cstheme="majorBidi"/>
      <w:b/>
      <w:bCs/>
      <w:sz w:val="24"/>
      <w:szCs w:val="26"/>
      <w:lang w:val="lt-LT"/>
    </w:rPr>
  </w:style>
  <w:style w:type="table" w:customStyle="1" w:styleId="4tinkleliolentel3parykinimas1">
    <w:name w:val="4 tinklelio lentelė – 3 paryškinimas1"/>
    <w:basedOn w:val="prastojilentel"/>
    <w:uiPriority w:val="49"/>
    <w:rsid w:val="00863C6E"/>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ng-binding">
    <w:name w:val="ng-binding"/>
    <w:basedOn w:val="prastasis"/>
    <w:rsid w:val="00D610C4"/>
    <w:pPr>
      <w:spacing w:before="100" w:beforeAutospacing="1" w:after="100" w:afterAutospacing="1" w:line="240" w:lineRule="auto"/>
    </w:pPr>
    <w:rPr>
      <w:rFonts w:eastAsia="Times New Roman" w:cs="Times New Roman"/>
      <w:szCs w:val="24"/>
      <w:lang w:eastAsia="lt-LT"/>
    </w:rPr>
  </w:style>
  <w:style w:type="table" w:styleId="Lentelstinklelis">
    <w:name w:val="Table Grid"/>
    <w:basedOn w:val="prastojilentel"/>
    <w:uiPriority w:val="59"/>
    <w:rsid w:val="00B31BF7"/>
    <w:pPr>
      <w:spacing w:after="0" w:line="240" w:lineRule="auto"/>
    </w:pPr>
    <w:rPr>
      <w:rFonts w:ascii="Times New Roman" w:hAnsi="Times New Roman" w:cs="Times New Roman"/>
      <w:sz w:val="24"/>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7673"/>
    <w:pPr>
      <w:autoSpaceDE w:val="0"/>
      <w:autoSpaceDN w:val="0"/>
      <w:adjustRightInd w:val="0"/>
      <w:spacing w:after="0" w:line="240" w:lineRule="auto"/>
    </w:pPr>
    <w:rPr>
      <w:rFonts w:ascii="Times New Roman" w:hAnsi="Times New Roman" w:cs="Times New Roman"/>
      <w:color w:val="000000"/>
      <w:sz w:val="24"/>
      <w:szCs w:val="24"/>
    </w:rPr>
  </w:style>
  <w:style w:type="paragraph" w:styleId="Antrats">
    <w:name w:val="header"/>
    <w:basedOn w:val="prastasis"/>
    <w:link w:val="AntratsDiagrama"/>
    <w:uiPriority w:val="99"/>
    <w:unhideWhenUsed/>
    <w:rsid w:val="00934CBB"/>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934CBB"/>
    <w:rPr>
      <w:rFonts w:ascii="Times New Roman" w:hAnsi="Times New Roman"/>
      <w:sz w:val="24"/>
      <w:lang w:val="lt-LT"/>
    </w:rPr>
  </w:style>
  <w:style w:type="paragraph" w:styleId="Porat">
    <w:name w:val="footer"/>
    <w:basedOn w:val="prastasis"/>
    <w:link w:val="PoratDiagrama"/>
    <w:uiPriority w:val="99"/>
    <w:unhideWhenUsed/>
    <w:rsid w:val="00934CBB"/>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934CBB"/>
    <w:rPr>
      <w:rFonts w:ascii="Times New Roman" w:hAnsi="Times New Roman"/>
      <w:sz w:val="24"/>
      <w:lang w:val="lt-LT"/>
    </w:rPr>
  </w:style>
  <w:style w:type="paragraph" w:styleId="Turinioantrat">
    <w:name w:val="TOC Heading"/>
    <w:basedOn w:val="Antrat1"/>
    <w:next w:val="prastasis"/>
    <w:uiPriority w:val="39"/>
    <w:semiHidden/>
    <w:unhideWhenUsed/>
    <w:qFormat/>
    <w:rsid w:val="00450D0D"/>
    <w:pPr>
      <w:spacing w:line="276" w:lineRule="auto"/>
      <w:ind w:firstLine="0"/>
      <w:jc w:val="left"/>
      <w:outlineLvl w:val="9"/>
    </w:pPr>
    <w:rPr>
      <w:rFonts w:asciiTheme="majorHAnsi" w:hAnsiTheme="majorHAnsi"/>
      <w:caps w:val="0"/>
      <w:color w:val="365F91" w:themeColor="accent1" w:themeShade="BF"/>
      <w:sz w:val="28"/>
      <w:lang w:val="en-US"/>
    </w:rPr>
  </w:style>
  <w:style w:type="paragraph" w:styleId="Turinys1">
    <w:name w:val="toc 1"/>
    <w:basedOn w:val="prastasis"/>
    <w:next w:val="prastasis"/>
    <w:autoRedefine/>
    <w:uiPriority w:val="39"/>
    <w:unhideWhenUsed/>
    <w:rsid w:val="00450D0D"/>
    <w:pPr>
      <w:spacing w:after="100"/>
    </w:pPr>
  </w:style>
  <w:style w:type="paragraph" w:styleId="Turinys2">
    <w:name w:val="toc 2"/>
    <w:basedOn w:val="prastasis"/>
    <w:next w:val="prastasis"/>
    <w:autoRedefine/>
    <w:uiPriority w:val="39"/>
    <w:unhideWhenUsed/>
    <w:rsid w:val="00E35164"/>
    <w:pPr>
      <w:tabs>
        <w:tab w:val="right" w:leader="dot" w:pos="9912"/>
      </w:tabs>
      <w:spacing w:after="100"/>
    </w:pPr>
  </w:style>
  <w:style w:type="character" w:styleId="Hipersaitas">
    <w:name w:val="Hyperlink"/>
    <w:basedOn w:val="Numatytasispastraiposriftas"/>
    <w:uiPriority w:val="99"/>
    <w:unhideWhenUsed/>
    <w:rsid w:val="00450D0D"/>
    <w:rPr>
      <w:color w:val="0000FF" w:themeColor="hyperlink"/>
      <w:u w:val="single"/>
    </w:rPr>
  </w:style>
  <w:style w:type="character" w:styleId="Emfaz">
    <w:name w:val="Emphasis"/>
    <w:basedOn w:val="Numatytasispastraiposriftas"/>
    <w:uiPriority w:val="20"/>
    <w:qFormat/>
    <w:rsid w:val="00983EEA"/>
    <w:rPr>
      <w:i/>
      <w:iCs/>
    </w:rPr>
  </w:style>
  <w:style w:type="paragraph" w:styleId="Antrat">
    <w:name w:val="caption"/>
    <w:basedOn w:val="prastasis"/>
    <w:next w:val="prastasis"/>
    <w:uiPriority w:val="35"/>
    <w:unhideWhenUsed/>
    <w:qFormat/>
    <w:rsid w:val="008E718E"/>
    <w:pPr>
      <w:spacing w:line="240" w:lineRule="auto"/>
    </w:pPr>
    <w:rPr>
      <w:b/>
      <w:bCs/>
      <w:color w:val="4F81BD" w:themeColor="accent1"/>
      <w:sz w:val="18"/>
      <w:szCs w:val="18"/>
    </w:rPr>
  </w:style>
  <w:style w:type="table" w:customStyle="1" w:styleId="Lentelstinklelis1">
    <w:name w:val="Lentelės tinklelis1"/>
    <w:basedOn w:val="prastojilentel"/>
    <w:next w:val="Lentelstinklelis"/>
    <w:uiPriority w:val="59"/>
    <w:rsid w:val="00300B3C"/>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9A6F70"/>
    <w:rPr>
      <w:sz w:val="16"/>
      <w:szCs w:val="16"/>
    </w:rPr>
  </w:style>
  <w:style w:type="paragraph" w:styleId="Komentarotekstas">
    <w:name w:val="annotation text"/>
    <w:basedOn w:val="prastasis"/>
    <w:link w:val="KomentarotekstasDiagrama"/>
    <w:uiPriority w:val="99"/>
    <w:semiHidden/>
    <w:unhideWhenUsed/>
    <w:rsid w:val="009A6F7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9A6F70"/>
    <w:rPr>
      <w:rFonts w:ascii="Times New Roman" w:hAnsi="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9A6F70"/>
    <w:rPr>
      <w:b/>
      <w:bCs/>
    </w:rPr>
  </w:style>
  <w:style w:type="character" w:customStyle="1" w:styleId="KomentarotemaDiagrama">
    <w:name w:val="Komentaro tema Diagrama"/>
    <w:basedOn w:val="KomentarotekstasDiagrama"/>
    <w:link w:val="Komentarotema"/>
    <w:uiPriority w:val="99"/>
    <w:semiHidden/>
    <w:rsid w:val="009A6F70"/>
    <w:rPr>
      <w:rFonts w:ascii="Times New Roman" w:hAnsi="Times New Roman"/>
      <w:b/>
      <w:bCs/>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8061">
      <w:bodyDiv w:val="1"/>
      <w:marLeft w:val="0"/>
      <w:marRight w:val="0"/>
      <w:marTop w:val="0"/>
      <w:marBottom w:val="0"/>
      <w:divBdr>
        <w:top w:val="none" w:sz="0" w:space="0" w:color="auto"/>
        <w:left w:val="none" w:sz="0" w:space="0" w:color="auto"/>
        <w:bottom w:val="none" w:sz="0" w:space="0" w:color="auto"/>
        <w:right w:val="none" w:sz="0" w:space="0" w:color="auto"/>
      </w:divBdr>
    </w:div>
    <w:div w:id="160589005">
      <w:bodyDiv w:val="1"/>
      <w:marLeft w:val="0"/>
      <w:marRight w:val="0"/>
      <w:marTop w:val="0"/>
      <w:marBottom w:val="0"/>
      <w:divBdr>
        <w:top w:val="none" w:sz="0" w:space="0" w:color="auto"/>
        <w:left w:val="none" w:sz="0" w:space="0" w:color="auto"/>
        <w:bottom w:val="none" w:sz="0" w:space="0" w:color="auto"/>
        <w:right w:val="none" w:sz="0" w:space="0" w:color="auto"/>
      </w:divBdr>
    </w:div>
    <w:div w:id="219680174">
      <w:bodyDiv w:val="1"/>
      <w:marLeft w:val="0"/>
      <w:marRight w:val="0"/>
      <w:marTop w:val="0"/>
      <w:marBottom w:val="0"/>
      <w:divBdr>
        <w:top w:val="none" w:sz="0" w:space="0" w:color="auto"/>
        <w:left w:val="none" w:sz="0" w:space="0" w:color="auto"/>
        <w:bottom w:val="none" w:sz="0" w:space="0" w:color="auto"/>
        <w:right w:val="none" w:sz="0" w:space="0" w:color="auto"/>
      </w:divBdr>
    </w:div>
    <w:div w:id="344013675">
      <w:bodyDiv w:val="1"/>
      <w:marLeft w:val="0"/>
      <w:marRight w:val="0"/>
      <w:marTop w:val="0"/>
      <w:marBottom w:val="0"/>
      <w:divBdr>
        <w:top w:val="none" w:sz="0" w:space="0" w:color="auto"/>
        <w:left w:val="none" w:sz="0" w:space="0" w:color="auto"/>
        <w:bottom w:val="none" w:sz="0" w:space="0" w:color="auto"/>
        <w:right w:val="none" w:sz="0" w:space="0" w:color="auto"/>
      </w:divBdr>
    </w:div>
    <w:div w:id="652411626">
      <w:bodyDiv w:val="1"/>
      <w:marLeft w:val="0"/>
      <w:marRight w:val="0"/>
      <w:marTop w:val="0"/>
      <w:marBottom w:val="0"/>
      <w:divBdr>
        <w:top w:val="none" w:sz="0" w:space="0" w:color="auto"/>
        <w:left w:val="none" w:sz="0" w:space="0" w:color="auto"/>
        <w:bottom w:val="none" w:sz="0" w:space="0" w:color="auto"/>
        <w:right w:val="none" w:sz="0" w:space="0" w:color="auto"/>
      </w:divBdr>
    </w:div>
    <w:div w:id="653215615">
      <w:bodyDiv w:val="1"/>
      <w:marLeft w:val="0"/>
      <w:marRight w:val="0"/>
      <w:marTop w:val="0"/>
      <w:marBottom w:val="0"/>
      <w:divBdr>
        <w:top w:val="none" w:sz="0" w:space="0" w:color="auto"/>
        <w:left w:val="none" w:sz="0" w:space="0" w:color="auto"/>
        <w:bottom w:val="none" w:sz="0" w:space="0" w:color="auto"/>
        <w:right w:val="none" w:sz="0" w:space="0" w:color="auto"/>
      </w:divBdr>
    </w:div>
    <w:div w:id="819688894">
      <w:bodyDiv w:val="1"/>
      <w:marLeft w:val="0"/>
      <w:marRight w:val="0"/>
      <w:marTop w:val="0"/>
      <w:marBottom w:val="0"/>
      <w:divBdr>
        <w:top w:val="none" w:sz="0" w:space="0" w:color="auto"/>
        <w:left w:val="none" w:sz="0" w:space="0" w:color="auto"/>
        <w:bottom w:val="none" w:sz="0" w:space="0" w:color="auto"/>
        <w:right w:val="none" w:sz="0" w:space="0" w:color="auto"/>
      </w:divBdr>
    </w:div>
    <w:div w:id="838927779">
      <w:bodyDiv w:val="1"/>
      <w:marLeft w:val="0"/>
      <w:marRight w:val="0"/>
      <w:marTop w:val="0"/>
      <w:marBottom w:val="0"/>
      <w:divBdr>
        <w:top w:val="none" w:sz="0" w:space="0" w:color="auto"/>
        <w:left w:val="none" w:sz="0" w:space="0" w:color="auto"/>
        <w:bottom w:val="none" w:sz="0" w:space="0" w:color="auto"/>
        <w:right w:val="none" w:sz="0" w:space="0" w:color="auto"/>
      </w:divBdr>
    </w:div>
    <w:div w:id="900363575">
      <w:bodyDiv w:val="1"/>
      <w:marLeft w:val="0"/>
      <w:marRight w:val="0"/>
      <w:marTop w:val="0"/>
      <w:marBottom w:val="0"/>
      <w:divBdr>
        <w:top w:val="none" w:sz="0" w:space="0" w:color="auto"/>
        <w:left w:val="none" w:sz="0" w:space="0" w:color="auto"/>
        <w:bottom w:val="none" w:sz="0" w:space="0" w:color="auto"/>
        <w:right w:val="none" w:sz="0" w:space="0" w:color="auto"/>
      </w:divBdr>
    </w:div>
    <w:div w:id="1621296672">
      <w:bodyDiv w:val="1"/>
      <w:marLeft w:val="0"/>
      <w:marRight w:val="0"/>
      <w:marTop w:val="0"/>
      <w:marBottom w:val="0"/>
      <w:divBdr>
        <w:top w:val="none" w:sz="0" w:space="0" w:color="auto"/>
        <w:left w:val="none" w:sz="0" w:space="0" w:color="auto"/>
        <w:bottom w:val="none" w:sz="0" w:space="0" w:color="auto"/>
        <w:right w:val="none" w:sz="0" w:space="0" w:color="auto"/>
      </w:divBdr>
    </w:div>
    <w:div w:id="1728646446">
      <w:bodyDiv w:val="1"/>
      <w:marLeft w:val="0"/>
      <w:marRight w:val="0"/>
      <w:marTop w:val="0"/>
      <w:marBottom w:val="0"/>
      <w:divBdr>
        <w:top w:val="none" w:sz="0" w:space="0" w:color="auto"/>
        <w:left w:val="none" w:sz="0" w:space="0" w:color="auto"/>
        <w:bottom w:val="none" w:sz="0" w:space="0" w:color="auto"/>
        <w:right w:val="none" w:sz="0" w:space="0" w:color="auto"/>
      </w:divBdr>
    </w:div>
    <w:div w:id="2071151903">
      <w:bodyDiv w:val="1"/>
      <w:marLeft w:val="0"/>
      <w:marRight w:val="0"/>
      <w:marTop w:val="0"/>
      <w:marBottom w:val="0"/>
      <w:divBdr>
        <w:top w:val="none" w:sz="0" w:space="0" w:color="auto"/>
        <w:left w:val="none" w:sz="0" w:space="0" w:color="auto"/>
        <w:bottom w:val="none" w:sz="0" w:space="0" w:color="auto"/>
        <w:right w:val="none" w:sz="0" w:space="0" w:color="auto"/>
      </w:divBdr>
    </w:div>
    <w:div w:id="21372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chart" Target="charts/chart2.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darbalapis.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darbalapis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darbalapis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darbalapis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darbalapis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darbalapis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darbalapis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darbalapis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darbalapis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21"/>
    </mc:Choice>
    <mc:Fallback>
      <c:style val="21"/>
    </mc:Fallback>
  </mc:AlternateContent>
  <c:chart>
    <c:autoTitleDeleted val="0"/>
    <c:plotArea>
      <c:layout>
        <c:manualLayout>
          <c:layoutTarget val="inner"/>
          <c:xMode val="edge"/>
          <c:yMode val="edge"/>
          <c:x val="9.8696841485904865E-2"/>
          <c:y val="9.4677622972749509E-2"/>
          <c:w val="0.59053674351824248"/>
          <c:h val="0.72161636045494326"/>
        </c:manualLayout>
      </c:layout>
      <c:lineChart>
        <c:grouping val="standard"/>
        <c:varyColors val="0"/>
        <c:ser>
          <c:idx val="0"/>
          <c:order val="0"/>
          <c:tx>
            <c:strRef>
              <c:f>Lapas1!$B$1</c:f>
              <c:strCache>
                <c:ptCount val="1"/>
                <c:pt idx="0">
                  <c:v>Kauno m.</c:v>
                </c:pt>
              </c:strCache>
            </c:strRef>
          </c:tx>
          <c:spPr>
            <a:ln>
              <a:solidFill>
                <a:schemeClr val="accent3">
                  <a:lumMod val="40000"/>
                  <a:lumOff val="60000"/>
                </a:schemeClr>
              </a:solidFill>
            </a:ln>
          </c:spPr>
          <c:marker>
            <c:symbol val="none"/>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Lapas1!$A$2:$A$6</c:f>
              <c:numCache>
                <c:formatCode>General</c:formatCode>
                <c:ptCount val="5"/>
                <c:pt idx="0">
                  <c:v>2015</c:v>
                </c:pt>
                <c:pt idx="1">
                  <c:v>2016</c:v>
                </c:pt>
                <c:pt idx="2">
                  <c:v>2017</c:v>
                </c:pt>
                <c:pt idx="3">
                  <c:v>2018</c:v>
                </c:pt>
                <c:pt idx="4">
                  <c:v>2019</c:v>
                </c:pt>
              </c:numCache>
            </c:numRef>
          </c:cat>
          <c:val>
            <c:numRef>
              <c:f>Lapas1!$B$2:$B$6</c:f>
              <c:numCache>
                <c:formatCode>General</c:formatCode>
                <c:ptCount val="5"/>
                <c:pt idx="0">
                  <c:v>76.2</c:v>
                </c:pt>
                <c:pt idx="1">
                  <c:v>76.5</c:v>
                </c:pt>
                <c:pt idx="2">
                  <c:v>77.599999999999994</c:v>
                </c:pt>
                <c:pt idx="3">
                  <c:v>77.099999999999994</c:v>
                </c:pt>
                <c:pt idx="4">
                  <c:v>78.3</c:v>
                </c:pt>
              </c:numCache>
            </c:numRef>
          </c:val>
          <c:smooth val="0"/>
          <c:extLst>
            <c:ext xmlns:c16="http://schemas.microsoft.com/office/drawing/2014/chart" uri="{C3380CC4-5D6E-409C-BE32-E72D297353CC}">
              <c16:uniqueId val="{00000000-ED2D-4BB3-9763-4194B463FBEC}"/>
            </c:ext>
          </c:extLst>
        </c:ser>
        <c:ser>
          <c:idx val="1"/>
          <c:order val="1"/>
          <c:tx>
            <c:strRef>
              <c:f>Lapas1!$C$1</c:f>
              <c:strCache>
                <c:ptCount val="1"/>
                <c:pt idx="0">
                  <c:v>Lietuva</c:v>
                </c:pt>
              </c:strCache>
            </c:strRef>
          </c:tx>
          <c:spPr>
            <a:ln>
              <a:solidFill>
                <a:schemeClr val="accent3">
                  <a:lumMod val="75000"/>
                </a:schemeClr>
              </a:solidFill>
            </a:ln>
          </c:spPr>
          <c:marker>
            <c:symbol val="none"/>
          </c:marker>
          <c:dLbls>
            <c:numFmt formatCode="#,##0.0" sourceLinked="0"/>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Lapas1!$A$2:$A$6</c:f>
              <c:numCache>
                <c:formatCode>General</c:formatCode>
                <c:ptCount val="5"/>
                <c:pt idx="0">
                  <c:v>2015</c:v>
                </c:pt>
                <c:pt idx="1">
                  <c:v>2016</c:v>
                </c:pt>
                <c:pt idx="2">
                  <c:v>2017</c:v>
                </c:pt>
                <c:pt idx="3">
                  <c:v>2018</c:v>
                </c:pt>
                <c:pt idx="4">
                  <c:v>2019</c:v>
                </c:pt>
              </c:numCache>
            </c:numRef>
          </c:cat>
          <c:val>
            <c:numRef>
              <c:f>Lapas1!$C$2:$C$6</c:f>
              <c:numCache>
                <c:formatCode>General</c:formatCode>
                <c:ptCount val="5"/>
                <c:pt idx="0">
                  <c:v>74.5</c:v>
                </c:pt>
                <c:pt idx="1">
                  <c:v>74.8</c:v>
                </c:pt>
                <c:pt idx="2">
                  <c:v>75.599999999999994</c:v>
                </c:pt>
                <c:pt idx="3">
                  <c:v>75.900000000000006</c:v>
                </c:pt>
                <c:pt idx="4">
                  <c:v>76.400000000000006</c:v>
                </c:pt>
              </c:numCache>
            </c:numRef>
          </c:val>
          <c:smooth val="0"/>
          <c:extLst>
            <c:ext xmlns:c16="http://schemas.microsoft.com/office/drawing/2014/chart" uri="{C3380CC4-5D6E-409C-BE32-E72D297353CC}">
              <c16:uniqueId val="{00000001-ED2D-4BB3-9763-4194B463FBEC}"/>
            </c:ext>
          </c:extLst>
        </c:ser>
        <c:dLbls>
          <c:dLblPos val="t"/>
          <c:showLegendKey val="0"/>
          <c:showVal val="1"/>
          <c:showCatName val="0"/>
          <c:showSerName val="0"/>
          <c:showPercent val="0"/>
          <c:showBubbleSize val="0"/>
        </c:dLbls>
        <c:smooth val="0"/>
        <c:axId val="188859392"/>
        <c:axId val="214268672"/>
      </c:lineChart>
      <c:catAx>
        <c:axId val="188859392"/>
        <c:scaling>
          <c:orientation val="minMax"/>
        </c:scaling>
        <c:delete val="0"/>
        <c:axPos val="b"/>
        <c:numFmt formatCode="General" sourceLinked="1"/>
        <c:majorTickMark val="out"/>
        <c:minorTickMark val="none"/>
        <c:tickLblPos val="nextTo"/>
        <c:crossAx val="214268672"/>
        <c:crossesAt val="72.5"/>
        <c:auto val="1"/>
        <c:lblAlgn val="ctr"/>
        <c:lblOffset val="100"/>
        <c:noMultiLvlLbl val="0"/>
      </c:catAx>
      <c:valAx>
        <c:axId val="214268672"/>
        <c:scaling>
          <c:orientation val="minMax"/>
          <c:min val="72.5"/>
        </c:scaling>
        <c:delete val="0"/>
        <c:axPos val="l"/>
        <c:numFmt formatCode="General" sourceLinked="1"/>
        <c:majorTickMark val="out"/>
        <c:minorTickMark val="none"/>
        <c:tickLblPos val="nextTo"/>
        <c:crossAx val="188859392"/>
        <c:crosses val="autoZero"/>
        <c:crossBetween val="between"/>
        <c:minorUnit val="0.2"/>
      </c:valAx>
    </c:plotArea>
    <c:legend>
      <c:legendPos val="r"/>
      <c:layout/>
      <c:overlay val="0"/>
    </c:legend>
    <c:plotVisOnly val="1"/>
    <c:dispBlanksAs val="gap"/>
    <c:showDLblsOverMax val="0"/>
  </c:chart>
  <c:spPr>
    <a:noFill/>
    <a:ln>
      <a:solidFill>
        <a:schemeClr val="bg1">
          <a:lumMod val="95000"/>
        </a:schemeClr>
      </a:solidFill>
    </a:ln>
  </c:spPr>
  <c:txPr>
    <a:bodyPr/>
    <a:lstStyle/>
    <a:p>
      <a:pPr>
        <a:defRPr sz="110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21"/>
    </mc:Choice>
    <mc:Fallback>
      <c:style val="21"/>
    </mc:Fallback>
  </mc:AlternateContent>
  <c:chart>
    <c:autoTitleDeleted val="0"/>
    <c:plotArea>
      <c:layout/>
      <c:barChart>
        <c:barDir val="col"/>
        <c:grouping val="clustered"/>
        <c:varyColors val="0"/>
        <c:ser>
          <c:idx val="0"/>
          <c:order val="0"/>
          <c:tx>
            <c:strRef>
              <c:f>Lapas1!$B$1</c:f>
              <c:strCache>
                <c:ptCount val="1"/>
                <c:pt idx="0">
                  <c:v>Kauno m.</c:v>
                </c:pt>
              </c:strCache>
            </c:strRef>
          </c:tx>
          <c:spPr>
            <a:solidFill>
              <a:schemeClr val="accent3">
                <a:lumMod val="40000"/>
                <a:lumOff val="60000"/>
              </a:schemeClr>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Lapas1!$A$2:$A$6</c:f>
              <c:numCache>
                <c:formatCode>General</c:formatCode>
                <c:ptCount val="5"/>
                <c:pt idx="0">
                  <c:v>2015</c:v>
                </c:pt>
                <c:pt idx="1">
                  <c:v>2016</c:v>
                </c:pt>
                <c:pt idx="2">
                  <c:v>2017</c:v>
                </c:pt>
                <c:pt idx="3">
                  <c:v>2018</c:v>
                </c:pt>
                <c:pt idx="4">
                  <c:v>2019</c:v>
                </c:pt>
              </c:numCache>
            </c:numRef>
          </c:cat>
          <c:val>
            <c:numRef>
              <c:f>Lapas1!$B$2:$B$6</c:f>
              <c:numCache>
                <c:formatCode>General</c:formatCode>
                <c:ptCount val="5"/>
                <c:pt idx="0">
                  <c:v>10.6</c:v>
                </c:pt>
                <c:pt idx="1">
                  <c:v>10.8</c:v>
                </c:pt>
                <c:pt idx="2">
                  <c:v>10.199999999999999</c:v>
                </c:pt>
                <c:pt idx="3">
                  <c:v>10.3</c:v>
                </c:pt>
                <c:pt idx="4">
                  <c:v>9.6999999999999993</c:v>
                </c:pt>
              </c:numCache>
            </c:numRef>
          </c:val>
          <c:extLst>
            <c:ext xmlns:c16="http://schemas.microsoft.com/office/drawing/2014/chart" uri="{C3380CC4-5D6E-409C-BE32-E72D297353CC}">
              <c16:uniqueId val="{00000000-F30D-45D4-A92F-8DEFB41C2D8E}"/>
            </c:ext>
          </c:extLst>
        </c:ser>
        <c:ser>
          <c:idx val="1"/>
          <c:order val="1"/>
          <c:tx>
            <c:strRef>
              <c:f>Lapas1!$C$1</c:f>
              <c:strCache>
                <c:ptCount val="1"/>
                <c:pt idx="0">
                  <c:v>Lietuva</c:v>
                </c:pt>
              </c:strCache>
            </c:strRef>
          </c:tx>
          <c:spPr>
            <a:solidFill>
              <a:schemeClr val="accent3">
                <a:lumMod val="75000"/>
              </a:schemeClr>
            </a:solidFill>
          </c:spPr>
          <c:invertIfNegative val="0"/>
          <c:dLbls>
            <c:numFmt formatCode="#,##0.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Lapas1!$A$2:$A$6</c:f>
              <c:numCache>
                <c:formatCode>General</c:formatCode>
                <c:ptCount val="5"/>
                <c:pt idx="0">
                  <c:v>2015</c:v>
                </c:pt>
                <c:pt idx="1">
                  <c:v>2016</c:v>
                </c:pt>
                <c:pt idx="2">
                  <c:v>2017</c:v>
                </c:pt>
                <c:pt idx="3">
                  <c:v>2018</c:v>
                </c:pt>
                <c:pt idx="4">
                  <c:v>2019</c:v>
                </c:pt>
              </c:numCache>
            </c:numRef>
          </c:cat>
          <c:val>
            <c:numRef>
              <c:f>Lapas1!$C$2:$C$6</c:f>
              <c:numCache>
                <c:formatCode>General</c:formatCode>
                <c:ptCount val="5"/>
                <c:pt idx="0">
                  <c:v>10.8</c:v>
                </c:pt>
                <c:pt idx="1">
                  <c:v>10.7</c:v>
                </c:pt>
                <c:pt idx="2">
                  <c:v>10.1</c:v>
                </c:pt>
                <c:pt idx="3">
                  <c:v>10</c:v>
                </c:pt>
                <c:pt idx="4">
                  <c:v>9.8000000000000007</c:v>
                </c:pt>
              </c:numCache>
            </c:numRef>
          </c:val>
          <c:extLst>
            <c:ext xmlns:c16="http://schemas.microsoft.com/office/drawing/2014/chart" uri="{C3380CC4-5D6E-409C-BE32-E72D297353CC}">
              <c16:uniqueId val="{00000001-F30D-45D4-A92F-8DEFB41C2D8E}"/>
            </c:ext>
          </c:extLst>
        </c:ser>
        <c:dLbls>
          <c:dLblPos val="outEnd"/>
          <c:showLegendKey val="0"/>
          <c:showVal val="1"/>
          <c:showCatName val="0"/>
          <c:showSerName val="0"/>
          <c:showPercent val="0"/>
          <c:showBubbleSize val="0"/>
        </c:dLbls>
        <c:gapWidth val="150"/>
        <c:overlap val="-25"/>
        <c:axId val="188861952"/>
        <c:axId val="215843392"/>
      </c:barChart>
      <c:catAx>
        <c:axId val="188861952"/>
        <c:scaling>
          <c:orientation val="minMax"/>
        </c:scaling>
        <c:delete val="0"/>
        <c:axPos val="b"/>
        <c:numFmt formatCode="General" sourceLinked="1"/>
        <c:majorTickMark val="out"/>
        <c:minorTickMark val="none"/>
        <c:tickLblPos val="nextTo"/>
        <c:crossAx val="215843392"/>
        <c:crosses val="autoZero"/>
        <c:auto val="1"/>
        <c:lblAlgn val="ctr"/>
        <c:lblOffset val="100"/>
        <c:noMultiLvlLbl val="0"/>
      </c:catAx>
      <c:valAx>
        <c:axId val="215843392"/>
        <c:scaling>
          <c:orientation val="minMax"/>
        </c:scaling>
        <c:delete val="0"/>
        <c:axPos val="l"/>
        <c:numFmt formatCode="General" sourceLinked="1"/>
        <c:majorTickMark val="out"/>
        <c:minorTickMark val="none"/>
        <c:tickLblPos val="nextTo"/>
        <c:crossAx val="188861952"/>
        <c:crosses val="autoZero"/>
        <c:crossBetween val="between"/>
      </c:valAx>
    </c:plotArea>
    <c:legend>
      <c:legendPos val="r"/>
      <c:layout/>
      <c:overlay val="0"/>
    </c:legend>
    <c:plotVisOnly val="1"/>
    <c:dispBlanksAs val="gap"/>
    <c:showDLblsOverMax val="0"/>
  </c:chart>
  <c:spPr>
    <a:ln>
      <a:solidFill>
        <a:schemeClr val="bg1">
          <a:lumMod val="95000"/>
        </a:schemeClr>
      </a:solidFill>
    </a:ln>
  </c:spPr>
  <c:txPr>
    <a:bodyPr/>
    <a:lstStyle/>
    <a:p>
      <a:pPr>
        <a:defRPr sz="110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21"/>
    </mc:Choice>
    <mc:Fallback>
      <c:style val="21"/>
    </mc:Fallback>
  </mc:AlternateContent>
  <c:chart>
    <c:autoTitleDeleted val="0"/>
    <c:plotArea>
      <c:layout/>
      <c:barChart>
        <c:barDir val="col"/>
        <c:grouping val="clustered"/>
        <c:varyColors val="0"/>
        <c:ser>
          <c:idx val="0"/>
          <c:order val="0"/>
          <c:tx>
            <c:strRef>
              <c:f>Lapas1!$B$1</c:f>
              <c:strCache>
                <c:ptCount val="1"/>
                <c:pt idx="0">
                  <c:v>Kauno m.</c:v>
                </c:pt>
              </c:strCache>
            </c:strRef>
          </c:tx>
          <c:spPr>
            <a:solidFill>
              <a:schemeClr val="accent3">
                <a:lumMod val="40000"/>
                <a:lumOff val="60000"/>
              </a:schemeClr>
            </a:solidFill>
          </c:spPr>
          <c:invertIfNegative val="0"/>
          <c:dLbls>
            <c:numFmt formatCode="#,##0.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Lapas1!$A$2:$A$6</c:f>
              <c:numCache>
                <c:formatCode>General</c:formatCode>
                <c:ptCount val="5"/>
                <c:pt idx="0">
                  <c:v>2015</c:v>
                </c:pt>
                <c:pt idx="1">
                  <c:v>2016</c:v>
                </c:pt>
                <c:pt idx="2">
                  <c:v>2017</c:v>
                </c:pt>
                <c:pt idx="3">
                  <c:v>2018</c:v>
                </c:pt>
                <c:pt idx="4">
                  <c:v>2019</c:v>
                </c:pt>
              </c:numCache>
            </c:numRef>
          </c:cat>
          <c:val>
            <c:numRef>
              <c:f>Lapas1!$B$2:$B$6</c:f>
              <c:numCache>
                <c:formatCode>General</c:formatCode>
                <c:ptCount val="5"/>
                <c:pt idx="0">
                  <c:v>13.9</c:v>
                </c:pt>
                <c:pt idx="1">
                  <c:v>13.8</c:v>
                </c:pt>
                <c:pt idx="2">
                  <c:v>13.7</c:v>
                </c:pt>
                <c:pt idx="3">
                  <c:v>14</c:v>
                </c:pt>
                <c:pt idx="4">
                  <c:v>12.9</c:v>
                </c:pt>
              </c:numCache>
            </c:numRef>
          </c:val>
          <c:extLst>
            <c:ext xmlns:c16="http://schemas.microsoft.com/office/drawing/2014/chart" uri="{C3380CC4-5D6E-409C-BE32-E72D297353CC}">
              <c16:uniqueId val="{00000000-920E-477F-8103-21994DD1C4E7}"/>
            </c:ext>
          </c:extLst>
        </c:ser>
        <c:ser>
          <c:idx val="1"/>
          <c:order val="1"/>
          <c:tx>
            <c:strRef>
              <c:f>Lapas1!$C$1</c:f>
              <c:strCache>
                <c:ptCount val="1"/>
                <c:pt idx="0">
                  <c:v>Lietuva</c:v>
                </c:pt>
              </c:strCache>
            </c:strRef>
          </c:tx>
          <c:spPr>
            <a:solidFill>
              <a:schemeClr val="accent3">
                <a:lumMod val="75000"/>
              </a:schemeClr>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Lapas1!$A$2:$A$6</c:f>
              <c:numCache>
                <c:formatCode>General</c:formatCode>
                <c:ptCount val="5"/>
                <c:pt idx="0">
                  <c:v>2015</c:v>
                </c:pt>
                <c:pt idx="1">
                  <c:v>2016</c:v>
                </c:pt>
                <c:pt idx="2">
                  <c:v>2017</c:v>
                </c:pt>
                <c:pt idx="3">
                  <c:v>2018</c:v>
                </c:pt>
                <c:pt idx="4">
                  <c:v>2019</c:v>
                </c:pt>
              </c:numCache>
            </c:numRef>
          </c:cat>
          <c:val>
            <c:numRef>
              <c:f>Lapas1!$C$2:$C$6</c:f>
              <c:numCache>
                <c:formatCode>General</c:formatCode>
                <c:ptCount val="5"/>
                <c:pt idx="0">
                  <c:v>14.4</c:v>
                </c:pt>
                <c:pt idx="1">
                  <c:v>14.3</c:v>
                </c:pt>
                <c:pt idx="2">
                  <c:v>14.2</c:v>
                </c:pt>
                <c:pt idx="3">
                  <c:v>14.1</c:v>
                </c:pt>
                <c:pt idx="4">
                  <c:v>13.7</c:v>
                </c:pt>
              </c:numCache>
            </c:numRef>
          </c:val>
          <c:extLst>
            <c:ext xmlns:c16="http://schemas.microsoft.com/office/drawing/2014/chart" uri="{C3380CC4-5D6E-409C-BE32-E72D297353CC}">
              <c16:uniqueId val="{00000001-920E-477F-8103-21994DD1C4E7}"/>
            </c:ext>
          </c:extLst>
        </c:ser>
        <c:dLbls>
          <c:dLblPos val="outEnd"/>
          <c:showLegendKey val="0"/>
          <c:showVal val="1"/>
          <c:showCatName val="0"/>
          <c:showSerName val="0"/>
          <c:showPercent val="0"/>
          <c:showBubbleSize val="0"/>
        </c:dLbls>
        <c:gapWidth val="150"/>
        <c:overlap val="-25"/>
        <c:axId val="213098496"/>
        <c:axId val="215845120"/>
      </c:barChart>
      <c:catAx>
        <c:axId val="213098496"/>
        <c:scaling>
          <c:orientation val="minMax"/>
        </c:scaling>
        <c:delete val="0"/>
        <c:axPos val="b"/>
        <c:numFmt formatCode="General" sourceLinked="1"/>
        <c:majorTickMark val="out"/>
        <c:minorTickMark val="none"/>
        <c:tickLblPos val="nextTo"/>
        <c:crossAx val="215845120"/>
        <c:crosses val="autoZero"/>
        <c:auto val="1"/>
        <c:lblAlgn val="ctr"/>
        <c:lblOffset val="100"/>
        <c:noMultiLvlLbl val="0"/>
      </c:catAx>
      <c:valAx>
        <c:axId val="215845120"/>
        <c:scaling>
          <c:orientation val="minMax"/>
        </c:scaling>
        <c:delete val="0"/>
        <c:axPos val="l"/>
        <c:numFmt formatCode="General" sourceLinked="1"/>
        <c:majorTickMark val="out"/>
        <c:minorTickMark val="none"/>
        <c:tickLblPos val="nextTo"/>
        <c:crossAx val="213098496"/>
        <c:crosses val="autoZero"/>
        <c:crossBetween val="between"/>
      </c:valAx>
      <c:spPr>
        <a:noFill/>
      </c:spPr>
    </c:plotArea>
    <c:legend>
      <c:legendPos val="r"/>
      <c:layout/>
      <c:overlay val="0"/>
    </c:legend>
    <c:plotVisOnly val="1"/>
    <c:dispBlanksAs val="gap"/>
    <c:showDLblsOverMax val="0"/>
  </c:chart>
  <c:spPr>
    <a:ln>
      <a:solidFill>
        <a:schemeClr val="bg1">
          <a:lumMod val="95000"/>
        </a:schemeClr>
      </a:solidFill>
    </a:ln>
  </c:spPr>
  <c:txPr>
    <a:bodyPr/>
    <a:lstStyle/>
    <a:p>
      <a:pPr>
        <a:defRPr sz="110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21"/>
    </mc:Choice>
    <mc:Fallback>
      <c:style val="21"/>
    </mc:Fallback>
  </mc:AlternateContent>
  <c:chart>
    <c:autoTitleDeleted val="0"/>
    <c:plotArea>
      <c:layout/>
      <c:barChart>
        <c:barDir val="col"/>
        <c:grouping val="clustered"/>
        <c:varyColors val="0"/>
        <c:ser>
          <c:idx val="0"/>
          <c:order val="0"/>
          <c:tx>
            <c:strRef>
              <c:f>Lapas1!$B$1</c:f>
              <c:strCache>
                <c:ptCount val="1"/>
                <c:pt idx="0">
                  <c:v>Santuokos</c:v>
                </c:pt>
              </c:strCache>
            </c:strRef>
          </c:tx>
          <c:spPr>
            <a:solidFill>
              <a:schemeClr val="accent3">
                <a:lumMod val="40000"/>
                <a:lumOff val="60000"/>
              </a:schemeClr>
            </a:solidFill>
          </c:spPr>
          <c:invertIfNegative val="0"/>
          <c:dLbls>
            <c:numFmt formatCode="#,##0.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Lapas1!$A$2:$A$6</c:f>
              <c:numCache>
                <c:formatCode>General</c:formatCode>
                <c:ptCount val="5"/>
                <c:pt idx="0">
                  <c:v>2015</c:v>
                </c:pt>
                <c:pt idx="1">
                  <c:v>2016</c:v>
                </c:pt>
                <c:pt idx="2">
                  <c:v>2017</c:v>
                </c:pt>
                <c:pt idx="3">
                  <c:v>2018</c:v>
                </c:pt>
                <c:pt idx="4">
                  <c:v>2019</c:v>
                </c:pt>
              </c:numCache>
            </c:numRef>
          </c:cat>
          <c:val>
            <c:numRef>
              <c:f>Lapas1!$B$2:$B$6</c:f>
              <c:numCache>
                <c:formatCode>General</c:formatCode>
                <c:ptCount val="5"/>
                <c:pt idx="0">
                  <c:v>6.9</c:v>
                </c:pt>
                <c:pt idx="1">
                  <c:v>7</c:v>
                </c:pt>
                <c:pt idx="2">
                  <c:v>7</c:v>
                </c:pt>
                <c:pt idx="3">
                  <c:v>6.6</c:v>
                </c:pt>
                <c:pt idx="4">
                  <c:v>6.3</c:v>
                </c:pt>
              </c:numCache>
            </c:numRef>
          </c:val>
          <c:extLst>
            <c:ext xmlns:c16="http://schemas.microsoft.com/office/drawing/2014/chart" uri="{C3380CC4-5D6E-409C-BE32-E72D297353CC}">
              <c16:uniqueId val="{00000000-A328-4347-B9E5-673C90821C57}"/>
            </c:ext>
          </c:extLst>
        </c:ser>
        <c:ser>
          <c:idx val="1"/>
          <c:order val="1"/>
          <c:tx>
            <c:strRef>
              <c:f>Lapas1!$C$1</c:f>
              <c:strCache>
                <c:ptCount val="1"/>
                <c:pt idx="0">
                  <c:v>Ištuokos</c:v>
                </c:pt>
              </c:strCache>
            </c:strRef>
          </c:tx>
          <c:spPr>
            <a:solidFill>
              <a:schemeClr val="accent3">
                <a:lumMod val="75000"/>
              </a:schemeClr>
            </a:solidFill>
          </c:spPr>
          <c:invertIfNegative val="0"/>
          <c:dLbls>
            <c:numFmt formatCode="#,##0.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Lapas1!$A$2:$A$6</c:f>
              <c:numCache>
                <c:formatCode>General</c:formatCode>
                <c:ptCount val="5"/>
                <c:pt idx="0">
                  <c:v>2015</c:v>
                </c:pt>
                <c:pt idx="1">
                  <c:v>2016</c:v>
                </c:pt>
                <c:pt idx="2">
                  <c:v>2017</c:v>
                </c:pt>
                <c:pt idx="3">
                  <c:v>2018</c:v>
                </c:pt>
                <c:pt idx="4">
                  <c:v>2019</c:v>
                </c:pt>
              </c:numCache>
            </c:numRef>
          </c:cat>
          <c:val>
            <c:numRef>
              <c:f>Lapas1!$C$2:$C$6</c:f>
              <c:numCache>
                <c:formatCode>General</c:formatCode>
                <c:ptCount val="5"/>
                <c:pt idx="0">
                  <c:v>3.3</c:v>
                </c:pt>
                <c:pt idx="1">
                  <c:v>3</c:v>
                </c:pt>
                <c:pt idx="2">
                  <c:v>3.1</c:v>
                </c:pt>
                <c:pt idx="3">
                  <c:v>2.9</c:v>
                </c:pt>
                <c:pt idx="4">
                  <c:v>3</c:v>
                </c:pt>
              </c:numCache>
            </c:numRef>
          </c:val>
          <c:extLst>
            <c:ext xmlns:c16="http://schemas.microsoft.com/office/drawing/2014/chart" uri="{C3380CC4-5D6E-409C-BE32-E72D297353CC}">
              <c16:uniqueId val="{00000001-A328-4347-B9E5-673C90821C57}"/>
            </c:ext>
          </c:extLst>
        </c:ser>
        <c:dLbls>
          <c:dLblPos val="outEnd"/>
          <c:showLegendKey val="0"/>
          <c:showVal val="1"/>
          <c:showCatName val="0"/>
          <c:showSerName val="0"/>
          <c:showPercent val="0"/>
          <c:showBubbleSize val="0"/>
        </c:dLbls>
        <c:gapWidth val="150"/>
        <c:overlap val="-25"/>
        <c:axId val="213101056"/>
        <c:axId val="215846848"/>
      </c:barChart>
      <c:catAx>
        <c:axId val="213101056"/>
        <c:scaling>
          <c:orientation val="minMax"/>
        </c:scaling>
        <c:delete val="0"/>
        <c:axPos val="b"/>
        <c:numFmt formatCode="General" sourceLinked="1"/>
        <c:majorTickMark val="out"/>
        <c:minorTickMark val="none"/>
        <c:tickLblPos val="nextTo"/>
        <c:crossAx val="215846848"/>
        <c:crosses val="autoZero"/>
        <c:auto val="1"/>
        <c:lblAlgn val="ctr"/>
        <c:lblOffset val="100"/>
        <c:noMultiLvlLbl val="0"/>
      </c:catAx>
      <c:valAx>
        <c:axId val="215846848"/>
        <c:scaling>
          <c:orientation val="minMax"/>
        </c:scaling>
        <c:delete val="0"/>
        <c:axPos val="l"/>
        <c:numFmt formatCode="General" sourceLinked="1"/>
        <c:majorTickMark val="out"/>
        <c:minorTickMark val="none"/>
        <c:tickLblPos val="nextTo"/>
        <c:crossAx val="213101056"/>
        <c:crosses val="autoZero"/>
        <c:crossBetween val="between"/>
      </c:valAx>
    </c:plotArea>
    <c:legend>
      <c:legendPos val="r"/>
      <c:layout/>
      <c:overlay val="0"/>
    </c:legend>
    <c:plotVisOnly val="1"/>
    <c:dispBlanksAs val="gap"/>
    <c:showDLblsOverMax val="0"/>
  </c:chart>
  <c:spPr>
    <a:ln>
      <a:solidFill>
        <a:schemeClr val="bg1">
          <a:lumMod val="85000"/>
        </a:schemeClr>
      </a:solidFill>
    </a:ln>
  </c:spPr>
  <c:txPr>
    <a:bodyPr/>
    <a:lstStyle/>
    <a:p>
      <a:pPr>
        <a:defRPr sz="110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21"/>
    </mc:Choice>
    <mc:Fallback>
      <c:style val="21"/>
    </mc:Fallback>
  </mc:AlternateContent>
  <c:chart>
    <c:autoTitleDeleted val="0"/>
    <c:plotArea>
      <c:layout/>
      <c:lineChart>
        <c:grouping val="standard"/>
        <c:varyColors val="0"/>
        <c:ser>
          <c:idx val="0"/>
          <c:order val="0"/>
          <c:tx>
            <c:strRef>
              <c:f>Lapas1!$B$1</c:f>
              <c:strCache>
                <c:ptCount val="1"/>
                <c:pt idx="0">
                  <c:v>Kauno m.</c:v>
                </c:pt>
              </c:strCache>
            </c:strRef>
          </c:tx>
          <c:spPr>
            <a:ln>
              <a:solidFill>
                <a:schemeClr val="accent3">
                  <a:lumMod val="40000"/>
                  <a:lumOff val="60000"/>
                </a:schemeClr>
              </a:solidFill>
            </a:ln>
          </c:spPr>
          <c:marker>
            <c:symbol val="none"/>
          </c:marker>
          <c:dLbls>
            <c:numFmt formatCode="#,##0.0" sourceLinked="0"/>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Lapas1!$A$2:$A$6</c:f>
              <c:strCache>
                <c:ptCount val="5"/>
                <c:pt idx="0">
                  <c:v>2015 m.</c:v>
                </c:pt>
                <c:pt idx="1">
                  <c:v>2016 m.</c:v>
                </c:pt>
                <c:pt idx="2">
                  <c:v>2017 m.</c:v>
                </c:pt>
                <c:pt idx="3">
                  <c:v>2018 m.</c:v>
                </c:pt>
                <c:pt idx="4">
                  <c:v>2019 m.</c:v>
                </c:pt>
              </c:strCache>
            </c:strRef>
          </c:cat>
          <c:val>
            <c:numRef>
              <c:f>Lapas1!$B$2:$B$6</c:f>
              <c:numCache>
                <c:formatCode>General</c:formatCode>
                <c:ptCount val="5"/>
                <c:pt idx="0">
                  <c:v>33395</c:v>
                </c:pt>
                <c:pt idx="1">
                  <c:v>34198.199999999997</c:v>
                </c:pt>
                <c:pt idx="2">
                  <c:v>32907.599999999999</c:v>
                </c:pt>
                <c:pt idx="3">
                  <c:v>35282.400000000001</c:v>
                </c:pt>
                <c:pt idx="4">
                  <c:v>29587</c:v>
                </c:pt>
              </c:numCache>
            </c:numRef>
          </c:val>
          <c:smooth val="0"/>
          <c:extLst>
            <c:ext xmlns:c16="http://schemas.microsoft.com/office/drawing/2014/chart" uri="{C3380CC4-5D6E-409C-BE32-E72D297353CC}">
              <c16:uniqueId val="{00000000-B4A7-44C3-8C8A-C62EF0E1943E}"/>
            </c:ext>
          </c:extLst>
        </c:ser>
        <c:ser>
          <c:idx val="1"/>
          <c:order val="1"/>
          <c:tx>
            <c:strRef>
              <c:f>Lapas1!$C$1</c:f>
              <c:strCache>
                <c:ptCount val="1"/>
                <c:pt idx="0">
                  <c:v>Lietuva</c:v>
                </c:pt>
              </c:strCache>
            </c:strRef>
          </c:tx>
          <c:spPr>
            <a:ln>
              <a:solidFill>
                <a:schemeClr val="accent3">
                  <a:lumMod val="75000"/>
                </a:schemeClr>
              </a:solidFill>
            </a:ln>
          </c:spPr>
          <c:marker>
            <c:symbol val="none"/>
          </c:marker>
          <c:dLbls>
            <c:dLbl>
              <c:idx val="0"/>
              <c:layout>
                <c:manualLayout>
                  <c:x val="-6.505375352671082E-2"/>
                  <c:y val="-0.12283861492738739"/>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D80-4B25-9E19-A12B761A3F31}"/>
                </c:ext>
              </c:extLst>
            </c:dLbl>
            <c:dLbl>
              <c:idx val="1"/>
              <c:layout>
                <c:manualLayout>
                  <c:x val="-6.505334374186833E-2"/>
                  <c:y val="-0.11418265533443481"/>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D80-4B25-9E19-A12B761A3F31}"/>
                </c:ext>
              </c:extLst>
            </c:dLbl>
            <c:dLbl>
              <c:idx val="2"/>
              <c:layout>
                <c:manualLayout>
                  <c:x val="-5.4644398958326977E-2"/>
                  <c:y val="-0.12283861492738739"/>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D80-4B25-9E19-A12B761A3F31}"/>
                </c:ext>
              </c:extLst>
            </c:dLbl>
            <c:dLbl>
              <c:idx val="3"/>
              <c:layout>
                <c:manualLayout>
                  <c:x val="-6.5054777988816967E-2"/>
                  <c:y val="-0.12686046569320611"/>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9D80-4B25-9E19-A12B761A3F31}"/>
                </c:ext>
              </c:extLst>
            </c:dLbl>
            <c:dLbl>
              <c:idx val="4"/>
              <c:layout>
                <c:manualLayout>
                  <c:x val="-5.7246942492844136E-2"/>
                  <c:y val="-0.11951138432837678"/>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33D-48AB-916E-C70CB338403C}"/>
                </c:ext>
              </c:extLst>
            </c:dLbl>
            <c:numFmt formatCode="#,##0.0" sourceLinked="0"/>
            <c:spPr>
              <a:noFill/>
              <a:ln>
                <a:noFill/>
              </a:ln>
              <a:effectLst/>
            </c:sp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Lapas1!$A$2:$A$6</c:f>
              <c:strCache>
                <c:ptCount val="5"/>
                <c:pt idx="0">
                  <c:v>2015 m.</c:v>
                </c:pt>
                <c:pt idx="1">
                  <c:v>2016 m.</c:v>
                </c:pt>
                <c:pt idx="2">
                  <c:v>2017 m.</c:v>
                </c:pt>
                <c:pt idx="3">
                  <c:v>2018 m.</c:v>
                </c:pt>
                <c:pt idx="4">
                  <c:v>2019 m.</c:v>
                </c:pt>
              </c:strCache>
            </c:strRef>
          </c:cat>
          <c:val>
            <c:numRef>
              <c:f>Lapas1!$C$2:$C$6</c:f>
              <c:numCache>
                <c:formatCode>General</c:formatCode>
                <c:ptCount val="5"/>
                <c:pt idx="0">
                  <c:v>1010</c:v>
                </c:pt>
                <c:pt idx="1">
                  <c:v>1079</c:v>
                </c:pt>
                <c:pt idx="2">
                  <c:v>1027</c:v>
                </c:pt>
                <c:pt idx="3">
                  <c:v>1010</c:v>
                </c:pt>
                <c:pt idx="4">
                  <c:v>970</c:v>
                </c:pt>
              </c:numCache>
            </c:numRef>
          </c:val>
          <c:smooth val="0"/>
          <c:extLst>
            <c:ext xmlns:c16="http://schemas.microsoft.com/office/drawing/2014/chart" uri="{C3380CC4-5D6E-409C-BE32-E72D297353CC}">
              <c16:uniqueId val="{00000001-B4A7-44C3-8C8A-C62EF0E1943E}"/>
            </c:ext>
          </c:extLst>
        </c:ser>
        <c:dLbls>
          <c:showLegendKey val="0"/>
          <c:showVal val="0"/>
          <c:showCatName val="0"/>
          <c:showSerName val="0"/>
          <c:showPercent val="0"/>
          <c:showBubbleSize val="0"/>
        </c:dLbls>
        <c:smooth val="0"/>
        <c:axId val="188859904"/>
        <c:axId val="215848576"/>
      </c:lineChart>
      <c:catAx>
        <c:axId val="188859904"/>
        <c:scaling>
          <c:orientation val="minMax"/>
        </c:scaling>
        <c:delete val="0"/>
        <c:axPos val="b"/>
        <c:numFmt formatCode="General" sourceLinked="0"/>
        <c:majorTickMark val="out"/>
        <c:minorTickMark val="none"/>
        <c:tickLblPos val="nextTo"/>
        <c:crossAx val="215848576"/>
        <c:crossesAt val="0"/>
        <c:auto val="1"/>
        <c:lblAlgn val="ctr"/>
        <c:lblOffset val="100"/>
        <c:noMultiLvlLbl val="0"/>
      </c:catAx>
      <c:valAx>
        <c:axId val="215848576"/>
        <c:scaling>
          <c:orientation val="minMax"/>
          <c:min val="0"/>
        </c:scaling>
        <c:delete val="0"/>
        <c:axPos val="l"/>
        <c:numFmt formatCode="General" sourceLinked="1"/>
        <c:majorTickMark val="out"/>
        <c:minorTickMark val="none"/>
        <c:tickLblPos val="nextTo"/>
        <c:crossAx val="188859904"/>
        <c:crosses val="autoZero"/>
        <c:crossBetween val="between"/>
      </c:valAx>
    </c:plotArea>
    <c:legend>
      <c:legendPos val="r"/>
      <c:layout/>
      <c:overlay val="0"/>
    </c:legend>
    <c:plotVisOnly val="1"/>
    <c:dispBlanksAs val="gap"/>
    <c:showDLblsOverMax val="0"/>
  </c:chart>
  <c:spPr>
    <a:ln>
      <a:solidFill>
        <a:schemeClr val="bg1">
          <a:lumMod val="85000"/>
        </a:schemeClr>
      </a:solidFill>
    </a:ln>
  </c:spPr>
  <c:txPr>
    <a:bodyPr/>
    <a:lstStyle/>
    <a:p>
      <a:pPr>
        <a:defRPr sz="110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21"/>
    </mc:Choice>
    <mc:Fallback>
      <c:style val="21"/>
    </mc:Fallback>
  </mc:AlternateContent>
  <c:chart>
    <c:autoTitleDeleted val="0"/>
    <c:plotArea>
      <c:layout/>
      <c:lineChart>
        <c:grouping val="standard"/>
        <c:varyColors val="0"/>
        <c:ser>
          <c:idx val="0"/>
          <c:order val="0"/>
          <c:tx>
            <c:strRef>
              <c:f>Lapas1!$B$1</c:f>
              <c:strCache>
                <c:ptCount val="1"/>
                <c:pt idx="0">
                  <c:v>Kauno m.</c:v>
                </c:pt>
              </c:strCache>
            </c:strRef>
          </c:tx>
          <c:spPr>
            <a:ln>
              <a:solidFill>
                <a:schemeClr val="accent3">
                  <a:lumMod val="40000"/>
                  <a:lumOff val="60000"/>
                </a:schemeClr>
              </a:solidFill>
            </a:ln>
          </c:spPr>
          <c:marker>
            <c:symbol val="none"/>
          </c:marker>
          <c:dLbls>
            <c:dLbl>
              <c:idx val="0"/>
              <c:layout>
                <c:manualLayout>
                  <c:x val="-5.4326712739307087E-2"/>
                  <c:y val="-0.1027841200114594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0D2-4B96-AEFD-7CD6FBB57F27}"/>
                </c:ext>
              </c:extLst>
            </c:dLbl>
            <c:dLbl>
              <c:idx val="1"/>
              <c:layout>
                <c:manualLayout>
                  <c:x val="-5.4326712739307066E-2"/>
                  <c:y val="-9.175876168731389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0D2-4B96-AEFD-7CD6FBB57F27}"/>
                </c:ext>
              </c:extLst>
            </c:dLbl>
            <c:dLbl>
              <c:idx val="3"/>
              <c:layout>
                <c:manualLayout>
                  <c:x val="-5.9531657436769754E-2"/>
                  <c:y val="-0.12483483665975055"/>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00F-4CC5-8FB7-EAF467B2A6C4}"/>
                </c:ext>
              </c:extLst>
            </c:dLbl>
            <c:dLbl>
              <c:idx val="4"/>
              <c:layout>
                <c:manualLayout>
                  <c:x val="-5.1724240390575771E-2"/>
                  <c:y val="-9.175876168731389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00F-4CC5-8FB7-EAF467B2A6C4}"/>
                </c:ext>
              </c:extLst>
            </c:dLbl>
            <c:numFmt formatCode="#,##0.0" sourceLinked="0"/>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Lapas1!$A$2:$A$6</c:f>
              <c:strCache>
                <c:ptCount val="5"/>
                <c:pt idx="0">
                  <c:v>2015 m.</c:v>
                </c:pt>
                <c:pt idx="1">
                  <c:v>2016 m.</c:v>
                </c:pt>
                <c:pt idx="2">
                  <c:v>2017 m.</c:v>
                </c:pt>
                <c:pt idx="3">
                  <c:v>2018 m.</c:v>
                </c:pt>
                <c:pt idx="4">
                  <c:v>2019 m.</c:v>
                </c:pt>
              </c:strCache>
            </c:strRef>
          </c:cat>
          <c:val>
            <c:numRef>
              <c:f>Lapas1!$B$2:$B$6</c:f>
              <c:numCache>
                <c:formatCode>General</c:formatCode>
                <c:ptCount val="5"/>
                <c:pt idx="0">
                  <c:v>112.82</c:v>
                </c:pt>
                <c:pt idx="1">
                  <c:v>114.69</c:v>
                </c:pt>
                <c:pt idx="2">
                  <c:v>90.18</c:v>
                </c:pt>
                <c:pt idx="3">
                  <c:v>91.81</c:v>
                </c:pt>
                <c:pt idx="4">
                  <c:v>82.97</c:v>
                </c:pt>
              </c:numCache>
            </c:numRef>
          </c:val>
          <c:smooth val="0"/>
          <c:extLst>
            <c:ext xmlns:c16="http://schemas.microsoft.com/office/drawing/2014/chart" uri="{C3380CC4-5D6E-409C-BE32-E72D297353CC}">
              <c16:uniqueId val="{00000000-B4A7-44C3-8C8A-C62EF0E1943E}"/>
            </c:ext>
          </c:extLst>
        </c:ser>
        <c:ser>
          <c:idx val="1"/>
          <c:order val="1"/>
          <c:tx>
            <c:strRef>
              <c:f>Lapas1!$C$1</c:f>
              <c:strCache>
                <c:ptCount val="1"/>
                <c:pt idx="0">
                  <c:v>Lietuva</c:v>
                </c:pt>
              </c:strCache>
            </c:strRef>
          </c:tx>
          <c:spPr>
            <a:ln>
              <a:solidFill>
                <a:schemeClr val="accent3">
                  <a:lumMod val="75000"/>
                </a:schemeClr>
              </a:solidFill>
            </a:ln>
          </c:spPr>
          <c:marker>
            <c:symbol val="none"/>
          </c:marker>
          <c:dLbls>
            <c:numFmt formatCode="#,##0.0" sourceLinked="0"/>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Lapas1!$A$2:$A$6</c:f>
              <c:strCache>
                <c:ptCount val="5"/>
                <c:pt idx="0">
                  <c:v>2015 m.</c:v>
                </c:pt>
                <c:pt idx="1">
                  <c:v>2016 m.</c:v>
                </c:pt>
                <c:pt idx="2">
                  <c:v>2017 m.</c:v>
                </c:pt>
                <c:pt idx="3">
                  <c:v>2018 m.</c:v>
                </c:pt>
                <c:pt idx="4">
                  <c:v>2019 m.</c:v>
                </c:pt>
              </c:strCache>
            </c:strRef>
          </c:cat>
          <c:val>
            <c:numRef>
              <c:f>Lapas1!$C$2:$C$6</c:f>
              <c:numCache>
                <c:formatCode>General</c:formatCode>
                <c:ptCount val="5"/>
                <c:pt idx="0">
                  <c:v>148.78</c:v>
                </c:pt>
                <c:pt idx="1">
                  <c:v>148.69999999999999</c:v>
                </c:pt>
                <c:pt idx="2">
                  <c:v>134.94999999999999</c:v>
                </c:pt>
                <c:pt idx="3">
                  <c:v>121.72</c:v>
                </c:pt>
                <c:pt idx="4">
                  <c:v>108.66</c:v>
                </c:pt>
              </c:numCache>
            </c:numRef>
          </c:val>
          <c:smooth val="0"/>
          <c:extLst>
            <c:ext xmlns:c16="http://schemas.microsoft.com/office/drawing/2014/chart" uri="{C3380CC4-5D6E-409C-BE32-E72D297353CC}">
              <c16:uniqueId val="{00000001-B4A7-44C3-8C8A-C62EF0E1943E}"/>
            </c:ext>
          </c:extLst>
        </c:ser>
        <c:dLbls>
          <c:showLegendKey val="0"/>
          <c:showVal val="0"/>
          <c:showCatName val="0"/>
          <c:showSerName val="0"/>
          <c:showPercent val="0"/>
          <c:showBubbleSize val="0"/>
        </c:dLbls>
        <c:smooth val="0"/>
        <c:axId val="213100544"/>
        <c:axId val="227393536"/>
      </c:lineChart>
      <c:catAx>
        <c:axId val="213100544"/>
        <c:scaling>
          <c:orientation val="minMax"/>
        </c:scaling>
        <c:delete val="0"/>
        <c:axPos val="b"/>
        <c:numFmt formatCode="General" sourceLinked="0"/>
        <c:majorTickMark val="out"/>
        <c:minorTickMark val="none"/>
        <c:tickLblPos val="nextTo"/>
        <c:crossAx val="227393536"/>
        <c:crossesAt val="0"/>
        <c:auto val="1"/>
        <c:lblAlgn val="ctr"/>
        <c:lblOffset val="100"/>
        <c:noMultiLvlLbl val="0"/>
      </c:catAx>
      <c:valAx>
        <c:axId val="227393536"/>
        <c:scaling>
          <c:orientation val="minMax"/>
          <c:max val="160"/>
          <c:min val="80"/>
        </c:scaling>
        <c:delete val="0"/>
        <c:axPos val="l"/>
        <c:numFmt formatCode="General" sourceLinked="1"/>
        <c:majorTickMark val="out"/>
        <c:minorTickMark val="none"/>
        <c:tickLblPos val="nextTo"/>
        <c:crossAx val="213100544"/>
        <c:crosses val="autoZero"/>
        <c:crossBetween val="between"/>
        <c:majorUnit val="20"/>
      </c:valAx>
    </c:plotArea>
    <c:legend>
      <c:legendPos val="r"/>
      <c:layout/>
      <c:overlay val="0"/>
    </c:legend>
    <c:plotVisOnly val="1"/>
    <c:dispBlanksAs val="gap"/>
    <c:showDLblsOverMax val="0"/>
  </c:chart>
  <c:spPr>
    <a:ln>
      <a:solidFill>
        <a:schemeClr val="bg1">
          <a:lumMod val="85000"/>
        </a:schemeClr>
      </a:solidFill>
    </a:ln>
  </c:spPr>
  <c:txPr>
    <a:bodyPr/>
    <a:lstStyle/>
    <a:p>
      <a:pPr>
        <a:defRPr sz="110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21"/>
    </mc:Choice>
    <mc:Fallback>
      <c:style val="21"/>
    </mc:Fallback>
  </mc:AlternateContent>
  <c:chart>
    <c:autoTitleDeleted val="0"/>
    <c:plotArea>
      <c:layout/>
      <c:lineChart>
        <c:grouping val="standard"/>
        <c:varyColors val="0"/>
        <c:ser>
          <c:idx val="0"/>
          <c:order val="0"/>
          <c:tx>
            <c:strRef>
              <c:f>Lapas1!$B$1</c:f>
              <c:strCache>
                <c:ptCount val="1"/>
                <c:pt idx="0">
                  <c:v>0–24 m.</c:v>
                </c:pt>
              </c:strCache>
            </c:strRef>
          </c:tx>
          <c:spPr>
            <a:ln>
              <a:solidFill>
                <a:schemeClr val="accent3"/>
              </a:solidFill>
            </a:ln>
          </c:spPr>
          <c:marker>
            <c:symbol val="none"/>
          </c:marker>
          <c:dLbls>
            <c:dLbl>
              <c:idx val="0"/>
              <c:layout>
                <c:manualLayout>
                  <c:x val="-5.4249062812054959E-2"/>
                  <c:y val="7.381572263144521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267-4816-8C3F-31565A077A23}"/>
                </c:ext>
              </c:extLst>
            </c:dLbl>
            <c:dLbl>
              <c:idx val="1"/>
              <c:layout>
                <c:manualLayout>
                  <c:x val="-5.4249062812054986E-2"/>
                  <c:y val="9.397701295402591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267-4816-8C3F-31565A077A23}"/>
                </c:ext>
              </c:extLst>
            </c:dLbl>
            <c:dLbl>
              <c:idx val="2"/>
              <c:layout>
                <c:manualLayout>
                  <c:x val="-5.4322605127835252E-2"/>
                  <c:y val="6.33792977953278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FF0-464C-A5E6-821EE550F879}"/>
                </c:ext>
              </c:extLst>
            </c:dLbl>
            <c:dLbl>
              <c:idx val="3"/>
              <c:layout>
                <c:manualLayout>
                  <c:x val="-5.4326712739307163E-2"/>
                  <c:y val="6.356353893263341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FF0-464C-A5E6-821EE550F879}"/>
                </c:ext>
              </c:extLst>
            </c:dLbl>
            <c:dLbl>
              <c:idx val="4"/>
              <c:layout>
                <c:manualLayout>
                  <c:x val="-5.6847815410807537E-2"/>
                  <c:y val="5.125199504130351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D43-4490-AE87-E66153929C5B}"/>
                </c:ext>
              </c:extLst>
            </c:dLbl>
            <c:numFmt formatCode="#,##0.0" sourceLinked="0"/>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Lapas1!$A$2:$A$6</c:f>
              <c:strCache>
                <c:ptCount val="5"/>
                <c:pt idx="0">
                  <c:v>2015 m.</c:v>
                </c:pt>
                <c:pt idx="1">
                  <c:v>2016 m.</c:v>
                </c:pt>
                <c:pt idx="2">
                  <c:v>2017 m.</c:v>
                </c:pt>
                <c:pt idx="3">
                  <c:v>2018 m.</c:v>
                </c:pt>
                <c:pt idx="4">
                  <c:v>2019 m.</c:v>
                </c:pt>
              </c:strCache>
            </c:strRef>
          </c:cat>
          <c:val>
            <c:numRef>
              <c:f>Lapas1!$B$2:$B$6</c:f>
              <c:numCache>
                <c:formatCode>General</c:formatCode>
                <c:ptCount val="5"/>
                <c:pt idx="0">
                  <c:v>120.53</c:v>
                </c:pt>
                <c:pt idx="1">
                  <c:v>119.96</c:v>
                </c:pt>
                <c:pt idx="2">
                  <c:v>91.21</c:v>
                </c:pt>
                <c:pt idx="3">
                  <c:v>90.31</c:v>
                </c:pt>
                <c:pt idx="4">
                  <c:v>82.11</c:v>
                </c:pt>
              </c:numCache>
            </c:numRef>
          </c:val>
          <c:smooth val="0"/>
          <c:extLst>
            <c:ext xmlns:c16="http://schemas.microsoft.com/office/drawing/2014/chart" uri="{C3380CC4-5D6E-409C-BE32-E72D297353CC}">
              <c16:uniqueId val="{00000000-B4A7-44C3-8C8A-C62EF0E1943E}"/>
            </c:ext>
          </c:extLst>
        </c:ser>
        <c:ser>
          <c:idx val="1"/>
          <c:order val="1"/>
          <c:tx>
            <c:strRef>
              <c:f>Lapas1!$C$1</c:f>
              <c:strCache>
                <c:ptCount val="1"/>
                <c:pt idx="0">
                  <c:v>25–64 m.</c:v>
                </c:pt>
              </c:strCache>
            </c:strRef>
          </c:tx>
          <c:spPr>
            <a:ln>
              <a:solidFill>
                <a:schemeClr val="accent3">
                  <a:lumMod val="50000"/>
                </a:schemeClr>
              </a:solidFill>
            </a:ln>
          </c:spPr>
          <c:marker>
            <c:symbol val="none"/>
          </c:marker>
          <c:dLbls>
            <c:numFmt formatCode="#,##0.0" sourceLinked="0"/>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Lapas1!$A$2:$A$6</c:f>
              <c:strCache>
                <c:ptCount val="5"/>
                <c:pt idx="0">
                  <c:v>2015 m.</c:v>
                </c:pt>
                <c:pt idx="1">
                  <c:v>2016 m.</c:v>
                </c:pt>
                <c:pt idx="2">
                  <c:v>2017 m.</c:v>
                </c:pt>
                <c:pt idx="3">
                  <c:v>2018 m.</c:v>
                </c:pt>
                <c:pt idx="4">
                  <c:v>2019 m.</c:v>
                </c:pt>
              </c:strCache>
            </c:strRef>
          </c:cat>
          <c:val>
            <c:numRef>
              <c:f>Lapas1!$C$2:$C$6</c:f>
              <c:numCache>
                <c:formatCode>General</c:formatCode>
                <c:ptCount val="5"/>
                <c:pt idx="0">
                  <c:v>141.80000000000001</c:v>
                </c:pt>
                <c:pt idx="1">
                  <c:v>144.33000000000001</c:v>
                </c:pt>
                <c:pt idx="2">
                  <c:v>118.99</c:v>
                </c:pt>
                <c:pt idx="3">
                  <c:v>116.77</c:v>
                </c:pt>
                <c:pt idx="4">
                  <c:v>106.64</c:v>
                </c:pt>
              </c:numCache>
            </c:numRef>
          </c:val>
          <c:smooth val="0"/>
          <c:extLst>
            <c:ext xmlns:c16="http://schemas.microsoft.com/office/drawing/2014/chart" uri="{C3380CC4-5D6E-409C-BE32-E72D297353CC}">
              <c16:uniqueId val="{00000001-B4A7-44C3-8C8A-C62EF0E1943E}"/>
            </c:ext>
          </c:extLst>
        </c:ser>
        <c:ser>
          <c:idx val="2"/>
          <c:order val="2"/>
          <c:tx>
            <c:strRef>
              <c:f>Lapas1!$D$1</c:f>
              <c:strCache>
                <c:ptCount val="1"/>
                <c:pt idx="0">
                  <c:v>65+ m.</c:v>
                </c:pt>
              </c:strCache>
            </c:strRef>
          </c:tx>
          <c:spPr>
            <a:ln>
              <a:solidFill>
                <a:schemeClr val="accent3">
                  <a:lumMod val="40000"/>
                  <a:lumOff val="60000"/>
                </a:schemeClr>
              </a:solidFill>
            </a:ln>
          </c:spPr>
          <c:marker>
            <c:symbol val="none"/>
          </c:marker>
          <c:dLbls>
            <c:dLbl>
              <c:idx val="0"/>
              <c:layout>
                <c:manualLayout>
                  <c:x val="-5.4322605127835252E-2"/>
                  <c:y val="-0.10189819352541975"/>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FF0-464C-A5E6-821EE550F879}"/>
                </c:ext>
              </c:extLst>
            </c:dLbl>
            <c:dLbl>
              <c:idx val="1"/>
              <c:layout>
                <c:manualLayout>
                  <c:x val="-5.4326712739307066E-2"/>
                  <c:y val="-0.10240594925634296"/>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5FF0-464C-A5E6-821EE550F879}"/>
                </c:ext>
              </c:extLst>
            </c:dLbl>
            <c:dLbl>
              <c:idx val="2"/>
              <c:layout>
                <c:manualLayout>
                  <c:x val="-5.4322605127835252E-2"/>
                  <c:y val="-6.241241035056069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5FF0-464C-A5E6-821EE550F879}"/>
                </c:ext>
              </c:extLst>
            </c:dLbl>
            <c:dLbl>
              <c:idx val="3"/>
              <c:layout>
                <c:manualLayout>
                  <c:x val="-5.6925164110203479E-2"/>
                  <c:y val="-4.897527940316447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5FF0-464C-A5E6-821EE550F879}"/>
                </c:ext>
              </c:extLst>
            </c:dLbl>
            <c:dLbl>
              <c:idx val="4"/>
              <c:layout>
                <c:manualLayout>
                  <c:x val="-5.6847815410807537E-2"/>
                  <c:y val="-4.698431982009642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D43-4490-AE87-E66153929C5B}"/>
                </c:ext>
              </c:extLst>
            </c:dLbl>
            <c:numFmt formatCode="#,##0.0" sourceLinked="0"/>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Lapas1!$A$2:$A$6</c:f>
              <c:strCache>
                <c:ptCount val="5"/>
                <c:pt idx="0">
                  <c:v>2015 m.</c:v>
                </c:pt>
                <c:pt idx="1">
                  <c:v>2016 m.</c:v>
                </c:pt>
                <c:pt idx="2">
                  <c:v>2017 m.</c:v>
                </c:pt>
                <c:pt idx="3">
                  <c:v>2018 m.</c:v>
                </c:pt>
                <c:pt idx="4">
                  <c:v>2019 m.</c:v>
                </c:pt>
              </c:strCache>
            </c:strRef>
          </c:cat>
          <c:val>
            <c:numRef>
              <c:f>Lapas1!$D$2:$D$6</c:f>
              <c:numCache>
                <c:formatCode>General</c:formatCode>
                <c:ptCount val="5"/>
                <c:pt idx="0">
                  <c:v>24.95</c:v>
                </c:pt>
                <c:pt idx="1">
                  <c:v>24.56</c:v>
                </c:pt>
                <c:pt idx="2">
                  <c:v>13.29</c:v>
                </c:pt>
                <c:pt idx="3">
                  <c:v>28.34</c:v>
                </c:pt>
                <c:pt idx="4">
                  <c:v>21.71</c:v>
                </c:pt>
              </c:numCache>
            </c:numRef>
          </c:val>
          <c:smooth val="0"/>
          <c:extLst>
            <c:ext xmlns:c16="http://schemas.microsoft.com/office/drawing/2014/chart" uri="{C3380CC4-5D6E-409C-BE32-E72D297353CC}">
              <c16:uniqueId val="{00000006-5FF0-464C-A5E6-821EE550F879}"/>
            </c:ext>
          </c:extLst>
        </c:ser>
        <c:dLbls>
          <c:showLegendKey val="0"/>
          <c:showVal val="0"/>
          <c:showCatName val="0"/>
          <c:showSerName val="0"/>
          <c:showPercent val="0"/>
          <c:showBubbleSize val="0"/>
        </c:dLbls>
        <c:smooth val="0"/>
        <c:axId val="213102080"/>
        <c:axId val="227396416"/>
      </c:lineChart>
      <c:catAx>
        <c:axId val="213102080"/>
        <c:scaling>
          <c:orientation val="minMax"/>
        </c:scaling>
        <c:delete val="0"/>
        <c:axPos val="b"/>
        <c:numFmt formatCode="General" sourceLinked="0"/>
        <c:majorTickMark val="out"/>
        <c:minorTickMark val="none"/>
        <c:tickLblPos val="nextTo"/>
        <c:crossAx val="227396416"/>
        <c:crossesAt val="0"/>
        <c:auto val="1"/>
        <c:lblAlgn val="ctr"/>
        <c:lblOffset val="100"/>
        <c:noMultiLvlLbl val="0"/>
      </c:catAx>
      <c:valAx>
        <c:axId val="227396416"/>
        <c:scaling>
          <c:orientation val="minMax"/>
          <c:max val="160"/>
          <c:min val="0"/>
        </c:scaling>
        <c:delete val="0"/>
        <c:axPos val="l"/>
        <c:numFmt formatCode="General" sourceLinked="1"/>
        <c:majorTickMark val="out"/>
        <c:minorTickMark val="none"/>
        <c:tickLblPos val="nextTo"/>
        <c:crossAx val="213102080"/>
        <c:crosses val="autoZero"/>
        <c:crossBetween val="between"/>
        <c:majorUnit val="30"/>
      </c:valAx>
    </c:plotArea>
    <c:legend>
      <c:legendPos val="r"/>
      <c:layout/>
      <c:overlay val="0"/>
    </c:legend>
    <c:plotVisOnly val="1"/>
    <c:dispBlanksAs val="gap"/>
    <c:showDLblsOverMax val="0"/>
  </c:chart>
  <c:spPr>
    <a:ln>
      <a:solidFill>
        <a:schemeClr val="bg1">
          <a:lumMod val="85000"/>
        </a:schemeClr>
      </a:solidFill>
    </a:ln>
  </c:spPr>
  <c:txPr>
    <a:bodyPr/>
    <a:lstStyle/>
    <a:p>
      <a:pPr>
        <a:defRPr sz="110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21"/>
    </mc:Choice>
    <mc:Fallback>
      <c:style val="21"/>
    </mc:Fallback>
  </mc:AlternateContent>
  <c:chart>
    <c:autoTitleDeleted val="0"/>
    <c:plotArea>
      <c:layout/>
      <c:lineChart>
        <c:grouping val="standard"/>
        <c:varyColors val="0"/>
        <c:ser>
          <c:idx val="0"/>
          <c:order val="0"/>
          <c:tx>
            <c:strRef>
              <c:f>Lapas1!$B$1</c:f>
              <c:strCache>
                <c:ptCount val="1"/>
                <c:pt idx="0">
                  <c:v>Kauno m.</c:v>
                </c:pt>
              </c:strCache>
            </c:strRef>
          </c:tx>
          <c:spPr>
            <a:ln>
              <a:solidFill>
                <a:schemeClr val="accent3">
                  <a:lumMod val="40000"/>
                  <a:lumOff val="60000"/>
                </a:schemeClr>
              </a:solidFill>
            </a:ln>
          </c:spPr>
          <c:marker>
            <c:symbol val="none"/>
          </c:marker>
          <c:dLbls>
            <c:dLbl>
              <c:idx val="2"/>
              <c:layout>
                <c:manualLayout>
                  <c:x val="-4.7169913780296002E-2"/>
                  <c:y val="3.735101533360961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EBD-4BEA-B3DA-2DE08D375DFC}"/>
                </c:ext>
              </c:extLst>
            </c:dLbl>
            <c:dLbl>
              <c:idx val="3"/>
              <c:layout>
                <c:manualLayout>
                  <c:x val="-8.135696991851394E-3"/>
                  <c:y val="3.076407115777194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EBD-4BEA-B3DA-2DE08D375DFC}"/>
                </c:ext>
              </c:extLst>
            </c:dLbl>
            <c:numFmt formatCode="#,##0.0" sourceLinked="0"/>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Lapas1!$A$2:$A$6</c:f>
              <c:strCache>
                <c:ptCount val="5"/>
                <c:pt idx="0">
                  <c:v>2015 m.</c:v>
                </c:pt>
                <c:pt idx="1">
                  <c:v>2016 m.</c:v>
                </c:pt>
                <c:pt idx="2">
                  <c:v>2017 m.</c:v>
                </c:pt>
                <c:pt idx="3">
                  <c:v>2018 m.</c:v>
                </c:pt>
                <c:pt idx="4">
                  <c:v>2019 m.</c:v>
                </c:pt>
              </c:strCache>
            </c:strRef>
          </c:cat>
          <c:val>
            <c:numRef>
              <c:f>Lapas1!$B$2:$B$6</c:f>
              <c:numCache>
                <c:formatCode>General</c:formatCode>
                <c:ptCount val="5"/>
                <c:pt idx="0">
                  <c:v>6.01</c:v>
                </c:pt>
                <c:pt idx="1">
                  <c:v>5.08</c:v>
                </c:pt>
                <c:pt idx="2">
                  <c:v>2.41</c:v>
                </c:pt>
                <c:pt idx="3">
                  <c:v>2.78</c:v>
                </c:pt>
                <c:pt idx="4">
                  <c:v>5.21</c:v>
                </c:pt>
              </c:numCache>
            </c:numRef>
          </c:val>
          <c:smooth val="0"/>
          <c:extLst>
            <c:ext xmlns:c16="http://schemas.microsoft.com/office/drawing/2014/chart" uri="{C3380CC4-5D6E-409C-BE32-E72D297353CC}">
              <c16:uniqueId val="{00000000-B4A7-44C3-8C8A-C62EF0E1943E}"/>
            </c:ext>
          </c:extLst>
        </c:ser>
        <c:ser>
          <c:idx val="1"/>
          <c:order val="1"/>
          <c:tx>
            <c:strRef>
              <c:f>Lapas1!$C$1</c:f>
              <c:strCache>
                <c:ptCount val="1"/>
                <c:pt idx="0">
                  <c:v>Lietuva</c:v>
                </c:pt>
              </c:strCache>
            </c:strRef>
          </c:tx>
          <c:spPr>
            <a:ln>
              <a:solidFill>
                <a:schemeClr val="accent3">
                  <a:lumMod val="75000"/>
                </a:schemeClr>
              </a:solidFill>
            </a:ln>
          </c:spPr>
          <c:marker>
            <c:symbol val="none"/>
          </c:marker>
          <c:dLbls>
            <c:numFmt formatCode="#,##0.0" sourceLinked="0"/>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Lapas1!$A$2:$A$6</c:f>
              <c:strCache>
                <c:ptCount val="5"/>
                <c:pt idx="0">
                  <c:v>2015 m.</c:v>
                </c:pt>
                <c:pt idx="1">
                  <c:v>2016 m.</c:v>
                </c:pt>
                <c:pt idx="2">
                  <c:v>2017 m.</c:v>
                </c:pt>
                <c:pt idx="3">
                  <c:v>2018 m.</c:v>
                </c:pt>
                <c:pt idx="4">
                  <c:v>2019 m.</c:v>
                </c:pt>
              </c:strCache>
            </c:strRef>
          </c:cat>
          <c:val>
            <c:numRef>
              <c:f>Lapas1!$C$2:$C$6</c:f>
              <c:numCache>
                <c:formatCode>General</c:formatCode>
                <c:ptCount val="5"/>
                <c:pt idx="0">
                  <c:v>5.4</c:v>
                </c:pt>
                <c:pt idx="1">
                  <c:v>7.46</c:v>
                </c:pt>
                <c:pt idx="2">
                  <c:v>9.3000000000000007</c:v>
                </c:pt>
                <c:pt idx="3">
                  <c:v>5.71</c:v>
                </c:pt>
                <c:pt idx="4">
                  <c:v>5.4</c:v>
                </c:pt>
              </c:numCache>
            </c:numRef>
          </c:val>
          <c:smooth val="0"/>
          <c:extLst>
            <c:ext xmlns:c16="http://schemas.microsoft.com/office/drawing/2014/chart" uri="{C3380CC4-5D6E-409C-BE32-E72D297353CC}">
              <c16:uniqueId val="{00000001-B4A7-44C3-8C8A-C62EF0E1943E}"/>
            </c:ext>
          </c:extLst>
        </c:ser>
        <c:dLbls>
          <c:dLblPos val="r"/>
          <c:showLegendKey val="0"/>
          <c:showVal val="1"/>
          <c:showCatName val="0"/>
          <c:showSerName val="0"/>
          <c:showPercent val="0"/>
          <c:showBubbleSize val="0"/>
        </c:dLbls>
        <c:smooth val="0"/>
        <c:axId val="188860416"/>
        <c:axId val="227398144"/>
      </c:lineChart>
      <c:catAx>
        <c:axId val="188860416"/>
        <c:scaling>
          <c:orientation val="minMax"/>
        </c:scaling>
        <c:delete val="0"/>
        <c:axPos val="b"/>
        <c:numFmt formatCode="General" sourceLinked="0"/>
        <c:majorTickMark val="out"/>
        <c:minorTickMark val="none"/>
        <c:tickLblPos val="nextTo"/>
        <c:crossAx val="227398144"/>
        <c:crossesAt val="0"/>
        <c:auto val="1"/>
        <c:lblAlgn val="ctr"/>
        <c:lblOffset val="100"/>
        <c:noMultiLvlLbl val="0"/>
      </c:catAx>
      <c:valAx>
        <c:axId val="227398144"/>
        <c:scaling>
          <c:orientation val="minMax"/>
          <c:max val="10"/>
          <c:min val="0"/>
        </c:scaling>
        <c:delete val="0"/>
        <c:axPos val="l"/>
        <c:numFmt formatCode="General" sourceLinked="1"/>
        <c:majorTickMark val="out"/>
        <c:minorTickMark val="none"/>
        <c:tickLblPos val="nextTo"/>
        <c:crossAx val="188860416"/>
        <c:crosses val="autoZero"/>
        <c:crossBetween val="between"/>
        <c:majorUnit val="2"/>
      </c:valAx>
    </c:plotArea>
    <c:legend>
      <c:legendPos val="r"/>
      <c:layout/>
      <c:overlay val="0"/>
    </c:legend>
    <c:plotVisOnly val="1"/>
    <c:dispBlanksAs val="gap"/>
    <c:showDLblsOverMax val="0"/>
  </c:chart>
  <c:spPr>
    <a:ln>
      <a:solidFill>
        <a:schemeClr val="bg1">
          <a:lumMod val="85000"/>
        </a:schemeClr>
      </a:solidFill>
    </a:ln>
  </c:spPr>
  <c:txPr>
    <a:bodyPr/>
    <a:lstStyle/>
    <a:p>
      <a:pPr>
        <a:defRPr sz="110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21"/>
    </mc:Choice>
    <mc:Fallback>
      <c:style val="21"/>
    </mc:Fallback>
  </mc:AlternateContent>
  <c:chart>
    <c:autoTitleDeleted val="0"/>
    <c:plotArea>
      <c:layout/>
      <c:lineChart>
        <c:grouping val="standard"/>
        <c:varyColors val="0"/>
        <c:ser>
          <c:idx val="0"/>
          <c:order val="0"/>
          <c:tx>
            <c:strRef>
              <c:f>Lapas1!$B$1</c:f>
              <c:strCache>
                <c:ptCount val="1"/>
                <c:pt idx="0">
                  <c:v>Kauno m.</c:v>
                </c:pt>
              </c:strCache>
            </c:strRef>
          </c:tx>
          <c:spPr>
            <a:ln>
              <a:solidFill>
                <a:schemeClr val="accent3">
                  <a:lumMod val="40000"/>
                  <a:lumOff val="60000"/>
                </a:schemeClr>
              </a:solidFill>
            </a:ln>
          </c:spPr>
          <c:marker>
            <c:symbol val="none"/>
          </c:marker>
          <c:dLbls>
            <c:dLbl>
              <c:idx val="3"/>
              <c:layout>
                <c:manualLayout>
                  <c:x val="-4.2554676117668243E-2"/>
                  <c:y val="3.703404143968399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07E-4CF1-B79E-BFC42902660F}"/>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Lapas1!$A$2:$A$6</c:f>
              <c:strCache>
                <c:ptCount val="5"/>
                <c:pt idx="0">
                  <c:v>2015 m.</c:v>
                </c:pt>
                <c:pt idx="1">
                  <c:v>2016 m.</c:v>
                </c:pt>
                <c:pt idx="2">
                  <c:v>2017 m.</c:v>
                </c:pt>
                <c:pt idx="3">
                  <c:v>2018 m.</c:v>
                </c:pt>
                <c:pt idx="4">
                  <c:v>2019 m.</c:v>
                </c:pt>
              </c:strCache>
            </c:strRef>
          </c:cat>
          <c:val>
            <c:numRef>
              <c:f>Lapas1!$B$2:$B$6</c:f>
              <c:numCache>
                <c:formatCode>General</c:formatCode>
                <c:ptCount val="5"/>
                <c:pt idx="0">
                  <c:v>1.4</c:v>
                </c:pt>
                <c:pt idx="1">
                  <c:v>1.4</c:v>
                </c:pt>
                <c:pt idx="2">
                  <c:v>1.6</c:v>
                </c:pt>
                <c:pt idx="3">
                  <c:v>0.7</c:v>
                </c:pt>
                <c:pt idx="4">
                  <c:v>1.4</c:v>
                </c:pt>
              </c:numCache>
            </c:numRef>
          </c:val>
          <c:smooth val="0"/>
          <c:extLst>
            <c:ext xmlns:c16="http://schemas.microsoft.com/office/drawing/2014/chart" uri="{C3380CC4-5D6E-409C-BE32-E72D297353CC}">
              <c16:uniqueId val="{00000002-907E-4CF1-B79E-BFC42902660F}"/>
            </c:ext>
          </c:extLst>
        </c:ser>
        <c:ser>
          <c:idx val="1"/>
          <c:order val="1"/>
          <c:tx>
            <c:strRef>
              <c:f>Lapas1!$C$1</c:f>
              <c:strCache>
                <c:ptCount val="1"/>
                <c:pt idx="0">
                  <c:v>Lietuva</c:v>
                </c:pt>
              </c:strCache>
            </c:strRef>
          </c:tx>
          <c:spPr>
            <a:ln>
              <a:solidFill>
                <a:schemeClr val="accent3">
                  <a:lumMod val="75000"/>
                </a:schemeClr>
              </a:solidFill>
            </a:ln>
          </c:spPr>
          <c:marker>
            <c:symbol val="none"/>
          </c:marker>
          <c:dLbls>
            <c:dLbl>
              <c:idx val="3"/>
              <c:layout>
                <c:manualLayout>
                  <c:x val="-3.9955923518915644E-2"/>
                  <c:y val="-0.11759798907311818"/>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907E-4CF1-B79E-BFC42902660F}"/>
                </c:ext>
              </c:extLst>
            </c:dLbl>
            <c:dLbl>
              <c:idx val="4"/>
              <c:numFmt formatCode="#,##0.0" sourceLinked="0"/>
              <c:spPr>
                <a:noFill/>
                <a:ln>
                  <a:noFill/>
                </a:ln>
                <a:effectLst/>
              </c:spPr>
              <c:txPr>
                <a:bodyPr wrap="square" lIns="38100" tIns="19050" rIns="38100" bIns="19050" anchor="ctr">
                  <a:spAutoFit/>
                </a:bodyPr>
                <a:lstStyle/>
                <a:p>
                  <a:pPr>
                    <a:defRPr/>
                  </a:pPr>
                  <a:endParaRPr lang="lt-LT"/>
                </a:p>
              </c:txPr>
              <c:dLblPos val="b"/>
              <c:showLegendKey val="0"/>
              <c:showVal val="1"/>
              <c:showCatName val="0"/>
              <c:showSerName val="0"/>
              <c:showPercent val="0"/>
              <c:showBubbleSize val="0"/>
              <c:extLst>
                <c:ext xmlns:c16="http://schemas.microsoft.com/office/drawing/2014/chart" uri="{C3380CC4-5D6E-409C-BE32-E72D297353CC}">
                  <c16:uniqueId val="{00000005-907E-4CF1-B79E-BFC42902660F}"/>
                </c:ext>
              </c:extLst>
            </c:dLbl>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Lapas1!$A$2:$A$6</c:f>
              <c:strCache>
                <c:ptCount val="5"/>
                <c:pt idx="0">
                  <c:v>2015 m.</c:v>
                </c:pt>
                <c:pt idx="1">
                  <c:v>2016 m.</c:v>
                </c:pt>
                <c:pt idx="2">
                  <c:v>2017 m.</c:v>
                </c:pt>
                <c:pt idx="3">
                  <c:v>2018 m.</c:v>
                </c:pt>
                <c:pt idx="4">
                  <c:v>2019 m.</c:v>
                </c:pt>
              </c:strCache>
            </c:strRef>
          </c:cat>
          <c:val>
            <c:numRef>
              <c:f>Lapas1!$C$2:$C$6</c:f>
              <c:numCache>
                <c:formatCode>General</c:formatCode>
                <c:ptCount val="5"/>
                <c:pt idx="0">
                  <c:v>1.02</c:v>
                </c:pt>
                <c:pt idx="1">
                  <c:v>0.9</c:v>
                </c:pt>
                <c:pt idx="2">
                  <c:v>1.1000000000000001</c:v>
                </c:pt>
                <c:pt idx="3">
                  <c:v>0.9</c:v>
                </c:pt>
                <c:pt idx="4">
                  <c:v>1</c:v>
                </c:pt>
              </c:numCache>
            </c:numRef>
          </c:val>
          <c:smooth val="0"/>
          <c:extLst>
            <c:ext xmlns:c16="http://schemas.microsoft.com/office/drawing/2014/chart" uri="{C3380CC4-5D6E-409C-BE32-E72D297353CC}">
              <c16:uniqueId val="{00000003-907E-4CF1-B79E-BFC42902660F}"/>
            </c:ext>
          </c:extLst>
        </c:ser>
        <c:dLbls>
          <c:dLblPos val="r"/>
          <c:showLegendKey val="0"/>
          <c:showVal val="1"/>
          <c:showCatName val="0"/>
          <c:showSerName val="0"/>
          <c:showPercent val="0"/>
          <c:showBubbleSize val="0"/>
        </c:dLbls>
        <c:smooth val="0"/>
        <c:axId val="188860416"/>
        <c:axId val="227398144"/>
      </c:lineChart>
      <c:catAx>
        <c:axId val="188860416"/>
        <c:scaling>
          <c:orientation val="minMax"/>
        </c:scaling>
        <c:delete val="0"/>
        <c:axPos val="b"/>
        <c:numFmt formatCode="General" sourceLinked="0"/>
        <c:majorTickMark val="out"/>
        <c:minorTickMark val="none"/>
        <c:tickLblPos val="nextTo"/>
        <c:crossAx val="227398144"/>
        <c:crossesAt val="0"/>
        <c:auto val="1"/>
        <c:lblAlgn val="ctr"/>
        <c:lblOffset val="100"/>
        <c:noMultiLvlLbl val="0"/>
      </c:catAx>
      <c:valAx>
        <c:axId val="227398144"/>
        <c:scaling>
          <c:orientation val="minMax"/>
          <c:min val="0"/>
        </c:scaling>
        <c:delete val="0"/>
        <c:axPos val="l"/>
        <c:numFmt formatCode="General" sourceLinked="1"/>
        <c:majorTickMark val="out"/>
        <c:minorTickMark val="none"/>
        <c:tickLblPos val="nextTo"/>
        <c:crossAx val="188860416"/>
        <c:crosses val="autoZero"/>
        <c:crossBetween val="between"/>
        <c:majorUnit val="0.4"/>
        <c:minorUnit val="0.30000000000000004"/>
      </c:valAx>
    </c:plotArea>
    <c:legend>
      <c:legendPos val="r"/>
      <c:layout/>
      <c:overlay val="0"/>
    </c:legend>
    <c:plotVisOnly val="1"/>
    <c:dispBlanksAs val="gap"/>
    <c:showDLblsOverMax val="0"/>
  </c:chart>
  <c:spPr>
    <a:ln>
      <a:solidFill>
        <a:schemeClr val="bg1">
          <a:lumMod val="85000"/>
        </a:schemeClr>
      </a:solidFill>
    </a:ln>
  </c:spPr>
  <c:txPr>
    <a:bodyPr/>
    <a:lstStyle/>
    <a:p>
      <a:pPr>
        <a:defRPr sz="110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5FD22-16B3-4C8F-8E71-33C99CE92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21277</Words>
  <Characters>12129</Characters>
  <Application>Microsoft Office Word</Application>
  <DocSecurity>0</DocSecurity>
  <Lines>101</Lines>
  <Paragraphs>66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edita.stundyte@kaunovsb.lt</dc:creator>
  <cp:lastModifiedBy>Lina Rutavičienė</cp:lastModifiedBy>
  <cp:revision>2</cp:revision>
  <cp:lastPrinted>2020-12-22T06:21:00Z</cp:lastPrinted>
  <dcterms:created xsi:type="dcterms:W3CDTF">2021-02-03T10:49:00Z</dcterms:created>
  <dcterms:modified xsi:type="dcterms:W3CDTF">2021-02-03T10:49:00Z</dcterms:modified>
</cp:coreProperties>
</file>