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08" w:rsidRDefault="005B7008" w:rsidP="00B71408">
      <w:pPr>
        <w:ind w:left="5387"/>
        <w:rPr>
          <w:color w:val="000000"/>
        </w:rPr>
      </w:pPr>
      <w:r>
        <w:rPr>
          <w:color w:val="000000"/>
        </w:rPr>
        <w:t xml:space="preserve">PATVIRTINTA </w:t>
      </w:r>
    </w:p>
    <w:p w:rsidR="005B7008" w:rsidRDefault="00430223" w:rsidP="00B71408">
      <w:pPr>
        <w:ind w:left="5387"/>
        <w:rPr>
          <w:color w:val="000000"/>
        </w:rPr>
      </w:pPr>
      <w:r w:rsidRPr="00430223">
        <w:rPr>
          <w:color w:val="000000"/>
        </w:rPr>
        <w:t>K</w:t>
      </w:r>
      <w:r>
        <w:rPr>
          <w:color w:val="000000"/>
        </w:rPr>
        <w:t>auno miesto savivaldybės</w:t>
      </w:r>
      <w:r w:rsidR="005B7008">
        <w:rPr>
          <w:color w:val="000000"/>
        </w:rPr>
        <w:t xml:space="preserve"> tarybos</w:t>
      </w:r>
    </w:p>
    <w:p w:rsidR="005B7008" w:rsidRDefault="005B7008" w:rsidP="00B71408">
      <w:pPr>
        <w:ind w:left="5387"/>
        <w:rPr>
          <w:color w:val="000000"/>
        </w:rPr>
      </w:pPr>
      <w:r>
        <w:rPr>
          <w:color w:val="000000"/>
        </w:rPr>
        <w:t>2016 m</w:t>
      </w:r>
      <w:r w:rsidR="00847113">
        <w:rPr>
          <w:color w:val="000000"/>
        </w:rPr>
        <w:t xml:space="preserve">. </w:t>
      </w:r>
      <w:r w:rsidR="008B17B8">
        <w:rPr>
          <w:color w:val="000000"/>
        </w:rPr>
        <w:t xml:space="preserve">gegužės 3 d. </w:t>
      </w:r>
    </w:p>
    <w:p w:rsidR="005B7008" w:rsidRPr="00430223" w:rsidRDefault="005B7008" w:rsidP="00B71408">
      <w:pPr>
        <w:ind w:left="5387"/>
        <w:rPr>
          <w:color w:val="000000"/>
        </w:rPr>
      </w:pPr>
      <w:r>
        <w:rPr>
          <w:color w:val="000000"/>
        </w:rPr>
        <w:t xml:space="preserve">sprendimu Nr. </w:t>
      </w:r>
      <w:hyperlink r:id="rId9" w:history="1">
        <w:r w:rsidRPr="00AB5A86">
          <w:rPr>
            <w:rStyle w:val="Hipersaitas"/>
          </w:rPr>
          <w:t>T-</w:t>
        </w:r>
        <w:r w:rsidR="00424CB4" w:rsidRPr="00AB5A86">
          <w:rPr>
            <w:rStyle w:val="Hipersaitas"/>
          </w:rPr>
          <w:t>196</w:t>
        </w:r>
      </w:hyperlink>
    </w:p>
    <w:p w:rsidR="00430223" w:rsidRPr="00430223" w:rsidRDefault="00430223" w:rsidP="00E30063">
      <w:pPr>
        <w:spacing w:line="240" w:lineRule="auto"/>
        <w:rPr>
          <w:color w:val="000000"/>
        </w:rPr>
      </w:pPr>
    </w:p>
    <w:p w:rsidR="00430223" w:rsidRDefault="00430223" w:rsidP="00B509FA">
      <w:pPr>
        <w:spacing w:line="240" w:lineRule="auto"/>
        <w:jc w:val="center"/>
        <w:rPr>
          <w:caps/>
          <w:color w:val="000000"/>
        </w:rPr>
      </w:pPr>
    </w:p>
    <w:p w:rsidR="00B509FA" w:rsidRPr="008819C8" w:rsidRDefault="00B509FA" w:rsidP="00B509FA">
      <w:pPr>
        <w:spacing w:line="240" w:lineRule="auto"/>
        <w:jc w:val="center"/>
        <w:rPr>
          <w:caps/>
          <w:color w:val="000000"/>
        </w:rPr>
      </w:pPr>
      <w:r w:rsidRPr="00B509FA">
        <w:rPr>
          <w:caps/>
          <w:noProof/>
          <w:color w:val="000000"/>
          <w:lang w:eastAsia="lt-LT"/>
        </w:rPr>
        <w:drawing>
          <wp:anchor distT="0" distB="0" distL="114300" distR="114300" simplePos="0" relativeHeight="251661312" behindDoc="0" locked="0" layoutInCell="1" allowOverlap="1">
            <wp:simplePos x="0" y="0"/>
            <wp:positionH relativeFrom="column">
              <wp:posOffset>215899</wp:posOffset>
            </wp:positionH>
            <wp:positionV relativeFrom="paragraph">
              <wp:posOffset>-361645</wp:posOffset>
            </wp:positionV>
            <wp:extent cx="1239165" cy="1141172"/>
            <wp:effectExtent l="19050" t="0" r="0" b="0"/>
            <wp:wrapNone/>
            <wp:docPr id="17" name="Paveikslėlis 2" descr="Aprašas: logo_kvs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rašas: logo_kvsb_color"/>
                    <pic:cNvPicPr>
                      <a:picLocks noChangeAspect="1" noChangeArrowheads="1"/>
                    </pic:cNvPicPr>
                  </pic:nvPicPr>
                  <pic:blipFill>
                    <a:blip r:embed="rId10" cstate="print"/>
                    <a:srcRect/>
                    <a:stretch>
                      <a:fillRect/>
                    </a:stretch>
                  </pic:blipFill>
                  <pic:spPr bwMode="auto">
                    <a:xfrm>
                      <a:off x="0" y="0"/>
                      <a:ext cx="1239165" cy="1141172"/>
                    </a:xfrm>
                    <a:prstGeom prst="rect">
                      <a:avLst/>
                    </a:prstGeom>
                    <a:noFill/>
                    <a:ln w="9525">
                      <a:noFill/>
                      <a:miter lim="800000"/>
                      <a:headEnd/>
                      <a:tailEnd/>
                    </a:ln>
                  </pic:spPr>
                </pic:pic>
              </a:graphicData>
            </a:graphic>
          </wp:anchor>
        </w:drawing>
      </w:r>
      <w:r w:rsidRPr="008819C8">
        <w:rPr>
          <w:caps/>
          <w:color w:val="000000"/>
        </w:rPr>
        <w:t>Kauno miesto savivaldybės</w:t>
      </w:r>
      <w:r w:rsidR="00F11661">
        <w:rPr>
          <w:caps/>
          <w:color w:val="000000"/>
        </w:rPr>
        <w:t xml:space="preserve"> </w:t>
      </w:r>
    </w:p>
    <w:p w:rsidR="00B509FA" w:rsidRDefault="00B509FA" w:rsidP="00B509FA">
      <w:pPr>
        <w:spacing w:line="240" w:lineRule="auto"/>
        <w:jc w:val="center"/>
        <w:rPr>
          <w:b/>
          <w:caps/>
          <w:color w:val="000000"/>
        </w:rPr>
      </w:pPr>
      <w:r w:rsidRPr="008819C8">
        <w:rPr>
          <w:b/>
          <w:caps/>
          <w:color w:val="000000"/>
        </w:rPr>
        <w:t>Visuomenės sveikatos biuras</w:t>
      </w:r>
    </w:p>
    <w:p w:rsidR="00B509FA" w:rsidRDefault="00B509FA" w:rsidP="00B509FA">
      <w:pPr>
        <w:spacing w:line="240" w:lineRule="auto"/>
        <w:jc w:val="center"/>
        <w:rPr>
          <w:b/>
          <w:caps/>
          <w:color w:val="000000"/>
        </w:rPr>
      </w:pPr>
    </w:p>
    <w:p w:rsidR="00B509FA" w:rsidRDefault="00B509FA" w:rsidP="00B509FA">
      <w:pPr>
        <w:spacing w:line="240" w:lineRule="auto"/>
        <w:jc w:val="center"/>
        <w:rPr>
          <w:b/>
          <w:caps/>
          <w:color w:val="000000"/>
        </w:rPr>
      </w:pPr>
    </w:p>
    <w:p w:rsidR="00B509FA" w:rsidRDefault="00B509FA" w:rsidP="00B509FA">
      <w:pPr>
        <w:spacing w:line="240" w:lineRule="auto"/>
        <w:jc w:val="center"/>
        <w:rPr>
          <w:b/>
          <w:caps/>
          <w:color w:val="000000"/>
        </w:rPr>
      </w:pPr>
    </w:p>
    <w:p w:rsidR="00B509FA" w:rsidRPr="008819C8" w:rsidRDefault="00B509FA" w:rsidP="00B509FA">
      <w:pPr>
        <w:jc w:val="center"/>
        <w:rPr>
          <w:bCs/>
          <w:sz w:val="20"/>
          <w:szCs w:val="20"/>
        </w:rPr>
      </w:pPr>
    </w:p>
    <w:p w:rsidR="00B509FA" w:rsidRPr="008819C8" w:rsidRDefault="00B509FA" w:rsidP="00B509FA">
      <w:pPr>
        <w:spacing w:line="240" w:lineRule="auto"/>
        <w:jc w:val="center"/>
        <w:rPr>
          <w:bCs/>
          <w:sz w:val="20"/>
          <w:szCs w:val="20"/>
          <w:lang w:val="en-US"/>
        </w:rPr>
      </w:pPr>
      <w:r w:rsidRPr="008819C8">
        <w:rPr>
          <w:bCs/>
          <w:sz w:val="20"/>
          <w:szCs w:val="20"/>
        </w:rPr>
        <w:t>Aušros g. 42A, LT-44158 Kaunas, tel. (8</w:t>
      </w:r>
      <w:r w:rsidR="007058DF">
        <w:rPr>
          <w:bCs/>
          <w:sz w:val="20"/>
          <w:szCs w:val="20"/>
        </w:rPr>
        <w:t xml:space="preserve"> </w:t>
      </w:r>
      <w:r w:rsidRPr="008819C8">
        <w:rPr>
          <w:bCs/>
          <w:sz w:val="20"/>
          <w:szCs w:val="20"/>
        </w:rPr>
        <w:t>37) 45</w:t>
      </w:r>
      <w:r w:rsidR="007058DF">
        <w:rPr>
          <w:bCs/>
          <w:sz w:val="20"/>
          <w:szCs w:val="20"/>
        </w:rPr>
        <w:t xml:space="preserve"> </w:t>
      </w:r>
      <w:r w:rsidRPr="008819C8">
        <w:rPr>
          <w:bCs/>
          <w:sz w:val="20"/>
          <w:szCs w:val="20"/>
        </w:rPr>
        <w:t>47</w:t>
      </w:r>
      <w:r w:rsidR="007058DF">
        <w:rPr>
          <w:bCs/>
          <w:sz w:val="20"/>
          <w:szCs w:val="20"/>
        </w:rPr>
        <w:t xml:space="preserve"> </w:t>
      </w:r>
      <w:r w:rsidRPr="008819C8">
        <w:rPr>
          <w:bCs/>
          <w:sz w:val="20"/>
          <w:szCs w:val="20"/>
        </w:rPr>
        <w:t>17, faks. (8</w:t>
      </w:r>
      <w:r w:rsidR="007058DF">
        <w:rPr>
          <w:bCs/>
          <w:sz w:val="20"/>
          <w:szCs w:val="20"/>
        </w:rPr>
        <w:t xml:space="preserve"> </w:t>
      </w:r>
      <w:r w:rsidRPr="008819C8">
        <w:rPr>
          <w:bCs/>
          <w:sz w:val="20"/>
          <w:szCs w:val="20"/>
        </w:rPr>
        <w:t>37) 33</w:t>
      </w:r>
      <w:r w:rsidR="007058DF">
        <w:rPr>
          <w:bCs/>
          <w:sz w:val="20"/>
          <w:szCs w:val="20"/>
        </w:rPr>
        <w:t xml:space="preserve"> </w:t>
      </w:r>
      <w:r w:rsidRPr="008819C8">
        <w:rPr>
          <w:bCs/>
          <w:sz w:val="20"/>
          <w:szCs w:val="20"/>
        </w:rPr>
        <w:t>32</w:t>
      </w:r>
      <w:r w:rsidR="007058DF">
        <w:rPr>
          <w:bCs/>
          <w:sz w:val="20"/>
          <w:szCs w:val="20"/>
        </w:rPr>
        <w:t xml:space="preserve"> </w:t>
      </w:r>
      <w:r w:rsidRPr="008819C8">
        <w:rPr>
          <w:bCs/>
          <w:sz w:val="20"/>
          <w:szCs w:val="20"/>
        </w:rPr>
        <w:t>04, el.</w:t>
      </w:r>
      <w:r w:rsidR="007058DF">
        <w:rPr>
          <w:bCs/>
          <w:sz w:val="20"/>
          <w:szCs w:val="20"/>
        </w:rPr>
        <w:t xml:space="preserve"> </w:t>
      </w:r>
      <w:r w:rsidRPr="008819C8">
        <w:rPr>
          <w:bCs/>
          <w:sz w:val="20"/>
          <w:szCs w:val="20"/>
        </w:rPr>
        <w:t xml:space="preserve">p. </w:t>
      </w:r>
      <w:hyperlink r:id="rId11" w:history="1">
        <w:r w:rsidRPr="008819C8">
          <w:rPr>
            <w:rStyle w:val="Hipersaitas"/>
            <w:bCs/>
            <w:sz w:val="20"/>
            <w:szCs w:val="20"/>
          </w:rPr>
          <w:t>info</w:t>
        </w:r>
        <w:r w:rsidRPr="008819C8">
          <w:rPr>
            <w:rStyle w:val="Hipersaitas"/>
            <w:bCs/>
            <w:sz w:val="20"/>
            <w:szCs w:val="20"/>
            <w:lang w:val="en-US"/>
          </w:rPr>
          <w:t>@kaunovsb.lt</w:t>
        </w:r>
      </w:hyperlink>
      <w:r w:rsidRPr="008819C8">
        <w:rPr>
          <w:bCs/>
          <w:sz w:val="20"/>
          <w:szCs w:val="20"/>
          <w:lang w:val="en-US"/>
        </w:rPr>
        <w:t>,</w:t>
      </w:r>
    </w:p>
    <w:p w:rsidR="00B509FA" w:rsidRDefault="00995E81" w:rsidP="00B509FA">
      <w:pPr>
        <w:spacing w:line="240" w:lineRule="auto"/>
        <w:jc w:val="center"/>
        <w:rPr>
          <w:bCs/>
          <w:sz w:val="20"/>
          <w:szCs w:val="20"/>
          <w:lang w:val="en-US"/>
        </w:rPr>
      </w:pPr>
      <w:hyperlink r:id="rId12" w:history="1">
        <w:r w:rsidR="00B509FA" w:rsidRPr="008819C8">
          <w:rPr>
            <w:rStyle w:val="Hipersaitas"/>
            <w:bCs/>
            <w:sz w:val="20"/>
            <w:szCs w:val="20"/>
            <w:lang w:val="en-US"/>
          </w:rPr>
          <w:t>www.kaunovsb.lt</w:t>
        </w:r>
      </w:hyperlink>
    </w:p>
    <w:p w:rsidR="00B509FA" w:rsidRPr="008819C8" w:rsidRDefault="00B509FA" w:rsidP="00B509FA">
      <w:pPr>
        <w:spacing w:line="240" w:lineRule="auto"/>
        <w:jc w:val="center"/>
        <w:rPr>
          <w:bCs/>
          <w:sz w:val="20"/>
          <w:szCs w:val="20"/>
          <w:lang w:val="en-US"/>
        </w:rPr>
      </w:pPr>
      <w:r>
        <w:rPr>
          <w:bCs/>
          <w:sz w:val="20"/>
          <w:szCs w:val="20"/>
          <w:lang w:val="en-US"/>
        </w:rPr>
        <w:t>_____________________________________________________________________</w:t>
      </w:r>
      <w:bookmarkStart w:id="0" w:name="_GoBack"/>
      <w:r>
        <w:rPr>
          <w:bCs/>
          <w:sz w:val="20"/>
          <w:szCs w:val="20"/>
          <w:lang w:val="en-US"/>
        </w:rPr>
        <w:t>________________________</w:t>
      </w:r>
    </w:p>
    <w:p w:rsidR="00B509FA" w:rsidRDefault="00B509FA" w:rsidP="00B509FA">
      <w:pPr>
        <w:jc w:val="center"/>
        <w:rPr>
          <w:b/>
          <w:bCs/>
        </w:rPr>
      </w:pPr>
    </w:p>
    <w:p w:rsidR="00B509FA" w:rsidRDefault="00B509FA" w:rsidP="00B509FA">
      <w:pPr>
        <w:jc w:val="center"/>
        <w:rPr>
          <w:b/>
          <w:bCs/>
        </w:rPr>
      </w:pPr>
    </w:p>
    <w:p w:rsidR="00B509FA" w:rsidRDefault="00B509FA" w:rsidP="00B509FA">
      <w:pPr>
        <w:jc w:val="center"/>
        <w:rPr>
          <w:b/>
          <w:bCs/>
        </w:rPr>
      </w:pPr>
    </w:p>
    <w:p w:rsidR="00B509FA" w:rsidRDefault="00B509FA" w:rsidP="00B509FA">
      <w:pPr>
        <w:jc w:val="center"/>
        <w:rPr>
          <w:b/>
          <w:bCs/>
        </w:rPr>
      </w:pPr>
    </w:p>
    <w:p w:rsidR="00B509FA" w:rsidRDefault="00B509FA" w:rsidP="00B509FA">
      <w:pPr>
        <w:jc w:val="center"/>
        <w:rPr>
          <w:b/>
          <w:bCs/>
        </w:rPr>
      </w:pPr>
    </w:p>
    <w:p w:rsidR="00B509FA" w:rsidRDefault="00B509FA" w:rsidP="00B509FA">
      <w:pPr>
        <w:jc w:val="center"/>
        <w:rPr>
          <w:b/>
          <w:bCs/>
        </w:rPr>
      </w:pPr>
    </w:p>
    <w:p w:rsidR="00B509FA" w:rsidRPr="009B7CAE" w:rsidRDefault="00B509FA" w:rsidP="00B509FA">
      <w:pPr>
        <w:jc w:val="center"/>
        <w:rPr>
          <w:caps/>
          <w:color w:val="000000"/>
          <w:sz w:val="32"/>
          <w:szCs w:val="32"/>
        </w:rPr>
      </w:pPr>
      <w:r w:rsidRPr="009B7CAE">
        <w:rPr>
          <w:caps/>
          <w:color w:val="000000"/>
          <w:sz w:val="32"/>
          <w:szCs w:val="32"/>
        </w:rPr>
        <w:t xml:space="preserve">Kauno miesto savivaldybės visuomenės sveikatos </w:t>
      </w:r>
      <w:bookmarkEnd w:id="0"/>
      <w:r w:rsidRPr="009B7CAE">
        <w:rPr>
          <w:caps/>
          <w:color w:val="000000"/>
          <w:sz w:val="32"/>
          <w:szCs w:val="32"/>
        </w:rPr>
        <w:t xml:space="preserve">stebėsenos </w:t>
      </w:r>
      <w:r w:rsidR="00B22DFB">
        <w:rPr>
          <w:caps/>
          <w:color w:val="000000"/>
          <w:sz w:val="32"/>
          <w:szCs w:val="32"/>
        </w:rPr>
        <w:t>2014</w:t>
      </w:r>
      <w:r w:rsidRPr="009B7CAE">
        <w:rPr>
          <w:caps/>
          <w:color w:val="000000"/>
          <w:sz w:val="32"/>
          <w:szCs w:val="32"/>
        </w:rPr>
        <w:t xml:space="preserve"> metų ataskaita</w:t>
      </w:r>
    </w:p>
    <w:p w:rsidR="00B509FA" w:rsidRPr="009B7CAE" w:rsidRDefault="00B509FA" w:rsidP="00B509FA">
      <w:pPr>
        <w:jc w:val="center"/>
        <w:rPr>
          <w:b/>
          <w:bCs/>
          <w:sz w:val="32"/>
          <w:szCs w:val="32"/>
        </w:rPr>
      </w:pPr>
    </w:p>
    <w:p w:rsidR="00B509FA" w:rsidRDefault="00B509FA" w:rsidP="00B509FA">
      <w:pPr>
        <w:pStyle w:val="Betarp"/>
        <w:jc w:val="right"/>
      </w:pPr>
    </w:p>
    <w:p w:rsidR="00B509FA" w:rsidRDefault="00B509FA" w:rsidP="00B509FA">
      <w:pPr>
        <w:pStyle w:val="Betarp"/>
        <w:jc w:val="right"/>
      </w:pPr>
    </w:p>
    <w:p w:rsidR="00B509FA" w:rsidRDefault="00B509FA" w:rsidP="00B509FA">
      <w:pPr>
        <w:pStyle w:val="Betarp"/>
        <w:jc w:val="right"/>
      </w:pPr>
    </w:p>
    <w:p w:rsidR="00B509FA" w:rsidRDefault="00B509FA" w:rsidP="00B509FA">
      <w:pPr>
        <w:pStyle w:val="Betarp"/>
        <w:jc w:val="right"/>
      </w:pPr>
    </w:p>
    <w:p w:rsidR="00B509FA" w:rsidRPr="00B517D4" w:rsidRDefault="00B509FA" w:rsidP="00B509FA">
      <w:pPr>
        <w:pStyle w:val="Betarp"/>
        <w:jc w:val="right"/>
        <w:rPr>
          <w:rFonts w:ascii="Times New Roman" w:hAnsi="Times New Roman"/>
          <w:sz w:val="24"/>
          <w:szCs w:val="24"/>
        </w:rPr>
      </w:pPr>
    </w:p>
    <w:p w:rsidR="00B509FA" w:rsidRPr="00B517D4" w:rsidRDefault="00B509FA" w:rsidP="00B509FA">
      <w:pPr>
        <w:pStyle w:val="Betarp"/>
        <w:jc w:val="right"/>
        <w:rPr>
          <w:rFonts w:ascii="Times New Roman" w:hAnsi="Times New Roman"/>
          <w:sz w:val="24"/>
          <w:szCs w:val="24"/>
        </w:rPr>
      </w:pPr>
      <w:r w:rsidRPr="00B517D4">
        <w:rPr>
          <w:rFonts w:ascii="Times New Roman" w:hAnsi="Times New Roman"/>
          <w:sz w:val="24"/>
          <w:szCs w:val="24"/>
        </w:rPr>
        <w:t>Ataskaitą parengė</w:t>
      </w:r>
    </w:p>
    <w:p w:rsidR="00B509FA" w:rsidRPr="00B517D4" w:rsidRDefault="00B509FA" w:rsidP="00B509FA">
      <w:pPr>
        <w:pStyle w:val="Betarp"/>
        <w:jc w:val="right"/>
        <w:rPr>
          <w:rFonts w:ascii="Times New Roman" w:hAnsi="Times New Roman"/>
          <w:sz w:val="24"/>
          <w:szCs w:val="24"/>
        </w:rPr>
      </w:pPr>
      <w:r w:rsidRPr="00B517D4">
        <w:rPr>
          <w:rFonts w:ascii="Times New Roman" w:hAnsi="Times New Roman"/>
          <w:sz w:val="24"/>
          <w:szCs w:val="24"/>
        </w:rPr>
        <w:t>Kauno miesto savivaldybės visuomenės sveikatos biuro</w:t>
      </w:r>
    </w:p>
    <w:p w:rsidR="00B509FA" w:rsidRPr="00B517D4" w:rsidRDefault="00B509FA" w:rsidP="00B509FA">
      <w:pPr>
        <w:pStyle w:val="Betarp"/>
        <w:jc w:val="right"/>
        <w:rPr>
          <w:rFonts w:ascii="Times New Roman" w:hAnsi="Times New Roman"/>
          <w:sz w:val="24"/>
          <w:szCs w:val="24"/>
        </w:rPr>
      </w:pPr>
      <w:r>
        <w:rPr>
          <w:rFonts w:ascii="Times New Roman" w:hAnsi="Times New Roman"/>
          <w:sz w:val="24"/>
          <w:szCs w:val="24"/>
        </w:rPr>
        <w:t>V</w:t>
      </w:r>
      <w:r w:rsidRPr="00B517D4">
        <w:rPr>
          <w:rFonts w:ascii="Times New Roman" w:hAnsi="Times New Roman"/>
          <w:sz w:val="24"/>
          <w:szCs w:val="24"/>
        </w:rPr>
        <w:t>isuomenės sveikatos stebėsenos skyriaus</w:t>
      </w:r>
    </w:p>
    <w:p w:rsidR="00B509FA" w:rsidRPr="00B517D4" w:rsidRDefault="00B509FA" w:rsidP="00B509FA">
      <w:pPr>
        <w:pStyle w:val="Betarp"/>
        <w:jc w:val="right"/>
        <w:rPr>
          <w:rFonts w:ascii="Times New Roman" w:hAnsi="Times New Roman"/>
          <w:sz w:val="24"/>
          <w:szCs w:val="24"/>
        </w:rPr>
      </w:pPr>
      <w:r>
        <w:rPr>
          <w:rFonts w:ascii="Times New Roman" w:hAnsi="Times New Roman"/>
          <w:sz w:val="24"/>
          <w:szCs w:val="24"/>
        </w:rPr>
        <w:t>v</w:t>
      </w:r>
      <w:r w:rsidRPr="00B517D4">
        <w:rPr>
          <w:rFonts w:ascii="Times New Roman" w:hAnsi="Times New Roman"/>
          <w:sz w:val="24"/>
          <w:szCs w:val="24"/>
        </w:rPr>
        <w:t>isuomenės sveikatos specialistė</w:t>
      </w:r>
    </w:p>
    <w:p w:rsidR="00B509FA" w:rsidRPr="00B517D4" w:rsidRDefault="00B509FA" w:rsidP="00B509FA">
      <w:pPr>
        <w:pStyle w:val="Betarp"/>
        <w:jc w:val="right"/>
        <w:rPr>
          <w:rFonts w:ascii="Times New Roman" w:hAnsi="Times New Roman"/>
          <w:sz w:val="24"/>
          <w:szCs w:val="24"/>
        </w:rPr>
      </w:pPr>
      <w:r>
        <w:rPr>
          <w:rFonts w:ascii="Times New Roman" w:hAnsi="Times New Roman"/>
          <w:sz w:val="24"/>
          <w:szCs w:val="24"/>
        </w:rPr>
        <w:t>Ieva Valentaitė</w:t>
      </w:r>
    </w:p>
    <w:p w:rsidR="00B509FA" w:rsidRDefault="00B509FA" w:rsidP="00B509FA">
      <w:pPr>
        <w:pStyle w:val="Betarp"/>
        <w:jc w:val="both"/>
        <w:rPr>
          <w:rFonts w:ascii="Times New Roman" w:hAnsi="Times New Roman"/>
          <w:sz w:val="24"/>
          <w:szCs w:val="24"/>
        </w:rPr>
      </w:pPr>
    </w:p>
    <w:p w:rsidR="00B509FA" w:rsidRPr="00B517D4" w:rsidRDefault="00B509FA" w:rsidP="00B509FA">
      <w:pPr>
        <w:pStyle w:val="Betarp"/>
        <w:jc w:val="center"/>
        <w:rPr>
          <w:rFonts w:ascii="Times New Roman" w:hAnsi="Times New Roman"/>
          <w:sz w:val="24"/>
          <w:szCs w:val="24"/>
        </w:rPr>
      </w:pPr>
    </w:p>
    <w:p w:rsidR="00B509FA" w:rsidRPr="00B517D4" w:rsidRDefault="00B509FA" w:rsidP="00B509FA">
      <w:pPr>
        <w:pStyle w:val="Betarp"/>
        <w:jc w:val="center"/>
        <w:rPr>
          <w:rFonts w:ascii="Times New Roman" w:hAnsi="Times New Roman"/>
          <w:sz w:val="24"/>
          <w:szCs w:val="24"/>
        </w:rPr>
      </w:pPr>
    </w:p>
    <w:p w:rsidR="00B509FA" w:rsidRDefault="00B509FA" w:rsidP="00B509FA">
      <w:pPr>
        <w:pStyle w:val="Betarp"/>
        <w:jc w:val="right"/>
      </w:pPr>
    </w:p>
    <w:p w:rsidR="00B509FA" w:rsidRDefault="00B509FA" w:rsidP="00B509FA">
      <w:pPr>
        <w:pStyle w:val="Betarp"/>
        <w:jc w:val="center"/>
        <w:rPr>
          <w:rFonts w:ascii="Times New Roman" w:hAnsi="Times New Roman"/>
          <w:sz w:val="24"/>
          <w:szCs w:val="24"/>
        </w:rPr>
      </w:pPr>
    </w:p>
    <w:p w:rsidR="00430223" w:rsidRDefault="00430223" w:rsidP="00B509FA">
      <w:pPr>
        <w:pStyle w:val="Betarp"/>
        <w:tabs>
          <w:tab w:val="left" w:pos="4536"/>
          <w:tab w:val="left" w:pos="5245"/>
          <w:tab w:val="left" w:pos="5670"/>
        </w:tabs>
        <w:jc w:val="center"/>
        <w:rPr>
          <w:rFonts w:ascii="Times New Roman" w:hAnsi="Times New Roman"/>
          <w:b/>
          <w:bCs/>
          <w:sz w:val="24"/>
          <w:szCs w:val="24"/>
        </w:rPr>
      </w:pPr>
    </w:p>
    <w:p w:rsidR="00430223" w:rsidRDefault="00430223" w:rsidP="00B509FA">
      <w:pPr>
        <w:pStyle w:val="Betarp"/>
        <w:tabs>
          <w:tab w:val="left" w:pos="4536"/>
          <w:tab w:val="left" w:pos="5245"/>
          <w:tab w:val="left" w:pos="5670"/>
        </w:tabs>
        <w:jc w:val="center"/>
        <w:rPr>
          <w:rFonts w:ascii="Times New Roman" w:hAnsi="Times New Roman"/>
          <w:b/>
          <w:bCs/>
          <w:sz w:val="24"/>
          <w:szCs w:val="24"/>
        </w:rPr>
      </w:pPr>
    </w:p>
    <w:p w:rsidR="00430223" w:rsidRDefault="00430223" w:rsidP="00B509FA">
      <w:pPr>
        <w:pStyle w:val="Betarp"/>
        <w:tabs>
          <w:tab w:val="left" w:pos="4536"/>
          <w:tab w:val="left" w:pos="5245"/>
          <w:tab w:val="left" w:pos="5670"/>
        </w:tabs>
        <w:jc w:val="center"/>
        <w:rPr>
          <w:rFonts w:ascii="Times New Roman" w:hAnsi="Times New Roman"/>
          <w:b/>
          <w:bCs/>
          <w:sz w:val="24"/>
          <w:szCs w:val="24"/>
        </w:rPr>
      </w:pPr>
    </w:p>
    <w:p w:rsidR="00B509FA" w:rsidRDefault="00B509FA" w:rsidP="00B509FA">
      <w:pPr>
        <w:pStyle w:val="Betarp"/>
        <w:tabs>
          <w:tab w:val="left" w:pos="4536"/>
          <w:tab w:val="left" w:pos="5245"/>
          <w:tab w:val="left" w:pos="5670"/>
        </w:tabs>
        <w:jc w:val="center"/>
        <w:rPr>
          <w:rFonts w:ascii="Times New Roman" w:hAnsi="Times New Roman"/>
          <w:b/>
          <w:bCs/>
          <w:sz w:val="24"/>
          <w:szCs w:val="24"/>
        </w:rPr>
      </w:pPr>
    </w:p>
    <w:p w:rsidR="00B509FA" w:rsidRPr="00B517D4" w:rsidRDefault="00B509FA" w:rsidP="00B509FA">
      <w:pPr>
        <w:pStyle w:val="Betarp"/>
        <w:tabs>
          <w:tab w:val="left" w:pos="4536"/>
          <w:tab w:val="left" w:pos="5245"/>
          <w:tab w:val="left" w:pos="5670"/>
        </w:tabs>
        <w:jc w:val="center"/>
        <w:rPr>
          <w:rFonts w:ascii="Times New Roman" w:hAnsi="Times New Roman"/>
          <w:b/>
          <w:bCs/>
          <w:sz w:val="24"/>
          <w:szCs w:val="24"/>
        </w:rPr>
      </w:pPr>
    </w:p>
    <w:p w:rsidR="00B509FA" w:rsidRDefault="00B509FA" w:rsidP="00B509FA">
      <w:pPr>
        <w:jc w:val="center"/>
        <w:rPr>
          <w:bCs/>
        </w:rPr>
      </w:pPr>
      <w:r>
        <w:rPr>
          <w:bCs/>
        </w:rPr>
        <w:t>KAUNAS, 2015</w:t>
      </w:r>
    </w:p>
    <w:p w:rsidR="00B509FA" w:rsidRPr="00714A16" w:rsidRDefault="00B509FA" w:rsidP="00B509FA">
      <w:pPr>
        <w:rPr>
          <w:bCs/>
        </w:rPr>
        <w:sectPr w:rsidR="00B509FA" w:rsidRPr="00714A16" w:rsidSect="00F809F4">
          <w:headerReference w:type="default" r:id="rId13"/>
          <w:footerReference w:type="default" r:id="rId14"/>
          <w:pgSz w:w="11906" w:h="16838"/>
          <w:pgMar w:top="1134" w:right="567" w:bottom="1134" w:left="1418" w:header="567" w:footer="567" w:gutter="0"/>
          <w:cols w:space="1296"/>
          <w:titlePg/>
          <w:docGrid w:linePitch="360"/>
        </w:sectPr>
      </w:pPr>
    </w:p>
    <w:sdt>
      <w:sdtPr>
        <w:rPr>
          <w:rFonts w:ascii="Times New Roman" w:eastAsiaTheme="minorHAnsi" w:hAnsi="Times New Roman" w:cstheme="minorBidi"/>
          <w:b w:val="0"/>
          <w:bCs w:val="0"/>
          <w:color w:val="auto"/>
          <w:sz w:val="24"/>
          <w:szCs w:val="22"/>
          <w:lang w:val="lt-LT" w:eastAsia="en-US"/>
        </w:rPr>
        <w:id w:val="2142771823"/>
        <w:docPartObj>
          <w:docPartGallery w:val="Table of Contents"/>
          <w:docPartUnique/>
        </w:docPartObj>
      </w:sdtPr>
      <w:sdtEndPr>
        <w:rPr>
          <w:rFonts w:cs="Times New Roman"/>
          <w:noProof/>
          <w:szCs w:val="24"/>
        </w:rPr>
      </w:sdtEndPr>
      <w:sdtContent>
        <w:p w:rsidR="004E5550" w:rsidRDefault="000E09FF" w:rsidP="000E09FF">
          <w:pPr>
            <w:pStyle w:val="Turinioantrat"/>
            <w:jc w:val="center"/>
            <w:rPr>
              <w:rFonts w:ascii="Times New Roman" w:hAnsi="Times New Roman" w:cs="Times New Roman"/>
              <w:color w:val="auto"/>
            </w:rPr>
          </w:pPr>
          <w:r>
            <w:rPr>
              <w:rFonts w:ascii="Times New Roman" w:hAnsi="Times New Roman" w:cs="Times New Roman"/>
              <w:color w:val="auto"/>
            </w:rPr>
            <w:t>TURINYS</w:t>
          </w:r>
        </w:p>
        <w:p w:rsidR="000E09FF" w:rsidRDefault="000E09FF" w:rsidP="008B306F">
          <w:pPr>
            <w:rPr>
              <w:lang w:val="en-US" w:eastAsia="ja-JP"/>
            </w:rPr>
          </w:pPr>
        </w:p>
        <w:p w:rsidR="000E09FF" w:rsidRPr="000E09FF" w:rsidRDefault="000E09FF" w:rsidP="008B306F">
          <w:pPr>
            <w:rPr>
              <w:lang w:val="en-US" w:eastAsia="ja-JP"/>
            </w:rPr>
          </w:pPr>
        </w:p>
        <w:p w:rsidR="000C2335" w:rsidRPr="00B22DFB" w:rsidRDefault="00511FB9">
          <w:pPr>
            <w:pStyle w:val="Turinys1"/>
            <w:rPr>
              <w:rFonts w:eastAsiaTheme="minorEastAsia" w:cs="Times New Roman"/>
              <w:noProof/>
              <w:szCs w:val="24"/>
              <w:lang w:eastAsia="lt-LT"/>
            </w:rPr>
          </w:pPr>
          <w:r w:rsidRPr="00B22DFB">
            <w:rPr>
              <w:rFonts w:cs="Times New Roman"/>
              <w:szCs w:val="24"/>
            </w:rPr>
            <w:fldChar w:fldCharType="begin"/>
          </w:r>
          <w:r w:rsidR="004E5550" w:rsidRPr="00B22DFB">
            <w:rPr>
              <w:rFonts w:cs="Times New Roman"/>
              <w:szCs w:val="24"/>
            </w:rPr>
            <w:instrText xml:space="preserve"> TOC \o "1-3" \h \z \u </w:instrText>
          </w:r>
          <w:r w:rsidRPr="00B22DFB">
            <w:rPr>
              <w:rFonts w:cs="Times New Roman"/>
              <w:szCs w:val="24"/>
            </w:rPr>
            <w:fldChar w:fldCharType="separate"/>
          </w:r>
          <w:hyperlink w:anchor="_Toc439235720" w:history="1">
            <w:r w:rsidR="000C2335" w:rsidRPr="00B22DFB">
              <w:rPr>
                <w:rStyle w:val="Hipersaitas"/>
                <w:rFonts w:cs="Times New Roman"/>
                <w:noProof/>
                <w:szCs w:val="24"/>
              </w:rPr>
              <w:t>1.</w:t>
            </w:r>
            <w:r w:rsidR="000C2335" w:rsidRPr="00B22DFB">
              <w:rPr>
                <w:rFonts w:eastAsiaTheme="minorEastAsia" w:cs="Times New Roman"/>
                <w:noProof/>
                <w:szCs w:val="24"/>
                <w:lang w:eastAsia="lt-LT"/>
              </w:rPr>
              <w:tab/>
            </w:r>
            <w:r w:rsidR="000C2335" w:rsidRPr="00B22DFB">
              <w:rPr>
                <w:rStyle w:val="Hipersaitas"/>
                <w:rFonts w:cs="Times New Roman"/>
                <w:noProof/>
                <w:szCs w:val="24"/>
              </w:rPr>
              <w:t>ĮVADAS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_Toc439235720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3</w:t>
            </w:r>
            <w:r w:rsidR="000C2335" w:rsidRPr="00B22DFB">
              <w:rPr>
                <w:rFonts w:cs="Times New Roman"/>
                <w:noProof/>
                <w:webHidden/>
                <w:szCs w:val="24"/>
              </w:rPr>
              <w:fldChar w:fldCharType="end"/>
            </w:r>
          </w:hyperlink>
        </w:p>
        <w:p w:rsidR="000C2335" w:rsidRPr="00B22DFB" w:rsidRDefault="00995E81">
          <w:pPr>
            <w:pStyle w:val="Turinys1"/>
            <w:rPr>
              <w:rFonts w:eastAsiaTheme="minorEastAsia" w:cs="Times New Roman"/>
              <w:noProof/>
              <w:szCs w:val="24"/>
              <w:lang w:eastAsia="lt-LT"/>
            </w:rPr>
          </w:pPr>
          <w:hyperlink w:anchor="_Toc439235721" w:history="1">
            <w:r w:rsidR="000C2335" w:rsidRPr="00B22DFB">
              <w:rPr>
                <w:rStyle w:val="Hipersaitas"/>
                <w:rFonts w:cs="Times New Roman"/>
                <w:noProof/>
                <w:szCs w:val="24"/>
              </w:rPr>
              <w:t>2.</w:t>
            </w:r>
            <w:r w:rsidR="000C2335" w:rsidRPr="00B22DFB">
              <w:rPr>
                <w:rFonts w:eastAsiaTheme="minorEastAsia" w:cs="Times New Roman"/>
                <w:noProof/>
                <w:szCs w:val="24"/>
                <w:lang w:eastAsia="lt-LT"/>
              </w:rPr>
              <w:tab/>
            </w:r>
            <w:r w:rsidR="000C2335" w:rsidRPr="00B22DFB">
              <w:rPr>
                <w:rStyle w:val="Hipersaitas"/>
                <w:rFonts w:cs="Times New Roman"/>
                <w:noProof/>
                <w:szCs w:val="24"/>
              </w:rPr>
              <w:t>BENDROJI DALIS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_Toc439235721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4</w:t>
            </w:r>
            <w:r w:rsidR="000C2335" w:rsidRPr="00B22DFB">
              <w:rPr>
                <w:rFonts w:cs="Times New Roman"/>
                <w:noProof/>
                <w:webHidden/>
                <w:szCs w:val="24"/>
              </w:rPr>
              <w:fldChar w:fldCharType="end"/>
            </w:r>
          </w:hyperlink>
        </w:p>
        <w:p w:rsidR="000C2335" w:rsidRPr="00B22DFB" w:rsidRDefault="00995E81">
          <w:pPr>
            <w:pStyle w:val="Turinys2"/>
            <w:rPr>
              <w:rFonts w:eastAsiaTheme="minorEastAsia" w:cs="Times New Roman"/>
              <w:noProof/>
              <w:szCs w:val="24"/>
              <w:lang w:eastAsia="lt-LT"/>
            </w:rPr>
          </w:pPr>
          <w:hyperlink w:anchor="_Toc439235723" w:history="1">
            <w:r w:rsidR="000C2335" w:rsidRPr="00B22DFB">
              <w:rPr>
                <w:rStyle w:val="Hipersaitas"/>
                <w:rFonts w:cs="Times New Roman"/>
                <w:b/>
                <w:noProof/>
                <w:szCs w:val="24"/>
              </w:rPr>
              <w:t>2.1. Kauno miesto savivaldybės profilis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_Toc439235723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4</w:t>
            </w:r>
            <w:r w:rsidR="000C2335" w:rsidRPr="00B22DFB">
              <w:rPr>
                <w:rFonts w:cs="Times New Roman"/>
                <w:noProof/>
                <w:webHidden/>
                <w:szCs w:val="24"/>
              </w:rPr>
              <w:fldChar w:fldCharType="end"/>
            </w:r>
          </w:hyperlink>
        </w:p>
        <w:p w:rsidR="000C2335" w:rsidRPr="00B22DFB" w:rsidRDefault="00995E81">
          <w:pPr>
            <w:pStyle w:val="Turinys1"/>
            <w:rPr>
              <w:rFonts w:eastAsiaTheme="minorEastAsia" w:cs="Times New Roman"/>
              <w:noProof/>
              <w:szCs w:val="24"/>
              <w:lang w:eastAsia="lt-LT"/>
            </w:rPr>
          </w:pPr>
          <w:hyperlink w:anchor="_Toc439235724" w:history="1">
            <w:r w:rsidR="000C2335" w:rsidRPr="00B22DFB">
              <w:rPr>
                <w:rStyle w:val="Hipersaitas"/>
                <w:rFonts w:cs="Times New Roman"/>
                <w:noProof/>
                <w:szCs w:val="24"/>
              </w:rPr>
              <w:t>3.</w:t>
            </w:r>
            <w:r w:rsidR="000C2335" w:rsidRPr="00B22DFB">
              <w:rPr>
                <w:rFonts w:eastAsiaTheme="minorEastAsia" w:cs="Times New Roman"/>
                <w:noProof/>
                <w:szCs w:val="24"/>
                <w:lang w:eastAsia="lt-LT"/>
              </w:rPr>
              <w:tab/>
            </w:r>
            <w:r w:rsidR="000C2335" w:rsidRPr="00B22DFB">
              <w:rPr>
                <w:rStyle w:val="Hipersaitas"/>
                <w:rFonts w:cs="Times New Roman"/>
                <w:noProof/>
                <w:szCs w:val="24"/>
              </w:rPr>
              <w:t>SPECIALIOJI DALIS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_Toc439235724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6</w:t>
            </w:r>
            <w:r w:rsidR="000C2335" w:rsidRPr="00B22DFB">
              <w:rPr>
                <w:rFonts w:cs="Times New Roman"/>
                <w:noProof/>
                <w:webHidden/>
                <w:szCs w:val="24"/>
              </w:rPr>
              <w:fldChar w:fldCharType="end"/>
            </w:r>
          </w:hyperlink>
        </w:p>
        <w:p w:rsidR="000C2335" w:rsidRPr="00B22DFB" w:rsidRDefault="00995E81">
          <w:pPr>
            <w:pStyle w:val="Turinys2"/>
            <w:rPr>
              <w:rFonts w:eastAsiaTheme="minorEastAsia" w:cs="Times New Roman"/>
              <w:noProof/>
              <w:szCs w:val="24"/>
              <w:lang w:eastAsia="lt-LT"/>
            </w:rPr>
          </w:pPr>
          <w:hyperlink w:anchor="_Toc439235725" w:history="1">
            <w:r w:rsidR="000C2335" w:rsidRPr="00B22DFB">
              <w:rPr>
                <w:rStyle w:val="Hipersaitas"/>
                <w:rFonts w:cs="Times New Roman"/>
                <w:b/>
                <w:noProof/>
                <w:szCs w:val="24"/>
              </w:rPr>
              <w:t>3.1. Pagrindinių stebėsenos rodiklių savivaldybėje analizė ir interpretavimas („šviesoforas“)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_Toc439235725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6</w:t>
            </w:r>
            <w:r w:rsidR="000C2335" w:rsidRPr="00B22DFB">
              <w:rPr>
                <w:rFonts w:cs="Times New Roman"/>
                <w:noProof/>
                <w:webHidden/>
                <w:szCs w:val="24"/>
              </w:rPr>
              <w:fldChar w:fldCharType="end"/>
            </w:r>
          </w:hyperlink>
        </w:p>
        <w:p w:rsidR="000C2335" w:rsidRPr="00B22DFB" w:rsidRDefault="00995E81">
          <w:pPr>
            <w:pStyle w:val="Turinys2"/>
            <w:rPr>
              <w:rFonts w:eastAsiaTheme="minorEastAsia" w:cs="Times New Roman"/>
              <w:noProof/>
              <w:szCs w:val="24"/>
              <w:lang w:eastAsia="lt-LT"/>
            </w:rPr>
          </w:pPr>
          <w:hyperlink w:anchor="_Toc439235726" w:history="1">
            <w:r w:rsidR="000C2335" w:rsidRPr="00B22DFB">
              <w:rPr>
                <w:rStyle w:val="Hipersaitas"/>
                <w:rFonts w:cs="Times New Roman"/>
                <w:b/>
                <w:noProof/>
                <w:szCs w:val="24"/>
              </w:rPr>
              <w:t>3.2. Atrinktų rodiklių detali analizė ir interpretavimas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_Toc439235726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19</w:t>
            </w:r>
            <w:r w:rsidR="000C2335" w:rsidRPr="00B22DFB">
              <w:rPr>
                <w:rFonts w:cs="Times New Roman"/>
                <w:noProof/>
                <w:webHidden/>
                <w:szCs w:val="24"/>
              </w:rPr>
              <w:fldChar w:fldCharType="end"/>
            </w:r>
          </w:hyperlink>
        </w:p>
        <w:p w:rsidR="000C2335" w:rsidRPr="00B22DFB" w:rsidRDefault="00995E81">
          <w:pPr>
            <w:pStyle w:val="Turinys3"/>
            <w:tabs>
              <w:tab w:val="right" w:leader="dot" w:pos="9911"/>
            </w:tabs>
            <w:rPr>
              <w:rFonts w:ascii="Times New Roman" w:hAnsi="Times New Roman" w:cs="Times New Roman"/>
              <w:noProof/>
              <w:sz w:val="24"/>
              <w:szCs w:val="24"/>
              <w:lang w:val="lt-LT" w:eastAsia="lt-LT"/>
            </w:rPr>
          </w:pPr>
          <w:hyperlink w:anchor="_Toc439235727" w:history="1">
            <w:r w:rsidR="000C2335" w:rsidRPr="00B22DFB">
              <w:rPr>
                <w:rStyle w:val="Hipersaitas"/>
                <w:rFonts w:ascii="Times New Roman" w:hAnsi="Times New Roman" w:cs="Times New Roman"/>
                <w:noProof/>
                <w:sz w:val="24"/>
                <w:szCs w:val="24"/>
              </w:rPr>
              <w:t>3.2.1. Kauno miesto gyventojų susižalojimai dėl nukritimo</w:t>
            </w:r>
            <w:r w:rsidR="000C2335" w:rsidRPr="00B22DFB">
              <w:rPr>
                <w:rFonts w:ascii="Times New Roman" w:hAnsi="Times New Roman" w:cs="Times New Roman"/>
                <w:noProof/>
                <w:webHidden/>
                <w:sz w:val="24"/>
                <w:szCs w:val="24"/>
              </w:rPr>
              <w:tab/>
            </w:r>
            <w:r w:rsidR="000C2335" w:rsidRPr="00B22DFB">
              <w:rPr>
                <w:rFonts w:ascii="Times New Roman" w:hAnsi="Times New Roman" w:cs="Times New Roman"/>
                <w:noProof/>
                <w:webHidden/>
                <w:sz w:val="24"/>
                <w:szCs w:val="24"/>
              </w:rPr>
              <w:fldChar w:fldCharType="begin"/>
            </w:r>
            <w:r w:rsidR="000C2335" w:rsidRPr="00B22DFB">
              <w:rPr>
                <w:rFonts w:ascii="Times New Roman" w:hAnsi="Times New Roman" w:cs="Times New Roman"/>
                <w:noProof/>
                <w:webHidden/>
                <w:sz w:val="24"/>
                <w:szCs w:val="24"/>
              </w:rPr>
              <w:instrText xml:space="preserve"> PAGEREF _Toc439235727 \h </w:instrText>
            </w:r>
            <w:r w:rsidR="000C2335" w:rsidRPr="00B22DFB">
              <w:rPr>
                <w:rFonts w:ascii="Times New Roman" w:hAnsi="Times New Roman" w:cs="Times New Roman"/>
                <w:noProof/>
                <w:webHidden/>
                <w:sz w:val="24"/>
                <w:szCs w:val="24"/>
              </w:rPr>
            </w:r>
            <w:r w:rsidR="000C2335" w:rsidRPr="00B22DFB">
              <w:rPr>
                <w:rFonts w:ascii="Times New Roman" w:hAnsi="Times New Roman" w:cs="Times New Roman"/>
                <w:noProof/>
                <w:webHidden/>
                <w:sz w:val="24"/>
                <w:szCs w:val="24"/>
              </w:rPr>
              <w:fldChar w:fldCharType="separate"/>
            </w:r>
            <w:r w:rsidR="00674824">
              <w:rPr>
                <w:rFonts w:ascii="Times New Roman" w:hAnsi="Times New Roman" w:cs="Times New Roman"/>
                <w:noProof/>
                <w:webHidden/>
                <w:sz w:val="24"/>
                <w:szCs w:val="24"/>
              </w:rPr>
              <w:t>19</w:t>
            </w:r>
            <w:r w:rsidR="000C2335" w:rsidRPr="00B22DFB">
              <w:rPr>
                <w:rFonts w:ascii="Times New Roman" w:hAnsi="Times New Roman" w:cs="Times New Roman"/>
                <w:noProof/>
                <w:webHidden/>
                <w:sz w:val="24"/>
                <w:szCs w:val="24"/>
              </w:rPr>
              <w:fldChar w:fldCharType="end"/>
            </w:r>
          </w:hyperlink>
        </w:p>
        <w:p w:rsidR="000C2335" w:rsidRPr="00B22DFB" w:rsidRDefault="00995E81">
          <w:pPr>
            <w:pStyle w:val="Turinys3"/>
            <w:tabs>
              <w:tab w:val="right" w:leader="dot" w:pos="9911"/>
            </w:tabs>
            <w:rPr>
              <w:rFonts w:ascii="Times New Roman" w:hAnsi="Times New Roman" w:cs="Times New Roman"/>
              <w:noProof/>
              <w:sz w:val="24"/>
              <w:szCs w:val="24"/>
              <w:lang w:val="lt-LT" w:eastAsia="lt-LT"/>
            </w:rPr>
          </w:pPr>
          <w:hyperlink w:anchor="_Toc439235728" w:history="1">
            <w:r w:rsidR="000C2335" w:rsidRPr="00B22DFB">
              <w:rPr>
                <w:rStyle w:val="Hipersaitas"/>
                <w:rFonts w:ascii="Times New Roman" w:hAnsi="Times New Roman" w:cs="Times New Roman"/>
                <w:noProof/>
                <w:sz w:val="24"/>
                <w:szCs w:val="24"/>
              </w:rPr>
              <w:t>3.2.2. Kauno miesto gyventojų sergamumas II tipo cukriniu diabetu</w:t>
            </w:r>
            <w:r w:rsidR="000C2335" w:rsidRPr="00B22DFB">
              <w:rPr>
                <w:rFonts w:ascii="Times New Roman" w:hAnsi="Times New Roman" w:cs="Times New Roman"/>
                <w:noProof/>
                <w:webHidden/>
                <w:sz w:val="24"/>
                <w:szCs w:val="24"/>
              </w:rPr>
              <w:tab/>
            </w:r>
            <w:r w:rsidR="000C2335" w:rsidRPr="00B22DFB">
              <w:rPr>
                <w:rFonts w:ascii="Times New Roman" w:hAnsi="Times New Roman" w:cs="Times New Roman"/>
                <w:noProof/>
                <w:webHidden/>
                <w:sz w:val="24"/>
                <w:szCs w:val="24"/>
              </w:rPr>
              <w:fldChar w:fldCharType="begin"/>
            </w:r>
            <w:r w:rsidR="000C2335" w:rsidRPr="00B22DFB">
              <w:rPr>
                <w:rFonts w:ascii="Times New Roman" w:hAnsi="Times New Roman" w:cs="Times New Roman"/>
                <w:noProof/>
                <w:webHidden/>
                <w:sz w:val="24"/>
                <w:szCs w:val="24"/>
              </w:rPr>
              <w:instrText xml:space="preserve"> PAGEREF _Toc439235728 \h </w:instrText>
            </w:r>
            <w:r w:rsidR="000C2335" w:rsidRPr="00B22DFB">
              <w:rPr>
                <w:rFonts w:ascii="Times New Roman" w:hAnsi="Times New Roman" w:cs="Times New Roman"/>
                <w:noProof/>
                <w:webHidden/>
                <w:sz w:val="24"/>
                <w:szCs w:val="24"/>
              </w:rPr>
            </w:r>
            <w:r w:rsidR="000C2335" w:rsidRPr="00B22DFB">
              <w:rPr>
                <w:rFonts w:ascii="Times New Roman" w:hAnsi="Times New Roman" w:cs="Times New Roman"/>
                <w:noProof/>
                <w:webHidden/>
                <w:sz w:val="24"/>
                <w:szCs w:val="24"/>
              </w:rPr>
              <w:fldChar w:fldCharType="separate"/>
            </w:r>
            <w:r w:rsidR="00674824">
              <w:rPr>
                <w:rFonts w:ascii="Times New Roman" w:hAnsi="Times New Roman" w:cs="Times New Roman"/>
                <w:noProof/>
                <w:webHidden/>
                <w:sz w:val="24"/>
                <w:szCs w:val="24"/>
              </w:rPr>
              <w:t>22</w:t>
            </w:r>
            <w:r w:rsidR="000C2335" w:rsidRPr="00B22DFB">
              <w:rPr>
                <w:rFonts w:ascii="Times New Roman" w:hAnsi="Times New Roman" w:cs="Times New Roman"/>
                <w:noProof/>
                <w:webHidden/>
                <w:sz w:val="24"/>
                <w:szCs w:val="24"/>
              </w:rPr>
              <w:fldChar w:fldCharType="end"/>
            </w:r>
          </w:hyperlink>
        </w:p>
        <w:p w:rsidR="000C2335" w:rsidRPr="00B22DFB" w:rsidRDefault="00995E81">
          <w:pPr>
            <w:pStyle w:val="Turinys3"/>
            <w:tabs>
              <w:tab w:val="right" w:leader="dot" w:pos="9911"/>
            </w:tabs>
            <w:rPr>
              <w:rFonts w:ascii="Times New Roman" w:hAnsi="Times New Roman" w:cs="Times New Roman"/>
              <w:noProof/>
              <w:sz w:val="24"/>
              <w:szCs w:val="24"/>
              <w:lang w:val="lt-LT" w:eastAsia="lt-LT"/>
            </w:rPr>
          </w:pPr>
          <w:hyperlink w:anchor="_Toc439235729" w:history="1">
            <w:r w:rsidR="000C2335" w:rsidRPr="00B22DFB">
              <w:rPr>
                <w:rStyle w:val="Hipersaitas"/>
                <w:rFonts w:ascii="Times New Roman" w:hAnsi="Times New Roman" w:cs="Times New Roman"/>
                <w:noProof/>
                <w:sz w:val="24"/>
                <w:szCs w:val="24"/>
              </w:rPr>
              <w:t>3.2.3. Sergamumas žarnyno infekcinėmis ligomis</w:t>
            </w:r>
            <w:r w:rsidR="000C2335" w:rsidRPr="00B22DFB">
              <w:rPr>
                <w:rFonts w:ascii="Times New Roman" w:hAnsi="Times New Roman" w:cs="Times New Roman"/>
                <w:noProof/>
                <w:webHidden/>
                <w:sz w:val="24"/>
                <w:szCs w:val="24"/>
              </w:rPr>
              <w:tab/>
            </w:r>
            <w:r w:rsidR="000C2335" w:rsidRPr="00B22DFB">
              <w:rPr>
                <w:rFonts w:ascii="Times New Roman" w:hAnsi="Times New Roman" w:cs="Times New Roman"/>
                <w:noProof/>
                <w:webHidden/>
                <w:sz w:val="24"/>
                <w:szCs w:val="24"/>
              </w:rPr>
              <w:fldChar w:fldCharType="begin"/>
            </w:r>
            <w:r w:rsidR="000C2335" w:rsidRPr="00B22DFB">
              <w:rPr>
                <w:rFonts w:ascii="Times New Roman" w:hAnsi="Times New Roman" w:cs="Times New Roman"/>
                <w:noProof/>
                <w:webHidden/>
                <w:sz w:val="24"/>
                <w:szCs w:val="24"/>
              </w:rPr>
              <w:instrText xml:space="preserve"> PAGEREF _Toc439235729 \h </w:instrText>
            </w:r>
            <w:r w:rsidR="000C2335" w:rsidRPr="00B22DFB">
              <w:rPr>
                <w:rFonts w:ascii="Times New Roman" w:hAnsi="Times New Roman" w:cs="Times New Roman"/>
                <w:noProof/>
                <w:webHidden/>
                <w:sz w:val="24"/>
                <w:szCs w:val="24"/>
              </w:rPr>
            </w:r>
            <w:r w:rsidR="000C2335" w:rsidRPr="00B22DFB">
              <w:rPr>
                <w:rFonts w:ascii="Times New Roman" w:hAnsi="Times New Roman" w:cs="Times New Roman"/>
                <w:noProof/>
                <w:webHidden/>
                <w:sz w:val="24"/>
                <w:szCs w:val="24"/>
              </w:rPr>
              <w:fldChar w:fldCharType="separate"/>
            </w:r>
            <w:r w:rsidR="00674824">
              <w:rPr>
                <w:rFonts w:ascii="Times New Roman" w:hAnsi="Times New Roman" w:cs="Times New Roman"/>
                <w:noProof/>
                <w:webHidden/>
                <w:sz w:val="24"/>
                <w:szCs w:val="24"/>
              </w:rPr>
              <w:t>24</w:t>
            </w:r>
            <w:r w:rsidR="000C2335" w:rsidRPr="00B22DFB">
              <w:rPr>
                <w:rFonts w:ascii="Times New Roman" w:hAnsi="Times New Roman" w:cs="Times New Roman"/>
                <w:noProof/>
                <w:webHidden/>
                <w:sz w:val="24"/>
                <w:szCs w:val="24"/>
              </w:rPr>
              <w:fldChar w:fldCharType="end"/>
            </w:r>
          </w:hyperlink>
        </w:p>
        <w:p w:rsidR="000C2335" w:rsidRPr="00B22DFB" w:rsidRDefault="00995E81">
          <w:pPr>
            <w:pStyle w:val="Turinys1"/>
            <w:rPr>
              <w:rFonts w:eastAsiaTheme="minorEastAsia" w:cs="Times New Roman"/>
              <w:noProof/>
              <w:szCs w:val="24"/>
              <w:lang w:eastAsia="lt-LT"/>
            </w:rPr>
          </w:pPr>
          <w:hyperlink w:anchor="_Toc439235730" w:history="1">
            <w:r w:rsidR="000C2335" w:rsidRPr="00B22DFB">
              <w:rPr>
                <w:rStyle w:val="Hipersaitas"/>
                <w:rFonts w:cs="Times New Roman"/>
                <w:noProof/>
                <w:szCs w:val="24"/>
              </w:rPr>
              <w:t>4.</w:t>
            </w:r>
            <w:r w:rsidR="000C2335" w:rsidRPr="00B22DFB">
              <w:rPr>
                <w:rFonts w:eastAsiaTheme="minorEastAsia" w:cs="Times New Roman"/>
                <w:noProof/>
                <w:szCs w:val="24"/>
                <w:lang w:eastAsia="lt-LT"/>
              </w:rPr>
              <w:tab/>
            </w:r>
            <w:r w:rsidR="000C2335" w:rsidRPr="00B22DFB">
              <w:rPr>
                <w:rStyle w:val="Hipersaitas"/>
                <w:rFonts w:cs="Times New Roman"/>
                <w:noProof/>
                <w:szCs w:val="24"/>
              </w:rPr>
              <w:t>REKOMENDACIJOS</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_Toc439235730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28</w:t>
            </w:r>
            <w:r w:rsidR="000C2335" w:rsidRPr="00B22DFB">
              <w:rPr>
                <w:rFonts w:cs="Times New Roman"/>
                <w:noProof/>
                <w:webHidden/>
                <w:szCs w:val="24"/>
              </w:rPr>
              <w:fldChar w:fldCharType="end"/>
            </w:r>
          </w:hyperlink>
        </w:p>
        <w:p w:rsidR="000C2335" w:rsidRPr="00B22DFB" w:rsidRDefault="00995E81">
          <w:pPr>
            <w:pStyle w:val="Turinys1"/>
            <w:rPr>
              <w:rFonts w:eastAsiaTheme="minorEastAsia" w:cs="Times New Roman"/>
              <w:noProof/>
              <w:szCs w:val="24"/>
              <w:lang w:eastAsia="lt-LT"/>
            </w:rPr>
          </w:pPr>
          <w:hyperlink w:anchor="_Toc439235731" w:history="1">
            <w:r w:rsidR="000C2335" w:rsidRPr="00B22DFB">
              <w:rPr>
                <w:rStyle w:val="Hipersaitas"/>
                <w:rFonts w:cs="Times New Roman"/>
                <w:noProof/>
                <w:szCs w:val="24"/>
              </w:rPr>
              <w:t>PRIEDAI</w:t>
            </w:r>
            <w:r w:rsidR="000C2335" w:rsidRPr="00B22DFB">
              <w:rPr>
                <w:rFonts w:cs="Times New Roman"/>
                <w:noProof/>
                <w:webHidden/>
                <w:szCs w:val="24"/>
              </w:rPr>
              <w:tab/>
            </w:r>
            <w:r w:rsidR="000C2335" w:rsidRPr="00B22DFB">
              <w:rPr>
                <w:rFonts w:cs="Times New Roman"/>
                <w:noProof/>
                <w:webHidden/>
                <w:szCs w:val="24"/>
              </w:rPr>
              <w:fldChar w:fldCharType="begin"/>
            </w:r>
            <w:r w:rsidR="000C2335" w:rsidRPr="00B22DFB">
              <w:rPr>
                <w:rFonts w:cs="Times New Roman"/>
                <w:noProof/>
                <w:webHidden/>
                <w:szCs w:val="24"/>
              </w:rPr>
              <w:instrText xml:space="preserve"> PAGEREF _Toc439235731 \h </w:instrText>
            </w:r>
            <w:r w:rsidR="000C2335" w:rsidRPr="00B22DFB">
              <w:rPr>
                <w:rFonts w:cs="Times New Roman"/>
                <w:noProof/>
                <w:webHidden/>
                <w:szCs w:val="24"/>
              </w:rPr>
            </w:r>
            <w:r w:rsidR="000C2335" w:rsidRPr="00B22DFB">
              <w:rPr>
                <w:rFonts w:cs="Times New Roman"/>
                <w:noProof/>
                <w:webHidden/>
                <w:szCs w:val="24"/>
              </w:rPr>
              <w:fldChar w:fldCharType="separate"/>
            </w:r>
            <w:r w:rsidR="00674824">
              <w:rPr>
                <w:rFonts w:cs="Times New Roman"/>
                <w:noProof/>
                <w:webHidden/>
                <w:szCs w:val="24"/>
              </w:rPr>
              <w:t>30</w:t>
            </w:r>
            <w:r w:rsidR="000C2335" w:rsidRPr="00B22DFB">
              <w:rPr>
                <w:rFonts w:cs="Times New Roman"/>
                <w:noProof/>
                <w:webHidden/>
                <w:szCs w:val="24"/>
              </w:rPr>
              <w:fldChar w:fldCharType="end"/>
            </w:r>
          </w:hyperlink>
        </w:p>
        <w:p w:rsidR="004E5550" w:rsidRPr="00B22DFB" w:rsidRDefault="00511FB9" w:rsidP="008B306F">
          <w:pPr>
            <w:rPr>
              <w:rFonts w:cs="Times New Roman"/>
              <w:szCs w:val="24"/>
            </w:rPr>
          </w:pPr>
          <w:r w:rsidRPr="00B22DFB">
            <w:rPr>
              <w:rFonts w:cs="Times New Roman"/>
              <w:b/>
              <w:bCs/>
              <w:caps/>
              <w:noProof/>
              <w:szCs w:val="24"/>
            </w:rPr>
            <w:fldChar w:fldCharType="end"/>
          </w:r>
        </w:p>
      </w:sdtContent>
    </w:sdt>
    <w:p w:rsidR="00353619" w:rsidRPr="00814D13" w:rsidRDefault="00353619">
      <w:r w:rsidRPr="00814D13">
        <w:br w:type="page"/>
      </w:r>
    </w:p>
    <w:p w:rsidR="001402CF" w:rsidRPr="00DD66BD" w:rsidRDefault="00353619" w:rsidP="00DD66BD">
      <w:pPr>
        <w:pStyle w:val="Antrat1"/>
        <w:jc w:val="center"/>
        <w:rPr>
          <w:b w:val="0"/>
          <w:sz w:val="28"/>
        </w:rPr>
      </w:pPr>
      <w:bookmarkStart w:id="1" w:name="_Toc439235720"/>
      <w:r w:rsidRPr="00DD66BD">
        <w:rPr>
          <w:b w:val="0"/>
          <w:sz w:val="28"/>
        </w:rPr>
        <w:lastRenderedPageBreak/>
        <w:t>ĮVADAS</w:t>
      </w:r>
      <w:bookmarkEnd w:id="1"/>
    </w:p>
    <w:p w:rsidR="001E2101" w:rsidRPr="00814D13" w:rsidRDefault="001E2101" w:rsidP="001E2101">
      <w:r w:rsidRPr="00814D13">
        <w:tab/>
        <w:t xml:space="preserve">Visuomenės sveikatos stebėsenos savivaldybėje tikslas – nuolat rinkti, analizuoti, interpretuoti visuomenės sveikatą atspindinčius rodiklius, vykdyti visuomenės sveikatos stebėsenos duomenų sklaidą </w:t>
      </w:r>
      <w:r w:rsidR="007058DF">
        <w:t>ir</w:t>
      </w:r>
      <w:r w:rsidRPr="00814D13">
        <w:t xml:space="preserve"> tinkamai informuoti savivaldybės politikus, kad savivaldybės teritorijoje valstybinės (valstybės perduotos savivaldybėms) bei savarankiškosios visuomenės sveikatos priežiūros funkcijos būtų įgyvendintos efektyviai. </w:t>
      </w:r>
      <w:r w:rsidRPr="002635CA">
        <w:t xml:space="preserve">Kauno miesto savivaldybės visuomenės sveikatos </w:t>
      </w:r>
      <w:r w:rsidR="002635CA" w:rsidRPr="002635CA">
        <w:t xml:space="preserve">stebėsenos </w:t>
      </w:r>
      <w:r w:rsidRPr="002635CA">
        <w:t>ataskaitoje</w:t>
      </w:r>
      <w:r w:rsidR="002635CA" w:rsidRPr="002635CA">
        <w:t xml:space="preserve"> už 2014 metus</w:t>
      </w:r>
      <w:r w:rsidR="00E11435">
        <w:t xml:space="preserve"> </w:t>
      </w:r>
      <w:r w:rsidRPr="00814D13">
        <w:t>aprašomi visuomenės sveikatos būklę atspindintys rodikliai (iš Valstybės deleguotų savivaldybėms visuomenės sveikatos stebėsenos pagri</w:t>
      </w:r>
      <w:r w:rsidR="008800BF">
        <w:t>ndinių rodiklių sąrašo, toliau –</w:t>
      </w:r>
      <w:r w:rsidRPr="00814D13">
        <w:t xml:space="preserve"> PRS), kurie geriausiai parodo, kaip įgyvendinami Lietuvos sveikatos programos (toliau </w:t>
      </w:r>
      <w:r w:rsidR="007058DF">
        <w:t xml:space="preserve">– </w:t>
      </w:r>
      <w:r w:rsidRPr="00814D13">
        <w:t>LSP) tikslai bei uždaviniai.</w:t>
      </w:r>
    </w:p>
    <w:p w:rsidR="001E2101" w:rsidRPr="00814D13" w:rsidRDefault="001E2101" w:rsidP="001E2101">
      <w:r w:rsidRPr="00814D13">
        <w:tab/>
        <w:t>PRS (51 rodiklis) interpretavimo ir analizės tikslas – įvertinti, kokia esama gyventojų sveikatos ir sveikatą lemiančių veiksnių situacija savivaldybėje, įvertinant Lietuvos sveikatos programos tikslų ir uždavinių įgyvendinimo kontekste, ir kokių intervencijų/priemonių reikia imtis, siekiant stiprinti savivaldybės gyventojų sveikatą ir mažinti sveikatos netolygumus.</w:t>
      </w:r>
    </w:p>
    <w:p w:rsidR="001E2101" w:rsidRPr="00814D13" w:rsidRDefault="001E2101" w:rsidP="001E2101">
      <w:r w:rsidRPr="00814D13">
        <w:tab/>
        <w:t>Remiantis profilio rodikliais ir jų interpretavimo rezultatais („šviesoforas“ ir santykis)</w:t>
      </w:r>
      <w:r w:rsidR="007058DF">
        <w:t>,</w:t>
      </w:r>
      <w:r w:rsidRPr="00814D13">
        <w:t xml:space="preserve"> pasirinktos 3 pagrindinio r</w:t>
      </w:r>
      <w:r w:rsidR="002635CA">
        <w:t>odiklių sąrašo reikšmė</w:t>
      </w:r>
      <w:r w:rsidRPr="00814D13">
        <w:t>s, kurių rodiklis ar pokyčio kryptis</w:t>
      </w:r>
      <w:r w:rsidR="007058DF">
        <w:t xml:space="preserve"> yra</w:t>
      </w:r>
      <w:r w:rsidRPr="00814D13">
        <w:t xml:space="preserve"> prasčiausia palyginti su kitomis savivaldybės profilio reikšmėmis. Sudarytas Kauno miesto savivaldybės probleminių visuomenės sveikatos sričių (temų) sąrašas. Šiose srityse atlikta atrinktų rodiklių</w:t>
      </w:r>
      <w:r w:rsidR="00E62F04">
        <w:t xml:space="preserve"> </w:t>
      </w:r>
      <w:r w:rsidRPr="00814D13">
        <w:t xml:space="preserve">išsami analizė ir vertinimas, pateiktos rekomendacijos. </w:t>
      </w:r>
    </w:p>
    <w:p w:rsidR="001E2101" w:rsidRPr="00814D13" w:rsidRDefault="001E2101" w:rsidP="001E2101">
      <w:r w:rsidRPr="00814D13">
        <w:tab/>
        <w:t>Ataskaita parengta vadovaujantis Higienos instituto Sveikatos informacijos centro parengtais leidiniais „Visuomenės sveikatos būklė Lietuvos savivaldybėse 2014 m.</w:t>
      </w:r>
      <w:r w:rsidR="007058DF">
        <w:t>“</w:t>
      </w:r>
      <w:r w:rsidRPr="00814D13">
        <w:t xml:space="preserve"> ir </w:t>
      </w:r>
      <w:r w:rsidR="007058DF">
        <w:t>„</w:t>
      </w:r>
      <w:r w:rsidRPr="00814D13">
        <w:t>Savivaldybių visuomenės sveikatos stebėsenos ataskaitų rašymo metodinės rekomendacijos 2015 m.</w:t>
      </w:r>
      <w:r w:rsidR="007058DF">
        <w:t>“</w:t>
      </w:r>
      <w:r w:rsidR="002635CA">
        <w:t>.</w:t>
      </w:r>
    </w:p>
    <w:p w:rsidR="00353619" w:rsidRPr="00814D13" w:rsidRDefault="001E2101" w:rsidP="001E2101">
      <w:r w:rsidRPr="00814D13">
        <w:tab/>
        <w:t>Ataskaita parengta naudojant oficialius statistikos šaltinius.</w:t>
      </w:r>
    </w:p>
    <w:p w:rsidR="001E2101" w:rsidRPr="00814D13" w:rsidRDefault="001E2101">
      <w:pPr>
        <w:tabs>
          <w:tab w:val="clear" w:pos="1134"/>
        </w:tabs>
        <w:spacing w:after="200" w:line="276" w:lineRule="auto"/>
        <w:jc w:val="left"/>
        <w:rPr>
          <w:rFonts w:eastAsiaTheme="majorEastAsia" w:cstheme="majorBidi"/>
          <w:b/>
          <w:bCs/>
          <w:spacing w:val="5"/>
          <w:kern w:val="28"/>
          <w:sz w:val="28"/>
          <w:szCs w:val="52"/>
        </w:rPr>
      </w:pPr>
      <w:r w:rsidRPr="00814D13">
        <w:br w:type="page"/>
      </w:r>
    </w:p>
    <w:p w:rsidR="00353619" w:rsidRPr="00DD66BD" w:rsidRDefault="00353619" w:rsidP="00DD66BD">
      <w:pPr>
        <w:pStyle w:val="Antrat1"/>
        <w:jc w:val="center"/>
        <w:rPr>
          <w:b w:val="0"/>
          <w:sz w:val="28"/>
        </w:rPr>
      </w:pPr>
      <w:bookmarkStart w:id="2" w:name="_Toc439235721"/>
      <w:r w:rsidRPr="00DD66BD">
        <w:rPr>
          <w:b w:val="0"/>
          <w:sz w:val="28"/>
        </w:rPr>
        <w:lastRenderedPageBreak/>
        <w:t>BENDROJI DALIS</w:t>
      </w:r>
      <w:bookmarkEnd w:id="2"/>
    </w:p>
    <w:p w:rsidR="0062069B" w:rsidRDefault="001E2101" w:rsidP="001E2101">
      <w:r w:rsidRPr="00814D13">
        <w:tab/>
      </w:r>
      <w:r w:rsidR="0062069B">
        <w:t xml:space="preserve">Pagrindinio rodiklių sąrašo analizė ir interpretavimas („šviesoforo kūrimas“) atliekamas palyginant praėjusių metų Kauno miesto savivaldybės rodiklius su Lietuvos vidurkiu. Remiantis „šviesoforo“ principu, visos </w:t>
      </w:r>
      <w:r w:rsidR="0062069B" w:rsidRPr="007058DF">
        <w:t xml:space="preserve">60 Lietuvos </w:t>
      </w:r>
      <w:r w:rsidR="0062069B">
        <w:t>savivaldybių suskirstytos į grupes (</w:t>
      </w:r>
      <w:r w:rsidR="0062069B" w:rsidRPr="007058DF">
        <w:t>13 ma</w:t>
      </w:r>
      <w:r w:rsidR="0062069B">
        <w:t xml:space="preserve">žųjų savivaldybių, turinčių mažiau nei </w:t>
      </w:r>
      <w:r w:rsidR="0062069B" w:rsidRPr="007058DF">
        <w:t>20 000 gyventoj</w:t>
      </w:r>
      <w:r w:rsidR="0062069B">
        <w:t xml:space="preserve">ų, nėra lyginamos su kitomis savivaldybėmis dėl rodiklių „jautrumo“): </w:t>
      </w:r>
    </w:p>
    <w:p w:rsidR="0062069B" w:rsidRPr="00674824" w:rsidRDefault="0062069B" w:rsidP="0062069B">
      <w:pPr>
        <w:numPr>
          <w:ilvl w:val="0"/>
          <w:numId w:val="15"/>
        </w:numPr>
      </w:pPr>
      <w:r w:rsidRPr="0062069B">
        <w:t xml:space="preserve">10 savivaldybių, kuriose stebimas rodiklis atspindi geriausią situaciją, priskiriamos savivaldybių su geriausiais rodikliais grupei ir žymimos </w:t>
      </w:r>
      <w:r w:rsidRPr="00674824">
        <w:rPr>
          <w:i/>
        </w:rPr>
        <w:t>žalia spalva</w:t>
      </w:r>
      <w:r w:rsidRPr="00674824">
        <w:t xml:space="preserve">; </w:t>
      </w:r>
    </w:p>
    <w:p w:rsidR="0062069B" w:rsidRPr="00674824" w:rsidRDefault="0062069B" w:rsidP="0062069B">
      <w:pPr>
        <w:numPr>
          <w:ilvl w:val="0"/>
          <w:numId w:val="15"/>
        </w:numPr>
      </w:pPr>
      <w:r w:rsidRPr="00674824">
        <w:t xml:space="preserve">10 savivaldybių, kuriose stebimas rodiklis rodo prasčiausią situaciją, priskiriamos savivaldybių su prasčiausiais rodikliais grupei ir žymimos </w:t>
      </w:r>
      <w:r w:rsidRPr="00674824">
        <w:rPr>
          <w:i/>
        </w:rPr>
        <w:t>raudona spalva</w:t>
      </w:r>
      <w:r w:rsidRPr="00674824">
        <w:t xml:space="preserve">; </w:t>
      </w:r>
    </w:p>
    <w:p w:rsidR="0062069B" w:rsidRDefault="0062069B" w:rsidP="0062069B">
      <w:pPr>
        <w:numPr>
          <w:ilvl w:val="0"/>
          <w:numId w:val="15"/>
        </w:numPr>
      </w:pPr>
      <w:r w:rsidRPr="00674824">
        <w:t xml:space="preserve">likusių 27 savivaldybių rodiklio reikšmės žymimos </w:t>
      </w:r>
      <w:r w:rsidRPr="00674824">
        <w:rPr>
          <w:i/>
        </w:rPr>
        <w:t>geltona spalva</w:t>
      </w:r>
      <w:r w:rsidRPr="00674824">
        <w:t xml:space="preserve">. </w:t>
      </w:r>
      <w:r w:rsidRPr="0062069B">
        <w:t>Šių savivaldybių rodikliai interpretuojami kaip atitinkantys Lietuvos vidurkį.</w:t>
      </w:r>
    </w:p>
    <w:p w:rsidR="0062069B" w:rsidRPr="00814D13" w:rsidRDefault="0062069B" w:rsidP="0062069B">
      <w:r>
        <w:tab/>
        <w:t>Kauno miesto gyventojų visuomenės sveikatos stebėsenos ataskaitoje analizuojamų rodiklių duomenys ir jų interpretavimas pateikiami 1 priede „Kauno miesto savivaldybės visuomenės sveikatos stebėsenos rodiklių profilis“.</w:t>
      </w:r>
    </w:p>
    <w:p w:rsidR="0017273E" w:rsidRPr="000C2335" w:rsidRDefault="001E2101" w:rsidP="000C2335">
      <w:r w:rsidRPr="00814D13">
        <w:tab/>
        <w:t xml:space="preserve">Pirmame lentelės </w:t>
      </w:r>
      <w:r w:rsidRPr="006846F2">
        <w:t>stulpelyje</w:t>
      </w:r>
      <w:r w:rsidRPr="00814D13">
        <w:t xml:space="preserve"> pateikti PRS</w:t>
      </w:r>
      <w:r w:rsidR="007058DF">
        <w:t>,</w:t>
      </w:r>
      <w:r w:rsidRPr="00814D13">
        <w:t xml:space="preserve"> suskirstyti pagal Lietuvos sveikatos programoje numatomus įgyvendinti tikslus ir uždavinius. Antrajame </w:t>
      </w:r>
      <w:r w:rsidRPr="006846F2">
        <w:t>stulpelyje</w:t>
      </w:r>
      <w:r w:rsidRPr="00814D13">
        <w:t xml:space="preserve"> pateikiamas atvejų skaičius savivaldybėje, trečiajame – savivaldybės rodiklio reikšmė, ketvirtajame – atitinkamo rodiklio Lietuvos vidurkio reikšmė, penktajame – mažiausia</w:t>
      </w:r>
      <w:r w:rsidR="007E03A7">
        <w:t xml:space="preserve"> reikšmė tarp visų savivaldybių</w:t>
      </w:r>
      <w:r w:rsidRPr="00814D13">
        <w:t xml:space="preserve">, šeštajame – didžiausia reikšmė tarp visų savivaldybių, septintajame – savivaldybės rodiklio interpretavimas (reikšmės savivaldybėje santykis su Lietuvos vidurkio reikšme ir savivaldybės rodiklio </w:t>
      </w:r>
      <w:r w:rsidR="007E03A7">
        <w:t xml:space="preserve">vietos tarp visų savivaldybių </w:t>
      </w:r>
      <w:r w:rsidRPr="00814D13">
        <w:t>vaiz</w:t>
      </w:r>
      <w:r w:rsidR="002635CA">
        <w:t>d</w:t>
      </w:r>
      <w:r w:rsidRPr="00814D13">
        <w:t xml:space="preserve">avimas </w:t>
      </w:r>
      <w:r w:rsidR="007058DF">
        <w:t>„</w:t>
      </w:r>
      <w:r w:rsidR="002635CA">
        <w:t>šviesoforo</w:t>
      </w:r>
      <w:r w:rsidR="007058DF">
        <w:t>“</w:t>
      </w:r>
      <w:r w:rsidR="002635CA">
        <w:t xml:space="preserve"> principu</w:t>
      </w:r>
      <w:r w:rsidRPr="00814D13">
        <w:t>.</w:t>
      </w:r>
      <w:bookmarkStart w:id="3" w:name="_Toc438409379"/>
      <w:bookmarkStart w:id="4" w:name="_Toc438409494"/>
      <w:bookmarkStart w:id="5" w:name="_Toc438409508"/>
      <w:bookmarkStart w:id="6" w:name="_Toc438557390"/>
      <w:bookmarkStart w:id="7" w:name="_Toc438557651"/>
      <w:bookmarkStart w:id="8" w:name="_Toc438562458"/>
      <w:bookmarkStart w:id="9" w:name="_Toc439233426"/>
      <w:bookmarkStart w:id="10" w:name="_Toc439235722"/>
      <w:bookmarkEnd w:id="3"/>
      <w:bookmarkEnd w:id="4"/>
      <w:bookmarkEnd w:id="5"/>
      <w:bookmarkEnd w:id="6"/>
      <w:bookmarkEnd w:id="7"/>
      <w:bookmarkEnd w:id="8"/>
      <w:bookmarkEnd w:id="9"/>
      <w:bookmarkEnd w:id="10"/>
    </w:p>
    <w:p w:rsidR="000E09FF" w:rsidRDefault="00DD66BD" w:rsidP="00DD66BD">
      <w:pPr>
        <w:pStyle w:val="Antrat2"/>
        <w:jc w:val="center"/>
        <w:rPr>
          <w:b/>
          <w:caps w:val="0"/>
        </w:rPr>
      </w:pPr>
      <w:bookmarkStart w:id="11" w:name="_Toc439235723"/>
      <w:r w:rsidRPr="00DD66BD">
        <w:rPr>
          <w:b/>
          <w:caps w:val="0"/>
        </w:rPr>
        <w:t>2.1</w:t>
      </w:r>
      <w:r>
        <w:rPr>
          <w:b/>
          <w:caps w:val="0"/>
        </w:rPr>
        <w:t xml:space="preserve">. </w:t>
      </w:r>
      <w:r w:rsidRPr="00DD66BD">
        <w:rPr>
          <w:b/>
          <w:caps w:val="0"/>
        </w:rPr>
        <w:t>Kauno miesto savivaldybės profilis</w:t>
      </w:r>
      <w:bookmarkEnd w:id="11"/>
    </w:p>
    <w:p w:rsidR="006846F2" w:rsidRPr="006846F2" w:rsidRDefault="006846F2" w:rsidP="006846F2"/>
    <w:p w:rsidR="0017273E" w:rsidRPr="00814D13" w:rsidRDefault="0017273E" w:rsidP="0017273E">
      <w:r w:rsidRPr="00814D13">
        <w:tab/>
        <w:t>Kauno miesto savivaldybėje 2014 metų pradžioje gyveno 304 012 asmenų. Tai 2</w:t>
      </w:r>
      <w:r w:rsidR="007058DF">
        <w:t xml:space="preserve"> </w:t>
      </w:r>
      <w:r w:rsidRPr="00814D13">
        <w:t>876 gyventojais mažiau nei 2013 metais.  Vyrai sudarė 44 proc., mot</w:t>
      </w:r>
      <w:r w:rsidR="002635CA">
        <w:t xml:space="preserve">erys – 56 proc. visų gyventojų. </w:t>
      </w:r>
      <w:r w:rsidRPr="00814D13">
        <w:t xml:space="preserve">Vaikai iki 17 metų sudarė 17,28 proc. visų gyventojų, 18-44 metų amžiaus asmenys sudarė 36,71 proc. gyventojų, 45-64 metų asmenys – 26,56 proc., o 65 m. ir vyresni – 19,46 proc. visų gyventojų.   </w:t>
      </w:r>
    </w:p>
    <w:p w:rsidR="0017273E" w:rsidRPr="00814D13" w:rsidRDefault="002635CA" w:rsidP="0017273E">
      <w:r>
        <w:tab/>
      </w:r>
      <w:r w:rsidR="006846F2">
        <w:t>Iš 1 priede „Kauno miesto savivaldybės visuomenės sveikatos stebėsenos rodiklių profilis“ pateiktų PRS rodiklių reikšmių Kauno miesto savivaldybėje palyginimo su atitinkamu Lietuvo</w:t>
      </w:r>
      <w:r w:rsidR="007F6C2E">
        <w:t>s vidurkio rodikliu matyti, kad už Lietuvos vidurkį geresni buvo šie rodikliai</w:t>
      </w:r>
      <w:r w:rsidR="0017273E" w:rsidRPr="00814D13">
        <w:t>:</w:t>
      </w:r>
    </w:p>
    <w:p w:rsidR="0017273E" w:rsidRPr="00814D13" w:rsidRDefault="00E546D8" w:rsidP="00564036">
      <w:pPr>
        <w:numPr>
          <w:ilvl w:val="0"/>
          <w:numId w:val="3"/>
        </w:numPr>
        <w:rPr>
          <w:b/>
          <w:i/>
          <w:color w:val="76923C" w:themeColor="accent3" w:themeShade="BF"/>
        </w:rPr>
      </w:pPr>
      <w:r>
        <w:rPr>
          <w:b/>
          <w:i/>
          <w:color w:val="76923C" w:themeColor="accent3" w:themeShade="BF"/>
        </w:rPr>
        <w:t>v</w:t>
      </w:r>
      <w:r w:rsidR="0017273E" w:rsidRPr="00814D13">
        <w:rPr>
          <w:b/>
          <w:i/>
          <w:color w:val="76923C" w:themeColor="accent3" w:themeShade="BF"/>
        </w:rPr>
        <w:t>idutinė tikėtina gyvenimo trukmė;</w:t>
      </w:r>
    </w:p>
    <w:p w:rsidR="0017273E" w:rsidRPr="00814D13" w:rsidRDefault="00E546D8" w:rsidP="00564036">
      <w:pPr>
        <w:numPr>
          <w:ilvl w:val="0"/>
          <w:numId w:val="3"/>
        </w:numPr>
        <w:rPr>
          <w:b/>
          <w:i/>
          <w:color w:val="76923C" w:themeColor="accent3" w:themeShade="BF"/>
        </w:rPr>
      </w:pPr>
      <w:r>
        <w:rPr>
          <w:b/>
          <w:i/>
          <w:color w:val="76923C" w:themeColor="accent3" w:themeShade="BF"/>
        </w:rPr>
        <w:t>s</w:t>
      </w:r>
      <w:r w:rsidR="0017273E" w:rsidRPr="00814D13">
        <w:rPr>
          <w:b/>
          <w:i/>
          <w:color w:val="76923C" w:themeColor="accent3" w:themeShade="BF"/>
        </w:rPr>
        <w:t>ocialinės rizikos šeimų skaičius</w:t>
      </w:r>
      <w:r w:rsidR="00A42CE8">
        <w:rPr>
          <w:b/>
          <w:i/>
          <w:color w:val="76923C" w:themeColor="accent3" w:themeShade="BF"/>
        </w:rPr>
        <w:t xml:space="preserve"> 1 000 gyv.</w:t>
      </w:r>
      <w:r w:rsidR="0017273E" w:rsidRPr="00814D13">
        <w:rPr>
          <w:b/>
          <w:i/>
          <w:color w:val="76923C" w:themeColor="accent3" w:themeShade="BF"/>
        </w:rPr>
        <w:t>;</w:t>
      </w:r>
    </w:p>
    <w:p w:rsidR="0017273E" w:rsidRPr="00814D13" w:rsidRDefault="00E546D8" w:rsidP="00564036">
      <w:pPr>
        <w:numPr>
          <w:ilvl w:val="0"/>
          <w:numId w:val="3"/>
        </w:numPr>
        <w:rPr>
          <w:b/>
          <w:i/>
          <w:color w:val="76923C" w:themeColor="accent3" w:themeShade="BF"/>
        </w:rPr>
      </w:pPr>
      <w:r>
        <w:rPr>
          <w:b/>
          <w:i/>
          <w:color w:val="76923C" w:themeColor="accent3" w:themeShade="BF"/>
        </w:rPr>
        <w:t>i</w:t>
      </w:r>
      <w:r w:rsidR="0017273E" w:rsidRPr="00814D13">
        <w:rPr>
          <w:b/>
          <w:i/>
          <w:color w:val="76923C" w:themeColor="accent3" w:themeShade="BF"/>
        </w:rPr>
        <w:t>lgalaikio nedarbo lygis;</w:t>
      </w:r>
    </w:p>
    <w:p w:rsidR="0017273E" w:rsidRPr="00814D13" w:rsidRDefault="00E546D8" w:rsidP="00564036">
      <w:pPr>
        <w:numPr>
          <w:ilvl w:val="0"/>
          <w:numId w:val="3"/>
        </w:numPr>
        <w:rPr>
          <w:b/>
          <w:i/>
          <w:color w:val="76923C" w:themeColor="accent3" w:themeShade="BF"/>
        </w:rPr>
      </w:pPr>
      <w:r>
        <w:rPr>
          <w:b/>
          <w:i/>
          <w:color w:val="76923C" w:themeColor="accent3" w:themeShade="BF"/>
        </w:rPr>
        <w:lastRenderedPageBreak/>
        <w:t>m</w:t>
      </w:r>
      <w:r w:rsidR="0017273E" w:rsidRPr="00814D13">
        <w:rPr>
          <w:b/>
          <w:i/>
          <w:color w:val="76923C" w:themeColor="accent3" w:themeShade="BF"/>
        </w:rPr>
        <w:t>irtingumas/standartizuotas mirtingumas dėl išorinių priežasčių</w:t>
      </w:r>
      <w:r w:rsidR="00A42CE8">
        <w:rPr>
          <w:b/>
          <w:i/>
          <w:color w:val="76923C" w:themeColor="accent3" w:themeShade="BF"/>
        </w:rPr>
        <w:t xml:space="preserve"> 100 000 gyv.</w:t>
      </w:r>
      <w:r w:rsidR="0017273E" w:rsidRPr="00814D13">
        <w:rPr>
          <w:b/>
          <w:i/>
          <w:color w:val="76923C" w:themeColor="accent3" w:themeShade="BF"/>
        </w:rPr>
        <w:t>;</w:t>
      </w:r>
    </w:p>
    <w:p w:rsidR="0017273E" w:rsidRPr="00814D13" w:rsidRDefault="00E546D8" w:rsidP="00564036">
      <w:pPr>
        <w:numPr>
          <w:ilvl w:val="0"/>
          <w:numId w:val="3"/>
        </w:numPr>
        <w:rPr>
          <w:b/>
          <w:i/>
          <w:color w:val="76923C" w:themeColor="accent3" w:themeShade="BF"/>
        </w:rPr>
      </w:pPr>
      <w:r>
        <w:rPr>
          <w:b/>
          <w:i/>
          <w:color w:val="76923C" w:themeColor="accent3" w:themeShade="BF"/>
        </w:rPr>
        <w:t>m</w:t>
      </w:r>
      <w:r w:rsidR="0017273E" w:rsidRPr="00814D13">
        <w:rPr>
          <w:b/>
          <w:i/>
          <w:color w:val="76923C" w:themeColor="accent3" w:themeShade="BF"/>
        </w:rPr>
        <w:t>okinių, gaunančių nemokamą maitinimą mokyklose, skaičius 1 000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s</w:t>
      </w:r>
      <w:r w:rsidR="0017273E" w:rsidRPr="00814D13">
        <w:rPr>
          <w:b/>
          <w:i/>
          <w:color w:val="76923C" w:themeColor="accent3" w:themeShade="BF"/>
        </w:rPr>
        <w:t>ocialinės pašalpos gavėjų skaičius 1 000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s</w:t>
      </w:r>
      <w:r w:rsidR="0017273E" w:rsidRPr="00814D13">
        <w:rPr>
          <w:b/>
          <w:i/>
          <w:color w:val="76923C" w:themeColor="accent3" w:themeShade="BF"/>
        </w:rPr>
        <w:t>ergamumas tuberkulioze 10 000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d</w:t>
      </w:r>
      <w:r w:rsidR="0017273E" w:rsidRPr="00814D13">
        <w:rPr>
          <w:b/>
          <w:i/>
          <w:color w:val="76923C" w:themeColor="accent3" w:themeShade="BF"/>
        </w:rPr>
        <w:t>arbingo amžiaus asmenų, pirmą kartą pripažintų neįgaliais, skaičius 10 000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m</w:t>
      </w:r>
      <w:r w:rsidR="0017273E" w:rsidRPr="00814D13">
        <w:rPr>
          <w:b/>
          <w:i/>
          <w:color w:val="76923C" w:themeColor="accent3" w:themeShade="BF"/>
        </w:rPr>
        <w:t>irtingumas/standartizuotas mirtingumas dėl atsitiktinio paskendimo 100 000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t</w:t>
      </w:r>
      <w:r w:rsidR="0017273E" w:rsidRPr="00814D13">
        <w:rPr>
          <w:b/>
          <w:i/>
          <w:color w:val="76923C" w:themeColor="accent3" w:themeShade="BF"/>
        </w:rPr>
        <w:t>ransporto įvykiuose patirtų traumų  skaičius 100 000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k</w:t>
      </w:r>
      <w:r w:rsidR="0017273E" w:rsidRPr="00814D13">
        <w:rPr>
          <w:b/>
          <w:i/>
          <w:color w:val="76923C" w:themeColor="accent3" w:themeShade="BF"/>
        </w:rPr>
        <w:t>ūdikių, išimtinai žindytų iki 6 mėn. amžiaus, dalis (proc.);</w:t>
      </w:r>
    </w:p>
    <w:p w:rsidR="0017273E" w:rsidRPr="00814D13" w:rsidRDefault="00E546D8" w:rsidP="00564036">
      <w:pPr>
        <w:numPr>
          <w:ilvl w:val="0"/>
          <w:numId w:val="3"/>
        </w:numPr>
        <w:rPr>
          <w:b/>
          <w:i/>
          <w:color w:val="76923C" w:themeColor="accent3" w:themeShade="BF"/>
        </w:rPr>
      </w:pPr>
      <w:r>
        <w:rPr>
          <w:b/>
          <w:i/>
          <w:color w:val="76923C" w:themeColor="accent3" w:themeShade="BF"/>
        </w:rPr>
        <w:t>š</w:t>
      </w:r>
      <w:r w:rsidR="0017273E" w:rsidRPr="00814D13">
        <w:rPr>
          <w:b/>
          <w:i/>
          <w:color w:val="76923C" w:themeColor="accent3" w:themeShade="BF"/>
        </w:rPr>
        <w:t>eimos medicinos paslaugas teikiančių gydytojų skaičius 10 000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a</w:t>
      </w:r>
      <w:r w:rsidR="0017273E" w:rsidRPr="00814D13">
        <w:rPr>
          <w:b/>
          <w:i/>
          <w:color w:val="76923C" w:themeColor="accent3" w:themeShade="BF"/>
        </w:rPr>
        <w:t>psilankymų pas gydytojus skaičius, tenkantis vienam gyventojui;</w:t>
      </w:r>
    </w:p>
    <w:p w:rsidR="0017273E" w:rsidRPr="00814D13" w:rsidRDefault="00E546D8" w:rsidP="00564036">
      <w:pPr>
        <w:numPr>
          <w:ilvl w:val="0"/>
          <w:numId w:val="3"/>
        </w:numPr>
        <w:rPr>
          <w:b/>
          <w:i/>
          <w:color w:val="76923C" w:themeColor="accent3" w:themeShade="BF"/>
        </w:rPr>
      </w:pPr>
      <w:r>
        <w:rPr>
          <w:b/>
          <w:i/>
          <w:color w:val="76923C" w:themeColor="accent3" w:themeShade="BF"/>
        </w:rPr>
        <w:t>m</w:t>
      </w:r>
      <w:r w:rsidR="0017273E" w:rsidRPr="00814D13">
        <w:rPr>
          <w:b/>
          <w:i/>
          <w:color w:val="76923C" w:themeColor="accent3" w:themeShade="BF"/>
        </w:rPr>
        <w:t>irtingumas/standartizuotas mirtingumas nuo cerebrovaskuli</w:t>
      </w:r>
      <w:r w:rsidR="00564036" w:rsidRPr="00814D13">
        <w:rPr>
          <w:b/>
          <w:i/>
          <w:color w:val="76923C" w:themeColor="accent3" w:themeShade="BF"/>
        </w:rPr>
        <w:t>nių ligų</w:t>
      </w:r>
      <w:r w:rsidR="0017273E" w:rsidRPr="00814D13">
        <w:rPr>
          <w:b/>
          <w:i/>
          <w:color w:val="76923C" w:themeColor="accent3" w:themeShade="BF"/>
        </w:rPr>
        <w:t xml:space="preserve"> 100 000 gyventojų;</w:t>
      </w:r>
    </w:p>
    <w:p w:rsidR="0017273E" w:rsidRPr="00814D13" w:rsidRDefault="00E546D8" w:rsidP="00564036">
      <w:pPr>
        <w:numPr>
          <w:ilvl w:val="0"/>
          <w:numId w:val="3"/>
        </w:numPr>
        <w:rPr>
          <w:b/>
          <w:i/>
          <w:color w:val="76923C" w:themeColor="accent3" w:themeShade="BF"/>
        </w:rPr>
      </w:pPr>
      <w:r>
        <w:rPr>
          <w:b/>
          <w:i/>
          <w:color w:val="76923C" w:themeColor="accent3" w:themeShade="BF"/>
        </w:rPr>
        <w:t>t</w:t>
      </w:r>
      <w:r w:rsidR="0017273E" w:rsidRPr="00814D13">
        <w:rPr>
          <w:b/>
          <w:i/>
          <w:color w:val="76923C" w:themeColor="accent3" w:themeShade="BF"/>
        </w:rPr>
        <w:t xml:space="preserve">ikslinės populiacijos dalis (proc.), dalyvavusi atrankinės </w:t>
      </w:r>
      <w:r w:rsidR="007058DF">
        <w:rPr>
          <w:b/>
          <w:i/>
          <w:color w:val="76923C" w:themeColor="accent3" w:themeShade="BF"/>
        </w:rPr>
        <w:t>M</w:t>
      </w:r>
      <w:r w:rsidR="0017273E" w:rsidRPr="00814D13">
        <w:rPr>
          <w:b/>
          <w:i/>
          <w:color w:val="76923C" w:themeColor="accent3" w:themeShade="BF"/>
        </w:rPr>
        <w:t>amografinės patikros dėl krūti</w:t>
      </w:r>
      <w:r w:rsidR="002635CA">
        <w:rPr>
          <w:b/>
          <w:i/>
          <w:color w:val="76923C" w:themeColor="accent3" w:themeShade="BF"/>
        </w:rPr>
        <w:t>es vėžio finansavimo programoje;</w:t>
      </w:r>
    </w:p>
    <w:p w:rsidR="0017273E" w:rsidRPr="00814D13" w:rsidRDefault="00E546D8" w:rsidP="00564036">
      <w:pPr>
        <w:numPr>
          <w:ilvl w:val="0"/>
          <w:numId w:val="3"/>
        </w:numPr>
        <w:rPr>
          <w:b/>
          <w:i/>
          <w:color w:val="76923C" w:themeColor="accent3" w:themeShade="BF"/>
        </w:rPr>
      </w:pPr>
      <w:r>
        <w:rPr>
          <w:b/>
          <w:i/>
          <w:color w:val="76923C" w:themeColor="accent3" w:themeShade="BF"/>
        </w:rPr>
        <w:t>t</w:t>
      </w:r>
      <w:r w:rsidR="0017273E" w:rsidRPr="00814D13">
        <w:rPr>
          <w:b/>
          <w:i/>
          <w:color w:val="76923C" w:themeColor="accent3" w:themeShade="BF"/>
        </w:rPr>
        <w:t xml:space="preserve">ikslinės populiacijos dalis (proc.), dalyvavusi </w:t>
      </w:r>
      <w:r w:rsidR="007058DF">
        <w:rPr>
          <w:b/>
          <w:i/>
          <w:color w:val="76923C" w:themeColor="accent3" w:themeShade="BF"/>
        </w:rPr>
        <w:t>G</w:t>
      </w:r>
      <w:r w:rsidR="0017273E" w:rsidRPr="00814D13">
        <w:rPr>
          <w:b/>
          <w:i/>
          <w:color w:val="76923C" w:themeColor="accent3" w:themeShade="BF"/>
        </w:rPr>
        <w:t>imdos kaklelio piktybinių navikų prevencinių priemonių, apmokamų iš Privalomojo sveikatos draudimo biudžeto lėšų, finansavimo programoje;</w:t>
      </w:r>
    </w:p>
    <w:p w:rsidR="0017273E" w:rsidRPr="00A42CE8" w:rsidRDefault="00E546D8" w:rsidP="00A42CE8">
      <w:pPr>
        <w:numPr>
          <w:ilvl w:val="0"/>
          <w:numId w:val="3"/>
        </w:numPr>
        <w:rPr>
          <w:b/>
          <w:i/>
          <w:color w:val="76923C" w:themeColor="accent3" w:themeShade="BF"/>
        </w:rPr>
      </w:pPr>
      <w:r>
        <w:rPr>
          <w:b/>
          <w:i/>
          <w:color w:val="76923C" w:themeColor="accent3" w:themeShade="BF"/>
        </w:rPr>
        <w:t>t</w:t>
      </w:r>
      <w:r w:rsidR="0017273E" w:rsidRPr="00814D13">
        <w:rPr>
          <w:b/>
          <w:i/>
          <w:color w:val="76923C" w:themeColor="accent3" w:themeShade="BF"/>
        </w:rPr>
        <w:t xml:space="preserve">ikslinės populiacijos dalis (proc.), dalyvavusi </w:t>
      </w:r>
      <w:r w:rsidR="007058DF">
        <w:rPr>
          <w:b/>
          <w:i/>
          <w:color w:val="76923C" w:themeColor="accent3" w:themeShade="BF"/>
        </w:rPr>
        <w:t>S</w:t>
      </w:r>
      <w:r w:rsidR="0017273E" w:rsidRPr="00814D13">
        <w:rPr>
          <w:b/>
          <w:i/>
          <w:color w:val="76923C" w:themeColor="accent3" w:themeShade="BF"/>
        </w:rPr>
        <w:t xml:space="preserve">torosios žarnos vėžio ankstyvosios </w:t>
      </w:r>
      <w:r w:rsidR="0017273E" w:rsidRPr="00A42CE8">
        <w:rPr>
          <w:b/>
          <w:i/>
          <w:color w:val="76923C" w:themeColor="accent3" w:themeShade="BF"/>
        </w:rPr>
        <w:t>diag</w:t>
      </w:r>
      <w:r w:rsidR="007F6C2E">
        <w:rPr>
          <w:b/>
          <w:i/>
          <w:color w:val="76923C" w:themeColor="accent3" w:themeShade="BF"/>
        </w:rPr>
        <w:t>nostikos finansavimo programoje.</w:t>
      </w:r>
    </w:p>
    <w:p w:rsidR="0017273E" w:rsidRPr="00814D13" w:rsidRDefault="00564036" w:rsidP="0017273E">
      <w:r w:rsidRPr="00814D13">
        <w:tab/>
      </w:r>
      <w:r w:rsidR="0017273E" w:rsidRPr="00814D13">
        <w:t>Penkių rodiklių reikšmės patenka į prasčiausių savivaldybių kvintilių grupę (raudonoji zona):</w:t>
      </w:r>
    </w:p>
    <w:p w:rsidR="0017273E" w:rsidRPr="00814D13" w:rsidRDefault="00E546D8" w:rsidP="00564036">
      <w:pPr>
        <w:numPr>
          <w:ilvl w:val="0"/>
          <w:numId w:val="4"/>
        </w:numPr>
        <w:rPr>
          <w:b/>
          <w:i/>
          <w:color w:val="FF0000"/>
        </w:rPr>
      </w:pPr>
      <w:r>
        <w:rPr>
          <w:b/>
          <w:i/>
          <w:color w:val="FF0000"/>
        </w:rPr>
        <w:t>s</w:t>
      </w:r>
      <w:r w:rsidR="0017273E" w:rsidRPr="00814D13">
        <w:rPr>
          <w:b/>
          <w:i/>
          <w:color w:val="FF0000"/>
        </w:rPr>
        <w:t>usižalojimo dėl nukritimo atvejų skaičius 65+ m. amžiaus grupėje 10 000</w:t>
      </w:r>
      <w:r w:rsidR="007F6C2E">
        <w:rPr>
          <w:b/>
          <w:i/>
          <w:color w:val="FF0000"/>
        </w:rPr>
        <w:t xml:space="preserve"> gyventojų</w:t>
      </w:r>
      <w:r w:rsidR="0017273E" w:rsidRPr="00814D13">
        <w:rPr>
          <w:b/>
          <w:i/>
          <w:color w:val="FF0000"/>
        </w:rPr>
        <w:t>;</w:t>
      </w:r>
    </w:p>
    <w:p w:rsidR="0017273E" w:rsidRPr="00814D13" w:rsidRDefault="00E546D8" w:rsidP="00564036">
      <w:pPr>
        <w:numPr>
          <w:ilvl w:val="0"/>
          <w:numId w:val="4"/>
        </w:numPr>
        <w:rPr>
          <w:b/>
          <w:i/>
          <w:color w:val="FF0000"/>
        </w:rPr>
      </w:pPr>
      <w:r>
        <w:rPr>
          <w:b/>
          <w:i/>
          <w:color w:val="FF0000"/>
        </w:rPr>
        <w:t>s</w:t>
      </w:r>
      <w:r w:rsidR="0017273E" w:rsidRPr="00814D13">
        <w:rPr>
          <w:b/>
          <w:i/>
          <w:color w:val="FF0000"/>
        </w:rPr>
        <w:t>ergamumas žarnyno infekcinėmis ligomis 10 000 gyventojų;</w:t>
      </w:r>
    </w:p>
    <w:p w:rsidR="0017273E" w:rsidRPr="00814D13" w:rsidRDefault="00E546D8" w:rsidP="00564036">
      <w:pPr>
        <w:numPr>
          <w:ilvl w:val="0"/>
          <w:numId w:val="4"/>
        </w:numPr>
        <w:rPr>
          <w:b/>
          <w:i/>
          <w:color w:val="FF0000"/>
        </w:rPr>
      </w:pPr>
      <w:r>
        <w:rPr>
          <w:b/>
          <w:i/>
          <w:color w:val="FF0000"/>
        </w:rPr>
        <w:t>g</w:t>
      </w:r>
      <w:r w:rsidR="0017273E" w:rsidRPr="00814D13">
        <w:rPr>
          <w:b/>
          <w:i/>
          <w:color w:val="FF0000"/>
        </w:rPr>
        <w:t>yventojų skaičius, tenkantis vienai licencijai verstis mažmenine prekyba alkoholiniais gėrimais;</w:t>
      </w:r>
    </w:p>
    <w:p w:rsidR="0017273E" w:rsidRPr="00814D13" w:rsidRDefault="00E546D8" w:rsidP="00564036">
      <w:pPr>
        <w:numPr>
          <w:ilvl w:val="0"/>
          <w:numId w:val="4"/>
        </w:numPr>
        <w:rPr>
          <w:b/>
          <w:i/>
          <w:color w:val="FF0000"/>
        </w:rPr>
      </w:pPr>
      <w:r>
        <w:rPr>
          <w:b/>
          <w:i/>
          <w:color w:val="FF0000"/>
        </w:rPr>
        <w:t>s</w:t>
      </w:r>
      <w:r w:rsidR="0017273E" w:rsidRPr="00814D13">
        <w:rPr>
          <w:b/>
          <w:i/>
          <w:color w:val="FF0000"/>
        </w:rPr>
        <w:t>laugytojų, tenkančių vienam gydytojui, skaičius;</w:t>
      </w:r>
    </w:p>
    <w:p w:rsidR="0017273E" w:rsidRPr="00814D13" w:rsidRDefault="00E546D8" w:rsidP="00564036">
      <w:pPr>
        <w:numPr>
          <w:ilvl w:val="0"/>
          <w:numId w:val="4"/>
        </w:numPr>
        <w:rPr>
          <w:b/>
          <w:i/>
          <w:color w:val="FF0000"/>
        </w:rPr>
      </w:pPr>
      <w:r>
        <w:rPr>
          <w:b/>
          <w:i/>
          <w:color w:val="FF0000"/>
        </w:rPr>
        <w:t>s</w:t>
      </w:r>
      <w:r w:rsidR="0017273E" w:rsidRPr="00814D13">
        <w:rPr>
          <w:b/>
          <w:i/>
          <w:color w:val="FF0000"/>
        </w:rPr>
        <w:t>ergamumas II tipo cukriniu diabetu 10 000 gyventojų.</w:t>
      </w:r>
    </w:p>
    <w:p w:rsidR="0017273E" w:rsidRPr="00814D13" w:rsidRDefault="00564036" w:rsidP="0017273E">
      <w:r w:rsidRPr="00814D13">
        <w:tab/>
      </w:r>
      <w:r w:rsidR="0017273E" w:rsidRPr="00814D13">
        <w:t>Kiti rodikliai patenka į Lietuvos vidurkį atitinkančią kvintilių grupę (geltonoji zona).</w:t>
      </w:r>
    </w:p>
    <w:p w:rsidR="0017273E" w:rsidRPr="00814D13" w:rsidRDefault="00564036" w:rsidP="0017273E">
      <w:r w:rsidRPr="00814D13">
        <w:tab/>
      </w:r>
      <w:r w:rsidR="0017273E" w:rsidRPr="00814D13">
        <w:t>Detaliai analizei, kaip prioritetinės sveikatos problemos, pasirinkti šie rodikliai:</w:t>
      </w:r>
    </w:p>
    <w:p w:rsidR="0017273E" w:rsidRPr="008B41D1" w:rsidRDefault="00E546D8" w:rsidP="00564036">
      <w:pPr>
        <w:numPr>
          <w:ilvl w:val="0"/>
          <w:numId w:val="5"/>
        </w:numPr>
      </w:pPr>
      <w:r>
        <w:t>s</w:t>
      </w:r>
      <w:r w:rsidR="0017273E" w:rsidRPr="008B41D1">
        <w:t>usižalojimai dėl nukritimo Kauno mieste 65 metų ir vyresnių žmonių grupėje, (</w:t>
      </w:r>
      <w:r w:rsidR="008B41D1" w:rsidRPr="008B41D1">
        <w:t xml:space="preserve">rodiklis </w:t>
      </w:r>
      <w:r w:rsidR="002635CA" w:rsidRPr="008B41D1">
        <w:t>1,13 karto didesnis nei Lietuvos vidurkis</w:t>
      </w:r>
      <w:r w:rsidR="0017273E" w:rsidRPr="008B41D1">
        <w:t>);</w:t>
      </w:r>
    </w:p>
    <w:p w:rsidR="00D14DF0" w:rsidRPr="008B41D1" w:rsidRDefault="00E546D8" w:rsidP="00564036">
      <w:pPr>
        <w:numPr>
          <w:ilvl w:val="0"/>
          <w:numId w:val="5"/>
        </w:numPr>
      </w:pPr>
      <w:r>
        <w:t>s</w:t>
      </w:r>
      <w:r w:rsidR="0017273E" w:rsidRPr="008B41D1">
        <w:t>ergamumas žarnyno infekcinėmis ligomis Kauno mieste</w:t>
      </w:r>
      <w:r w:rsidR="008B41D1" w:rsidRPr="008B41D1">
        <w:t xml:space="preserve"> (rodiklis 1,29 karto didesnis nei Lietuvos vidurkis)</w:t>
      </w:r>
      <w:r w:rsidR="00D14DF0" w:rsidRPr="008B41D1">
        <w:t>;</w:t>
      </w:r>
    </w:p>
    <w:p w:rsidR="00A71A36" w:rsidRPr="00814D13" w:rsidRDefault="00E546D8" w:rsidP="00A71A36">
      <w:pPr>
        <w:numPr>
          <w:ilvl w:val="0"/>
          <w:numId w:val="5"/>
        </w:numPr>
      </w:pPr>
      <w:r>
        <w:t>s</w:t>
      </w:r>
      <w:r w:rsidR="0017273E" w:rsidRPr="008B41D1">
        <w:t>ergamumas II tipo cukriniu diabetu Kauno mieste</w:t>
      </w:r>
      <w:r w:rsidR="002635CA" w:rsidRPr="008B41D1">
        <w:t xml:space="preserve"> (</w:t>
      </w:r>
      <w:r w:rsidR="008B41D1" w:rsidRPr="008B41D1">
        <w:t xml:space="preserve">rodiklis </w:t>
      </w:r>
      <w:r w:rsidR="002635CA" w:rsidRPr="008B41D1">
        <w:t>1,6 karto didesnis nei Lietuvos vidurkis)</w:t>
      </w:r>
      <w:r w:rsidR="00564036" w:rsidRPr="008B41D1">
        <w:t>.</w:t>
      </w:r>
    </w:p>
    <w:p w:rsidR="00564036" w:rsidRPr="00DD66BD" w:rsidRDefault="00564036" w:rsidP="00DD66BD">
      <w:pPr>
        <w:pStyle w:val="Antrat1"/>
        <w:numPr>
          <w:ilvl w:val="0"/>
          <w:numId w:val="13"/>
        </w:numPr>
        <w:jc w:val="center"/>
        <w:rPr>
          <w:b w:val="0"/>
          <w:sz w:val="28"/>
        </w:rPr>
      </w:pPr>
      <w:bookmarkStart w:id="12" w:name="_Toc439235724"/>
      <w:r w:rsidRPr="00DD66BD">
        <w:rPr>
          <w:b w:val="0"/>
          <w:sz w:val="28"/>
        </w:rPr>
        <w:lastRenderedPageBreak/>
        <w:t>SPECIALIOJI DALIS</w:t>
      </w:r>
      <w:bookmarkEnd w:id="12"/>
    </w:p>
    <w:p w:rsidR="00A77B49" w:rsidRDefault="00DD66BD" w:rsidP="00DD66BD">
      <w:pPr>
        <w:pStyle w:val="Antrat2"/>
        <w:jc w:val="center"/>
        <w:rPr>
          <w:b/>
          <w:caps w:val="0"/>
        </w:rPr>
      </w:pPr>
      <w:bookmarkStart w:id="13" w:name="_Toc439235725"/>
      <w:r w:rsidRPr="00DD66BD">
        <w:rPr>
          <w:b/>
          <w:caps w:val="0"/>
        </w:rPr>
        <w:t>3.1. Pagrindinių stebėsenos rodiklių savivaldybėje analizė ir interpretavimas („šviesoforas“)</w:t>
      </w:r>
      <w:bookmarkEnd w:id="13"/>
    </w:p>
    <w:p w:rsidR="008912C0" w:rsidRPr="008912C0" w:rsidRDefault="008912C0" w:rsidP="008912C0"/>
    <w:tbl>
      <w:tblPr>
        <w:tblStyle w:val="Lentelstinklelis"/>
        <w:tblW w:w="0" w:type="auto"/>
        <w:tblLayout w:type="fixed"/>
        <w:tblLook w:val="04A0" w:firstRow="1" w:lastRow="0" w:firstColumn="1" w:lastColumn="0" w:noHBand="0" w:noVBand="1"/>
      </w:tblPr>
      <w:tblGrid>
        <w:gridCol w:w="2235"/>
        <w:gridCol w:w="1417"/>
        <w:gridCol w:w="1418"/>
        <w:gridCol w:w="992"/>
        <w:gridCol w:w="1276"/>
        <w:gridCol w:w="1275"/>
        <w:gridCol w:w="1241"/>
      </w:tblGrid>
      <w:tr w:rsidR="00A77B49" w:rsidRPr="00814D13" w:rsidTr="00AC29E0">
        <w:tc>
          <w:tcPr>
            <w:tcW w:w="9854" w:type="dxa"/>
            <w:gridSpan w:val="7"/>
            <w:shd w:val="clear" w:color="auto" w:fill="E5B8B7" w:themeFill="accent2" w:themeFillTint="66"/>
            <w:vAlign w:val="center"/>
          </w:tcPr>
          <w:p w:rsidR="00A77B49" w:rsidRPr="00814D13" w:rsidRDefault="00A77B49" w:rsidP="00AC29E0">
            <w:pPr>
              <w:spacing w:line="240" w:lineRule="auto"/>
              <w:jc w:val="left"/>
              <w:rPr>
                <w:rFonts w:cs="Times New Roman"/>
                <w:b/>
                <w:szCs w:val="24"/>
              </w:rPr>
            </w:pPr>
            <w:r w:rsidRPr="00814D13">
              <w:rPr>
                <w:rFonts w:cs="Times New Roman"/>
                <w:b/>
                <w:szCs w:val="24"/>
              </w:rPr>
              <w:t>STRATEGINIS TIKSLAS – PASIEKTI, KAD 2023 METAIS ŠALIES GYVENTOJAI BŪTŲ SVEIKESNI IR GYVENTŲ ILGIAU, PAGERĖTŲ GYVENTOJŲ SVEIKATA IR SUMAŽĖTŲ SVEIKATOS NETOLYGUMAI</w:t>
            </w:r>
          </w:p>
        </w:tc>
      </w:tr>
      <w:tr w:rsidR="00A77B49" w:rsidRPr="00814D13" w:rsidTr="00A77B49">
        <w:trPr>
          <w:trHeight w:val="523"/>
        </w:trPr>
        <w:tc>
          <w:tcPr>
            <w:tcW w:w="2235"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Rodiklis</w:t>
            </w:r>
          </w:p>
        </w:tc>
        <w:tc>
          <w:tcPr>
            <w:tcW w:w="1417"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sidRPr="00814D13">
              <w:rPr>
                <w:rFonts w:cs="Times New Roman"/>
                <w:sz w:val="20"/>
                <w:szCs w:val="20"/>
              </w:rPr>
              <w:t>Savivaldybės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sidRPr="00814D13">
              <w:rPr>
                <w:rFonts w:cs="Times New Roman"/>
                <w:sz w:val="20"/>
                <w:szCs w:val="20"/>
              </w:rPr>
              <w:t>Lietuvos rodiklis</w:t>
            </w:r>
          </w:p>
        </w:tc>
        <w:tc>
          <w:tcPr>
            <w:tcW w:w="1276"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sidRPr="00814D13">
              <w:rPr>
                <w:rFonts w:cs="Times New Roman"/>
                <w:sz w:val="20"/>
                <w:szCs w:val="20"/>
              </w:rPr>
              <w:t>Minimali reikšmė</w:t>
            </w:r>
          </w:p>
        </w:tc>
        <w:tc>
          <w:tcPr>
            <w:tcW w:w="1275"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sidRPr="00814D13">
              <w:rPr>
                <w:rFonts w:cs="Times New Roman"/>
                <w:sz w:val="20"/>
                <w:szCs w:val="20"/>
              </w:rPr>
              <w:t>Maksimali reikšmė</w:t>
            </w:r>
          </w:p>
        </w:tc>
        <w:tc>
          <w:tcPr>
            <w:tcW w:w="1241"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Santykis:</w:t>
            </w:r>
          </w:p>
          <w:p w:rsidR="00A77B49" w:rsidRPr="00814D13" w:rsidRDefault="00814D13" w:rsidP="00814D13">
            <w:pPr>
              <w:spacing w:line="240" w:lineRule="auto"/>
              <w:jc w:val="center"/>
              <w:rPr>
                <w:rFonts w:cs="Times New Roman"/>
                <w:sz w:val="20"/>
                <w:szCs w:val="20"/>
              </w:rPr>
            </w:pPr>
            <w:r w:rsidRPr="00814D13">
              <w:rPr>
                <w:rFonts w:cs="Times New Roman"/>
                <w:sz w:val="20"/>
                <w:szCs w:val="20"/>
              </w:rPr>
              <w:t>savivaldybė/Lietuva</w:t>
            </w:r>
          </w:p>
        </w:tc>
      </w:tr>
      <w:tr w:rsidR="00A77B49" w:rsidRPr="00814D13" w:rsidTr="007F6C2E">
        <w:tc>
          <w:tcPr>
            <w:tcW w:w="2235" w:type="dxa"/>
            <w:vAlign w:val="center"/>
          </w:tcPr>
          <w:p w:rsidR="00A77B49" w:rsidRPr="00814D13" w:rsidRDefault="00A77B49" w:rsidP="00B22DFB">
            <w:pPr>
              <w:spacing w:line="240" w:lineRule="auto"/>
              <w:jc w:val="left"/>
              <w:rPr>
                <w:rFonts w:cs="Times New Roman"/>
                <w:sz w:val="20"/>
                <w:szCs w:val="20"/>
              </w:rPr>
            </w:pPr>
            <w:r w:rsidRPr="00814D13">
              <w:rPr>
                <w:rFonts w:cs="Times New Roman"/>
                <w:sz w:val="20"/>
                <w:szCs w:val="20"/>
              </w:rPr>
              <w:t>Vidutinė tikėtina gyvenimo trukmė</w:t>
            </w:r>
            <w:r w:rsidR="008B41D1">
              <w:rPr>
                <w:rFonts w:cs="Times New Roman"/>
                <w:sz w:val="20"/>
                <w:szCs w:val="20"/>
              </w:rPr>
              <w:t>.</w:t>
            </w:r>
          </w:p>
        </w:tc>
        <w:tc>
          <w:tcPr>
            <w:tcW w:w="1417" w:type="dxa"/>
            <w:vAlign w:val="center"/>
          </w:tcPr>
          <w:p w:rsidR="00A77B49" w:rsidRPr="00814D13" w:rsidRDefault="00A77B49" w:rsidP="00814D13">
            <w:pPr>
              <w:spacing w:line="240" w:lineRule="auto"/>
              <w:jc w:val="center"/>
              <w:rPr>
                <w:rFonts w:cs="Times New Roman"/>
                <w:sz w:val="20"/>
                <w:szCs w:val="20"/>
              </w:rPr>
            </w:pPr>
          </w:p>
        </w:tc>
        <w:tc>
          <w:tcPr>
            <w:tcW w:w="1418" w:type="dxa"/>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76,9</w:t>
            </w:r>
          </w:p>
        </w:tc>
        <w:tc>
          <w:tcPr>
            <w:tcW w:w="992" w:type="dxa"/>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74,7</w:t>
            </w:r>
          </w:p>
        </w:tc>
        <w:tc>
          <w:tcPr>
            <w:tcW w:w="1276" w:type="dxa"/>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69,6</w:t>
            </w:r>
          </w:p>
        </w:tc>
        <w:tc>
          <w:tcPr>
            <w:tcW w:w="1275" w:type="dxa"/>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77,7</w:t>
            </w:r>
          </w:p>
        </w:tc>
        <w:tc>
          <w:tcPr>
            <w:tcW w:w="1241" w:type="dxa"/>
            <w:shd w:val="clear" w:color="auto" w:fill="00B050"/>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1,03</w:t>
            </w:r>
          </w:p>
        </w:tc>
      </w:tr>
    </w:tbl>
    <w:p w:rsidR="00A77B49" w:rsidRPr="00814D13" w:rsidRDefault="00A77B49" w:rsidP="00A77B49">
      <w:pPr>
        <w:rPr>
          <w:rFonts w:cs="Times New Roman"/>
          <w:szCs w:val="24"/>
        </w:rPr>
      </w:pPr>
    </w:p>
    <w:p w:rsidR="00A77B49" w:rsidRPr="00814D13" w:rsidRDefault="00814D13" w:rsidP="00A77B49">
      <w:pPr>
        <w:rPr>
          <w:rFonts w:cs="Times New Roman"/>
          <w:szCs w:val="24"/>
        </w:rPr>
      </w:pPr>
      <w:r w:rsidRPr="00814D13">
        <w:rPr>
          <w:rFonts w:cs="Times New Roman"/>
          <w:szCs w:val="24"/>
        </w:rPr>
        <w:tab/>
      </w:r>
      <w:r w:rsidR="00A77B49" w:rsidRPr="00814D13">
        <w:rPr>
          <w:rFonts w:cs="Times New Roman"/>
          <w:szCs w:val="24"/>
        </w:rPr>
        <w:t xml:space="preserve">Vidutinė tikėtina gyvenimo trukmė – tai pagrindinis gyventojų sveikatos rodiklis, parodantis bendrą rizikos veiksnių poveikį, ligų paplitimą, intervencijų </w:t>
      </w:r>
      <w:r w:rsidR="00A01445">
        <w:rPr>
          <w:rFonts w:cs="Times New Roman"/>
          <w:szCs w:val="24"/>
        </w:rPr>
        <w:t>ir</w:t>
      </w:r>
      <w:r w:rsidR="00A77B49" w:rsidRPr="00814D13">
        <w:rPr>
          <w:rFonts w:cs="Times New Roman"/>
          <w:szCs w:val="24"/>
        </w:rPr>
        <w:t xml:space="preserve"> gydymo veiksmingumą. Lietuvos gyventojų vidutinė tikėtina gyvenimo trukmė tendencingai ilgėja, tai siejama su nuosekliu ankstyvųjų (iki 65 metų amžiaus) mirčių skaičiaus mažėjimu, taip pat su sveiko gyvenimo trukmės ilgėjimu, atitolinus ligų atsiradimą ir jų lemiamas mirtis. Vidutinė tikėtina gyvenimo trukmė Kauno miesto savivaldybėje 2014 metais išliko ilgesnė, nei daugelyje šalies savivaldybių. 2014 m. šio rodiklio reikšmė Kauno mieste buvo 3 proc. didesnė už Lietuvos vidurkį ir siekė 76,9 metus</w:t>
      </w:r>
      <w:r w:rsidR="00D14DF0">
        <w:rPr>
          <w:rFonts w:cs="Times New Roman"/>
          <w:szCs w:val="24"/>
        </w:rPr>
        <w:t>.</w:t>
      </w:r>
      <w:r w:rsidR="00A77B49" w:rsidRPr="00814D13">
        <w:rPr>
          <w:rFonts w:cs="Times New Roman"/>
          <w:szCs w:val="24"/>
        </w:rPr>
        <w:t xml:space="preserve"> Kaip ir visoje Lietuvoje, Kauno miesto gyventojai daugiausia gyvenimo metų praranda dėl ankstyvų mirčių nuo širdies ir kraujagyslių ligų, piktybinių navikų bei išorinių mirties priežasčių. </w:t>
      </w:r>
    </w:p>
    <w:p w:rsidR="00A77B49" w:rsidRPr="00814D13" w:rsidRDefault="00A77B49"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c>
          <w:tcPr>
            <w:tcW w:w="9854" w:type="dxa"/>
            <w:gridSpan w:val="7"/>
            <w:shd w:val="clear" w:color="auto" w:fill="E5B8B7" w:themeFill="accent2" w:themeFillTint="66"/>
            <w:vAlign w:val="center"/>
          </w:tcPr>
          <w:p w:rsidR="00A77B49" w:rsidRPr="00814D13" w:rsidRDefault="00A77B49" w:rsidP="00AC29E0">
            <w:pPr>
              <w:spacing w:line="240" w:lineRule="auto"/>
              <w:jc w:val="left"/>
              <w:rPr>
                <w:rFonts w:cs="Times New Roman"/>
                <w:b/>
                <w:szCs w:val="24"/>
              </w:rPr>
            </w:pPr>
            <w:r w:rsidRPr="00814D13">
              <w:rPr>
                <w:rFonts w:cs="Times New Roman"/>
                <w:b/>
                <w:szCs w:val="24"/>
              </w:rPr>
              <w:t>1 TIKSLAS. SUKURTI SAUGESNĘ SOCIALINĘ APLINKĄ, MAŽINTI SVEIKATOS N</w:t>
            </w:r>
            <w:r w:rsidR="008B41D1">
              <w:rPr>
                <w:rFonts w:cs="Times New Roman"/>
                <w:b/>
                <w:szCs w:val="24"/>
              </w:rPr>
              <w:t>ETOLYGUMUS IR SOCIALINĘ ATSKIRTĮ</w:t>
            </w:r>
          </w:p>
        </w:tc>
      </w:tr>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spacing w:line="240" w:lineRule="auto"/>
              <w:jc w:val="left"/>
              <w:rPr>
                <w:rFonts w:cs="Times New Roman"/>
                <w:szCs w:val="24"/>
              </w:rPr>
            </w:pPr>
            <w:r w:rsidRPr="00814D13">
              <w:rPr>
                <w:rFonts w:cs="Times New Roman"/>
                <w:szCs w:val="24"/>
              </w:rPr>
              <w:t>1.1. Sumažinti skurdo lygį ir nedarbą</w:t>
            </w:r>
          </w:p>
        </w:tc>
      </w:tr>
      <w:tr w:rsidR="00A77B49" w:rsidRPr="00814D13" w:rsidTr="00814D13">
        <w:trPr>
          <w:trHeight w:val="416"/>
        </w:trPr>
        <w:tc>
          <w:tcPr>
            <w:tcW w:w="2660"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Rodiklis</w:t>
            </w:r>
          </w:p>
        </w:tc>
        <w:tc>
          <w:tcPr>
            <w:tcW w:w="1417"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Savivaldybės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Lietuvos rodiklis</w:t>
            </w:r>
          </w:p>
        </w:tc>
        <w:tc>
          <w:tcPr>
            <w:tcW w:w="992"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Minimali reikš</w:t>
            </w:r>
            <w:r w:rsidR="00814D13">
              <w:rPr>
                <w:rFonts w:cs="Times New Roman"/>
                <w:sz w:val="20"/>
                <w:szCs w:val="20"/>
              </w:rPr>
              <w:t>mė</w:t>
            </w:r>
          </w:p>
        </w:tc>
        <w:tc>
          <w:tcPr>
            <w:tcW w:w="1134"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Maksimali reikšmė</w:t>
            </w:r>
          </w:p>
        </w:tc>
        <w:tc>
          <w:tcPr>
            <w:tcW w:w="1241"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Santykis:</w:t>
            </w:r>
          </w:p>
          <w:p w:rsidR="00A77B49" w:rsidRPr="00814D13" w:rsidRDefault="00814D13" w:rsidP="00814D13">
            <w:pPr>
              <w:spacing w:line="240" w:lineRule="auto"/>
              <w:jc w:val="center"/>
              <w:rPr>
                <w:rFonts w:cs="Times New Roman"/>
                <w:sz w:val="20"/>
                <w:szCs w:val="20"/>
              </w:rPr>
            </w:pPr>
            <w:r>
              <w:rPr>
                <w:rFonts w:cs="Times New Roman"/>
                <w:sz w:val="20"/>
                <w:szCs w:val="20"/>
              </w:rPr>
              <w:t>savivaldybė/Lietuva</w:t>
            </w:r>
          </w:p>
        </w:tc>
      </w:tr>
      <w:tr w:rsidR="00A77B49" w:rsidRPr="00814D13" w:rsidTr="00814D13">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dėl savižudybių (X60-X84) 100 000 gyv.</w:t>
            </w:r>
          </w:p>
        </w:tc>
        <w:tc>
          <w:tcPr>
            <w:tcW w:w="1417" w:type="dxa"/>
            <w:vMerge w:val="restart"/>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75</w:t>
            </w: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24,78</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31,7</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9,79</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92,67</w:t>
            </w:r>
          </w:p>
        </w:tc>
        <w:tc>
          <w:tcPr>
            <w:tcW w:w="1241" w:type="dxa"/>
            <w:shd w:val="clear" w:color="auto" w:fill="FFFF00"/>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0,78</w:t>
            </w:r>
          </w:p>
        </w:tc>
      </w:tr>
      <w:tr w:rsidR="00A77B49" w:rsidRPr="00814D13" w:rsidTr="00814D13">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Standartizuotas mirtingumo dėl savižudybių rodiklis (X60-X84) 100 000 gyv.</w:t>
            </w:r>
          </w:p>
        </w:tc>
        <w:tc>
          <w:tcPr>
            <w:tcW w:w="1417" w:type="dxa"/>
            <w:vMerge/>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24,54</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31,3</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5,3</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90</w:t>
            </w:r>
          </w:p>
        </w:tc>
        <w:tc>
          <w:tcPr>
            <w:tcW w:w="1241" w:type="dxa"/>
            <w:shd w:val="clear" w:color="auto" w:fill="FFFF00"/>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0,78</w:t>
            </w:r>
          </w:p>
        </w:tc>
      </w:tr>
      <w:tr w:rsidR="00A77B49" w:rsidRPr="00814D13" w:rsidTr="00814D13">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Mokyklinio amžiaus vaikų, nesimokančių mokyklose skaičius 1000 vaikų</w:t>
            </w:r>
            <w:r w:rsidR="008B41D1">
              <w:rPr>
                <w:rFonts w:eastAsia="Times New Roman" w:cs="Times New Roman"/>
                <w:color w:val="000000"/>
                <w:sz w:val="20"/>
                <w:szCs w:val="20"/>
                <w:lang w:eastAsia="lt-LT"/>
              </w:rPr>
              <w:t>.</w:t>
            </w:r>
          </w:p>
        </w:tc>
        <w:tc>
          <w:tcPr>
            <w:tcW w:w="1417" w:type="dxa"/>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1534</w:t>
            </w: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66,7</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56,2</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21,9</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126,8</w:t>
            </w:r>
          </w:p>
        </w:tc>
        <w:tc>
          <w:tcPr>
            <w:tcW w:w="1241" w:type="dxa"/>
            <w:shd w:val="clear" w:color="auto" w:fill="FFFF00"/>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1,19</w:t>
            </w:r>
          </w:p>
        </w:tc>
      </w:tr>
      <w:tr w:rsidR="00A77B49" w:rsidRPr="00814D13" w:rsidTr="00814D13">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Socialinės riziko</w:t>
            </w:r>
            <w:r w:rsidR="00D36C95">
              <w:rPr>
                <w:rFonts w:eastAsia="Times New Roman" w:cs="Times New Roman"/>
                <w:color w:val="000000"/>
                <w:sz w:val="20"/>
                <w:szCs w:val="20"/>
                <w:lang w:eastAsia="lt-LT"/>
              </w:rPr>
              <w:t>s šeimų skaičius 1 000 gyv</w:t>
            </w:r>
            <w:r w:rsidR="008B41D1">
              <w:rPr>
                <w:rFonts w:eastAsia="Times New Roman" w:cs="Times New Roman"/>
                <w:color w:val="000000"/>
                <w:sz w:val="20"/>
                <w:szCs w:val="20"/>
                <w:lang w:eastAsia="lt-LT"/>
              </w:rPr>
              <w:t>.</w:t>
            </w:r>
          </w:p>
        </w:tc>
        <w:tc>
          <w:tcPr>
            <w:tcW w:w="1417"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438</w:t>
            </w: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1,5</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3,39</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1,1</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8,4</w:t>
            </w:r>
          </w:p>
        </w:tc>
        <w:tc>
          <w:tcPr>
            <w:tcW w:w="1241" w:type="dxa"/>
            <w:shd w:val="clear" w:color="auto" w:fill="00B050"/>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0,43</w:t>
            </w:r>
          </w:p>
        </w:tc>
      </w:tr>
      <w:tr w:rsidR="00A77B49" w:rsidRPr="00814D13" w:rsidTr="00814D13">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Ilgalaikio nedarbo lygis.</w:t>
            </w:r>
          </w:p>
        </w:tc>
        <w:tc>
          <w:tcPr>
            <w:tcW w:w="1417"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1,88</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3,08</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0,7</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10,6</w:t>
            </w:r>
          </w:p>
        </w:tc>
        <w:tc>
          <w:tcPr>
            <w:tcW w:w="1241" w:type="dxa"/>
            <w:shd w:val="clear" w:color="auto" w:fill="00B050"/>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0,61</w:t>
            </w:r>
          </w:p>
        </w:tc>
      </w:tr>
      <w:tr w:rsidR="00A77B49" w:rsidRPr="00814D13" w:rsidTr="00814D13">
        <w:trPr>
          <w:trHeight w:val="315"/>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Gyventojų skaičiaus pokytis</w:t>
            </w:r>
          </w:p>
          <w:p w:rsidR="00A77B49" w:rsidRPr="00814D13" w:rsidRDefault="00D36C95"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1 000 gyv</w:t>
            </w:r>
            <w:r w:rsidR="00A77B49" w:rsidRPr="00814D13">
              <w:rPr>
                <w:rFonts w:eastAsia="Times New Roman" w:cs="Times New Roman"/>
                <w:color w:val="000000"/>
                <w:sz w:val="20"/>
                <w:szCs w:val="20"/>
                <w:lang w:eastAsia="lt-LT"/>
              </w:rPr>
              <w:t>.</w:t>
            </w:r>
          </w:p>
        </w:tc>
        <w:tc>
          <w:tcPr>
            <w:tcW w:w="1417" w:type="dxa"/>
            <w:vAlign w:val="center"/>
            <w:hideMark/>
          </w:tcPr>
          <w:p w:rsidR="00A77B49" w:rsidRPr="00814D13" w:rsidRDefault="00A77B49" w:rsidP="00814D13">
            <w:pPr>
              <w:spacing w:line="240" w:lineRule="auto"/>
              <w:jc w:val="center"/>
              <w:rPr>
                <w:rFonts w:eastAsia="Times New Roman" w:cs="Times New Roman"/>
                <w:color w:val="FF0000"/>
                <w:sz w:val="20"/>
                <w:szCs w:val="20"/>
                <w:lang w:eastAsia="lt-LT"/>
              </w:rPr>
            </w:pPr>
            <w:r w:rsidRPr="008B41D1">
              <w:rPr>
                <w:rFonts w:eastAsia="Times New Roman" w:cs="Times New Roman"/>
                <w:sz w:val="20"/>
                <w:szCs w:val="20"/>
                <w:lang w:eastAsia="lt-LT"/>
              </w:rPr>
              <w:t>-2876</w:t>
            </w: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-7,96</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-7,57</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-15,7</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0,4</w:t>
            </w:r>
          </w:p>
        </w:tc>
        <w:tc>
          <w:tcPr>
            <w:tcW w:w="1241" w:type="dxa"/>
            <w:shd w:val="clear" w:color="auto" w:fill="FFFF00"/>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1,05</w:t>
            </w:r>
          </w:p>
        </w:tc>
      </w:tr>
    </w:tbl>
    <w:p w:rsidR="00814D13" w:rsidRDefault="00814D13" w:rsidP="00A77B49">
      <w:pPr>
        <w:rPr>
          <w:rFonts w:cs="Times New Roman"/>
          <w:szCs w:val="24"/>
        </w:rPr>
      </w:pPr>
    </w:p>
    <w:p w:rsidR="00A77B49" w:rsidRPr="00814D13" w:rsidRDefault="00814D13" w:rsidP="00A77B49">
      <w:pPr>
        <w:rPr>
          <w:rFonts w:cs="Times New Roman"/>
          <w:szCs w:val="24"/>
        </w:rPr>
      </w:pPr>
      <w:r>
        <w:rPr>
          <w:rFonts w:cs="Times New Roman"/>
          <w:szCs w:val="24"/>
        </w:rPr>
        <w:tab/>
      </w:r>
      <w:r w:rsidR="00A77B49" w:rsidRPr="00814D13">
        <w:rPr>
          <w:rFonts w:cs="Times New Roman"/>
          <w:szCs w:val="24"/>
        </w:rPr>
        <w:t>Visose pasaulio šalyse esantys socialiniai-ekonominiai skirtumai lemia žymius sveikatos ir gyvensenos netolygumus. Lietuvoje 200</w:t>
      </w:r>
      <w:r w:rsidR="008B41D1">
        <w:rPr>
          <w:rFonts w:cs="Times New Roman"/>
          <w:szCs w:val="24"/>
        </w:rPr>
        <w:t>0</w:t>
      </w:r>
      <w:r w:rsidR="00A01445">
        <w:rPr>
          <w:rFonts w:cs="Times New Roman"/>
          <w:szCs w:val="24"/>
        </w:rPr>
        <w:t>–</w:t>
      </w:r>
      <w:r w:rsidR="00A77B49" w:rsidRPr="00814D13">
        <w:rPr>
          <w:rFonts w:cs="Times New Roman"/>
          <w:szCs w:val="24"/>
        </w:rPr>
        <w:t>2010 m. laikotarpiu didėjusi socialinė diferenciacija lėmė sveikatos rodiklių skirtumo tarp nuolatines dideles pajamas gaunančių gyventojų</w:t>
      </w:r>
      <w:r w:rsidR="008B41D1">
        <w:rPr>
          <w:rFonts w:cs="Times New Roman"/>
          <w:szCs w:val="24"/>
        </w:rPr>
        <w:t xml:space="preserve"> ir tarp gyventojų, </w:t>
      </w:r>
      <w:r w:rsidR="008B41D1">
        <w:rPr>
          <w:rFonts w:cs="Times New Roman"/>
          <w:szCs w:val="24"/>
        </w:rPr>
        <w:lastRenderedPageBreak/>
        <w:t>kurių pajamo</w:t>
      </w:r>
      <w:r w:rsidR="00A77B49" w:rsidRPr="00814D13">
        <w:rPr>
          <w:rFonts w:cs="Times New Roman"/>
          <w:szCs w:val="24"/>
        </w:rPr>
        <w:t>s yra nereguliarios ir mažos, tarp šeimoje gyvenančių ir vienišų žmonių, tarp žmonių, gyvenančių mieste ir kaime, didėjimą. Lietuvoje beveik 20 proc. asmenų patiria skurdo riziką, nepriteklių arba gyvena šeimose, kuriose nėra dirbančių asmenų. Tokie žmonės neturi galimybės skirti pakankamai lėšų kokybiškoms gyvenimo sąlygoms sudaryti ir sveikatai gerinti, kas turi įtakos tiek lėtinių neinfekcinių ligų, tiek traumų, ypač savižudybių skaičiaus</w:t>
      </w:r>
      <w:r w:rsidR="00A01445">
        <w:rPr>
          <w:rFonts w:cs="Times New Roman"/>
          <w:szCs w:val="24"/>
        </w:rPr>
        <w:t>,</w:t>
      </w:r>
      <w:r w:rsidR="00A77B49" w:rsidRPr="00814D13">
        <w:rPr>
          <w:rFonts w:cs="Times New Roman"/>
          <w:szCs w:val="24"/>
        </w:rPr>
        <w:t xml:space="preserve"> dinamikai.  </w:t>
      </w:r>
    </w:p>
    <w:p w:rsidR="00A77B49" w:rsidRPr="00814D13" w:rsidRDefault="00814D13" w:rsidP="00A77B49">
      <w:pPr>
        <w:rPr>
          <w:rFonts w:cs="Times New Roman"/>
          <w:szCs w:val="24"/>
        </w:rPr>
      </w:pPr>
      <w:r>
        <w:rPr>
          <w:rFonts w:cs="Times New Roman"/>
          <w:szCs w:val="24"/>
        </w:rPr>
        <w:tab/>
      </w:r>
      <w:r w:rsidR="00A77B49" w:rsidRPr="00814D13">
        <w:rPr>
          <w:rFonts w:cs="Times New Roman"/>
          <w:szCs w:val="24"/>
        </w:rPr>
        <w:t xml:space="preserve">Europos Sąjungos valstybių kontekste Lietuva jau </w:t>
      </w:r>
      <w:r w:rsidR="00A01445">
        <w:rPr>
          <w:rFonts w:cs="Times New Roman"/>
          <w:szCs w:val="24"/>
        </w:rPr>
        <w:t>keletą</w:t>
      </w:r>
      <w:r w:rsidR="00A77B49" w:rsidRPr="00814D13">
        <w:rPr>
          <w:rFonts w:cs="Times New Roman"/>
          <w:szCs w:val="24"/>
        </w:rPr>
        <w:t xml:space="preserve"> metų pirmauja savižudybi</w:t>
      </w:r>
      <w:r w:rsidR="00B22DFB">
        <w:rPr>
          <w:rFonts w:cs="Times New Roman"/>
          <w:szCs w:val="24"/>
        </w:rPr>
        <w:t xml:space="preserve">ų skaičiumi. 2014 m. Lietuvoje </w:t>
      </w:r>
      <w:r w:rsidR="00A77B49" w:rsidRPr="00814D13">
        <w:rPr>
          <w:rFonts w:cs="Times New Roman"/>
          <w:szCs w:val="24"/>
        </w:rPr>
        <w:t>nebuvo nei vienos savivaldybės, kurioje nebūtų nei vieno savižudybės atv</w:t>
      </w:r>
      <w:r w:rsidR="008B4093">
        <w:rPr>
          <w:rFonts w:cs="Times New Roman"/>
          <w:szCs w:val="24"/>
        </w:rPr>
        <w:t>ejo. 2014 metais šalyje dėl savižudybių mirė</w:t>
      </w:r>
      <w:r w:rsidR="00A77B49" w:rsidRPr="00814D13">
        <w:rPr>
          <w:rFonts w:cs="Times New Roman"/>
          <w:szCs w:val="24"/>
        </w:rPr>
        <w:t xml:space="preserve"> 930 žmonių (31,7/100 tūkst. gyv.), Kauno miesto savivaldybėje – 75 (24,8 atv./ 100 000 gyv.), iš jų 60 vyrų ir 15 moterų. Nors mirtingumo dėl savižudybių rodiklis 100 tūkst. gyv. Kauno mieste buvo 22 proc. mažesnis už šalies vidurkį, reikia atkreipti dėmesį, jog tai didžiausias savižudybių rodiklis per pastaruosius trejus metus (2012–2014 m.). </w:t>
      </w:r>
    </w:p>
    <w:p w:rsidR="00A77B49" w:rsidRPr="00814D13" w:rsidRDefault="00814D13" w:rsidP="00A77B49">
      <w:pPr>
        <w:rPr>
          <w:rFonts w:cs="Times New Roman"/>
          <w:szCs w:val="24"/>
        </w:rPr>
      </w:pPr>
      <w:r>
        <w:rPr>
          <w:rFonts w:cs="Times New Roman"/>
          <w:szCs w:val="24"/>
        </w:rPr>
        <w:tab/>
      </w:r>
      <w:r w:rsidR="00A77B49" w:rsidRPr="00814D13">
        <w:rPr>
          <w:rFonts w:cs="Times New Roman"/>
          <w:szCs w:val="24"/>
        </w:rPr>
        <w:t xml:space="preserve">Vieni iš rodiklių, </w:t>
      </w:r>
      <w:r w:rsidR="008B1B52">
        <w:rPr>
          <w:rFonts w:cs="Times New Roman"/>
          <w:szCs w:val="24"/>
        </w:rPr>
        <w:t>apimančių</w:t>
      </w:r>
      <w:r w:rsidR="00A77B49" w:rsidRPr="00814D13">
        <w:rPr>
          <w:rFonts w:cs="Times New Roman"/>
          <w:szCs w:val="24"/>
        </w:rPr>
        <w:t xml:space="preserve"> fizinę ir psichinę sveikatą bei gal</w:t>
      </w:r>
      <w:r w:rsidR="00A01445">
        <w:rPr>
          <w:rFonts w:cs="Times New Roman"/>
          <w:szCs w:val="24"/>
        </w:rPr>
        <w:t>būt</w:t>
      </w:r>
      <w:r w:rsidR="00A77B49" w:rsidRPr="00814D13">
        <w:rPr>
          <w:rFonts w:cs="Times New Roman"/>
          <w:szCs w:val="24"/>
        </w:rPr>
        <w:t xml:space="preserve"> turinčių įtak</w:t>
      </w:r>
      <w:r w:rsidR="00A01445">
        <w:rPr>
          <w:rFonts w:cs="Times New Roman"/>
          <w:szCs w:val="24"/>
        </w:rPr>
        <w:t>os</w:t>
      </w:r>
      <w:r w:rsidR="00A77B49" w:rsidRPr="00814D13">
        <w:rPr>
          <w:rFonts w:cs="Times New Roman"/>
          <w:szCs w:val="24"/>
        </w:rPr>
        <w:t xml:space="preserve"> savižudybių problemos mastui savivaldybėse</w:t>
      </w:r>
      <w:r w:rsidR="00A01445">
        <w:rPr>
          <w:rFonts w:cs="Times New Roman"/>
          <w:szCs w:val="24"/>
        </w:rPr>
        <w:t>,</w:t>
      </w:r>
      <w:r w:rsidR="00A77B49" w:rsidRPr="00814D13">
        <w:rPr>
          <w:rFonts w:cs="Times New Roman"/>
          <w:szCs w:val="24"/>
        </w:rPr>
        <w:t xml:space="preserve"> yra socialinės rizikos šeimų skaičius ir ilgalaikio nedarbo lygis. Kauno miesto savivaldybėje 2014 m. buvo 438 socialinės rizikos šei</w:t>
      </w:r>
      <w:r w:rsidR="00A01445">
        <w:rPr>
          <w:rFonts w:cs="Times New Roman"/>
          <w:szCs w:val="24"/>
        </w:rPr>
        <w:t>mos</w:t>
      </w:r>
      <w:r w:rsidR="00A77B49" w:rsidRPr="00814D13">
        <w:rPr>
          <w:rFonts w:cs="Times New Roman"/>
          <w:szCs w:val="24"/>
        </w:rPr>
        <w:t xml:space="preserve"> (1,5/1 000 gyv.), tai yra 57 proc. mažiau nei vidutiniškai Lietuvoje. Kaune, kaip ir kituose didžiuosiuose Lietuvos miestuose</w:t>
      </w:r>
      <w:r w:rsidR="00A01445">
        <w:rPr>
          <w:rFonts w:cs="Times New Roman"/>
          <w:szCs w:val="24"/>
        </w:rPr>
        <w:t>,</w:t>
      </w:r>
      <w:r w:rsidR="00A77B49" w:rsidRPr="00814D13">
        <w:rPr>
          <w:rFonts w:cs="Times New Roman"/>
          <w:szCs w:val="24"/>
        </w:rPr>
        <w:t xml:space="preserve"> esanti didesnė naujų darbo vietų pasiūl</w:t>
      </w:r>
      <w:r w:rsidR="00A01445">
        <w:rPr>
          <w:rFonts w:cs="Times New Roman"/>
          <w:szCs w:val="24"/>
        </w:rPr>
        <w:t>a</w:t>
      </w:r>
      <w:r w:rsidR="00A77B49" w:rsidRPr="00814D13">
        <w:rPr>
          <w:rFonts w:cs="Times New Roman"/>
          <w:szCs w:val="24"/>
        </w:rPr>
        <w:t xml:space="preserve"> bei išsilavinusių žmonių skaičius </w:t>
      </w:r>
      <w:r w:rsidR="00A01445">
        <w:rPr>
          <w:rFonts w:cs="Times New Roman"/>
          <w:szCs w:val="24"/>
        </w:rPr>
        <w:t xml:space="preserve">turi </w:t>
      </w:r>
      <w:r w:rsidR="00A77B49" w:rsidRPr="00814D13">
        <w:rPr>
          <w:rFonts w:cs="Times New Roman"/>
          <w:szCs w:val="24"/>
        </w:rPr>
        <w:t>įtako</w:t>
      </w:r>
      <w:r w:rsidR="00A01445">
        <w:rPr>
          <w:rFonts w:cs="Times New Roman"/>
          <w:szCs w:val="24"/>
        </w:rPr>
        <w:t>s</w:t>
      </w:r>
      <w:r w:rsidR="00A77B49" w:rsidRPr="00814D13">
        <w:rPr>
          <w:rFonts w:cs="Times New Roman"/>
          <w:szCs w:val="24"/>
        </w:rPr>
        <w:t xml:space="preserve"> ir mažesn</w:t>
      </w:r>
      <w:r w:rsidR="00A01445">
        <w:rPr>
          <w:rFonts w:cs="Times New Roman"/>
          <w:szCs w:val="24"/>
        </w:rPr>
        <w:t>iam</w:t>
      </w:r>
      <w:r w:rsidR="00A77B49" w:rsidRPr="00814D13">
        <w:rPr>
          <w:rFonts w:cs="Times New Roman"/>
          <w:szCs w:val="24"/>
        </w:rPr>
        <w:t xml:space="preserve"> nei Lietuvos vidurkis ilgalaikio nedarbo lyg</w:t>
      </w:r>
      <w:r w:rsidR="00A01445">
        <w:rPr>
          <w:rFonts w:cs="Times New Roman"/>
          <w:szCs w:val="24"/>
        </w:rPr>
        <w:t>iui</w:t>
      </w:r>
      <w:r w:rsidR="00A77B49" w:rsidRPr="00814D13">
        <w:rPr>
          <w:rFonts w:cs="Times New Roman"/>
          <w:szCs w:val="24"/>
        </w:rPr>
        <w:t xml:space="preserve"> (1,88 proc.)</w:t>
      </w:r>
      <w:r w:rsidR="008B1B52">
        <w:rPr>
          <w:rFonts w:cs="Times New Roman"/>
          <w:szCs w:val="24"/>
        </w:rPr>
        <w:t>.</w:t>
      </w:r>
    </w:p>
    <w:p w:rsidR="00A77B49" w:rsidRPr="00814D13" w:rsidRDefault="00814D13" w:rsidP="00A77B49">
      <w:pPr>
        <w:rPr>
          <w:rFonts w:cs="Times New Roman"/>
          <w:szCs w:val="24"/>
        </w:rPr>
      </w:pPr>
      <w:r>
        <w:rPr>
          <w:rFonts w:cs="Times New Roman"/>
          <w:szCs w:val="24"/>
        </w:rPr>
        <w:tab/>
      </w:r>
      <w:r w:rsidR="008B1B52">
        <w:rPr>
          <w:rFonts w:cs="Times New Roman"/>
          <w:szCs w:val="24"/>
        </w:rPr>
        <w:t>Gyventojų skaičius –</w:t>
      </w:r>
      <w:r w:rsidR="00A77B49" w:rsidRPr="00814D13">
        <w:rPr>
          <w:rFonts w:cs="Times New Roman"/>
          <w:szCs w:val="24"/>
        </w:rPr>
        <w:t xml:space="preserve"> tai išvestinis demografinių procesų (gimstamumo, mirtingumo </w:t>
      </w:r>
      <w:r w:rsidR="00A01445">
        <w:rPr>
          <w:rFonts w:cs="Times New Roman"/>
          <w:szCs w:val="24"/>
        </w:rPr>
        <w:t>ir</w:t>
      </w:r>
      <w:r w:rsidR="00A77B49" w:rsidRPr="00814D13">
        <w:rPr>
          <w:rFonts w:cs="Times New Roman"/>
          <w:szCs w:val="24"/>
        </w:rPr>
        <w:t xml:space="preserve"> migracijos) rodiklis. 2014 metais gyventojų skaičius visose Lietuvos savivaldybėse, išskyrus Vilniaus mieste, mažėjo. Tam įtakos turėjo migracija šalies viduje. Gyventojų skaičiaus mažėjimas dėl migracijos – vienas iš aspektų, atspindinčių šalies socioekonominę padėtį. 2014 m. dėl migracijos Kauno miestas neteko 1 958 žmonių: išvyko 9 234 (iš jų 4 118 – į užsienį), atvyko 7 276 asmenys. </w:t>
      </w:r>
    </w:p>
    <w:p w:rsidR="00A77B49" w:rsidRPr="00814D13" w:rsidRDefault="00A77B49"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spacing w:line="240" w:lineRule="auto"/>
              <w:jc w:val="left"/>
              <w:rPr>
                <w:rFonts w:cs="Times New Roman"/>
                <w:szCs w:val="24"/>
              </w:rPr>
            </w:pPr>
            <w:r w:rsidRPr="00814D13">
              <w:rPr>
                <w:rFonts w:cs="Times New Roman"/>
                <w:szCs w:val="24"/>
              </w:rPr>
              <w:t>1.2. Sumažinti socialinę</w:t>
            </w:r>
            <w:r w:rsidR="00E546D8">
              <w:rPr>
                <w:rFonts w:cs="Times New Roman"/>
                <w:szCs w:val="24"/>
              </w:rPr>
              <w:t xml:space="preserve"> ir</w:t>
            </w:r>
            <w:r w:rsidRPr="00814D13">
              <w:rPr>
                <w:rFonts w:cs="Times New Roman"/>
                <w:szCs w:val="24"/>
              </w:rPr>
              <w:t xml:space="preserve"> ekonominę gyventojų diferenciaciją šalies ir bendruomenių lygmeniu</w:t>
            </w:r>
          </w:p>
        </w:tc>
      </w:tr>
      <w:tr w:rsidR="00A77B49" w:rsidRPr="00814D13" w:rsidTr="00735C0D">
        <w:trPr>
          <w:trHeight w:val="416"/>
        </w:trPr>
        <w:tc>
          <w:tcPr>
            <w:tcW w:w="2660"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Rodiklis</w:t>
            </w:r>
          </w:p>
        </w:tc>
        <w:tc>
          <w:tcPr>
            <w:tcW w:w="1417"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Savivaldybės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Lietuvos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Minimali reikšmė</w:t>
            </w:r>
          </w:p>
        </w:tc>
        <w:tc>
          <w:tcPr>
            <w:tcW w:w="1134"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Maksimali reikšmė</w:t>
            </w:r>
          </w:p>
        </w:tc>
        <w:tc>
          <w:tcPr>
            <w:tcW w:w="1241" w:type="dxa"/>
            <w:tcBorders>
              <w:bottom w:val="single" w:sz="4" w:space="0" w:color="auto"/>
            </w:tcBorders>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Santykis:</w:t>
            </w:r>
          </w:p>
          <w:p w:rsidR="00A77B49" w:rsidRPr="00814D13" w:rsidRDefault="00814D13" w:rsidP="00814D13">
            <w:pPr>
              <w:spacing w:line="240" w:lineRule="auto"/>
              <w:jc w:val="center"/>
              <w:rPr>
                <w:rFonts w:cs="Times New Roman"/>
                <w:sz w:val="20"/>
                <w:szCs w:val="20"/>
              </w:rPr>
            </w:pPr>
            <w:r>
              <w:rPr>
                <w:rFonts w:cs="Times New Roman"/>
                <w:sz w:val="20"/>
                <w:szCs w:val="20"/>
              </w:rPr>
              <w:t>savivaldybė/Lietuva</w:t>
            </w:r>
          </w:p>
        </w:tc>
      </w:tr>
      <w:tr w:rsidR="00A77B49" w:rsidRPr="00814D13" w:rsidTr="00735C0D">
        <w:trPr>
          <w:trHeight w:val="315"/>
        </w:trPr>
        <w:tc>
          <w:tcPr>
            <w:tcW w:w="2660" w:type="dxa"/>
            <w:noWrap/>
            <w:vAlign w:val="center"/>
            <w:hideMark/>
          </w:tcPr>
          <w:p w:rsidR="00A77B49" w:rsidRPr="00814D13" w:rsidRDefault="00A77B49" w:rsidP="00B22DFB">
            <w:pPr>
              <w:spacing w:line="240" w:lineRule="auto"/>
              <w:jc w:val="left"/>
              <w:rPr>
                <w:rFonts w:cs="Times New Roman"/>
                <w:color w:val="000000"/>
                <w:sz w:val="20"/>
                <w:szCs w:val="20"/>
              </w:rPr>
            </w:pPr>
            <w:r w:rsidRPr="00814D13">
              <w:rPr>
                <w:rFonts w:cs="Times New Roman"/>
                <w:color w:val="000000"/>
                <w:sz w:val="20"/>
                <w:szCs w:val="20"/>
              </w:rPr>
              <w:t>Mirtingumas dėl išorinių prieža</w:t>
            </w:r>
            <w:r w:rsidR="00D36C95">
              <w:rPr>
                <w:rFonts w:cs="Times New Roman"/>
                <w:color w:val="000000"/>
                <w:sz w:val="20"/>
                <w:szCs w:val="20"/>
              </w:rPr>
              <w:t>sčių (V01–Y98) 100 000 gyv</w:t>
            </w:r>
            <w:r w:rsidRPr="00814D13">
              <w:rPr>
                <w:rFonts w:cs="Times New Roman"/>
                <w:color w:val="000000"/>
                <w:sz w:val="20"/>
                <w:szCs w:val="20"/>
              </w:rPr>
              <w:t>.</w:t>
            </w:r>
          </w:p>
        </w:tc>
        <w:tc>
          <w:tcPr>
            <w:tcW w:w="1417" w:type="dxa"/>
            <w:vMerge w:val="restart"/>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271</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88,8</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113,4</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75,6</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186,1</w:t>
            </w:r>
          </w:p>
        </w:tc>
        <w:tc>
          <w:tcPr>
            <w:tcW w:w="1241" w:type="dxa"/>
            <w:shd w:val="clear" w:color="auto" w:fill="BFBFBF" w:themeFill="background1" w:themeFillShade="BF"/>
            <w:noWrap/>
            <w:vAlign w:val="center"/>
            <w:hideMark/>
          </w:tcPr>
          <w:p w:rsidR="00A77B49" w:rsidRPr="00735C0D" w:rsidRDefault="00A77B49" w:rsidP="00814D13">
            <w:pPr>
              <w:spacing w:line="240" w:lineRule="auto"/>
              <w:jc w:val="center"/>
              <w:rPr>
                <w:rFonts w:cs="Times New Roman"/>
                <w:color w:val="000000"/>
                <w:sz w:val="20"/>
                <w:szCs w:val="20"/>
              </w:rPr>
            </w:pPr>
            <w:r w:rsidRPr="00735C0D">
              <w:rPr>
                <w:rFonts w:cs="Times New Roman"/>
                <w:color w:val="000000"/>
                <w:sz w:val="20"/>
                <w:szCs w:val="20"/>
              </w:rPr>
              <w:t>0,78</w:t>
            </w:r>
          </w:p>
        </w:tc>
      </w:tr>
      <w:tr w:rsidR="00A77B49" w:rsidRPr="00814D13" w:rsidTr="00735C0D">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cs="Times New Roman"/>
                <w:color w:val="000000"/>
                <w:sz w:val="20"/>
                <w:szCs w:val="20"/>
              </w:rPr>
              <w:t xml:space="preserve">Standartizuotas mirtingumo dėl išorinių priežasčių </w:t>
            </w:r>
            <w:r w:rsidRPr="00814D13">
              <w:rPr>
                <w:rFonts w:cs="Times New Roman"/>
                <w:color w:val="000000"/>
                <w:sz w:val="20"/>
                <w:szCs w:val="20"/>
              </w:rPr>
              <w:br/>
              <w:t>rodi</w:t>
            </w:r>
            <w:r w:rsidR="00D36C95">
              <w:rPr>
                <w:rFonts w:cs="Times New Roman"/>
                <w:color w:val="000000"/>
                <w:sz w:val="20"/>
                <w:szCs w:val="20"/>
              </w:rPr>
              <w:t>klis (V01–Y98) 100 000 gyv</w:t>
            </w:r>
            <w:r w:rsidRPr="00814D13">
              <w:rPr>
                <w:rFonts w:cs="Times New Roman"/>
                <w:color w:val="000000"/>
                <w:sz w:val="20"/>
                <w:szCs w:val="20"/>
              </w:rPr>
              <w:t>.</w:t>
            </w:r>
          </w:p>
        </w:tc>
        <w:tc>
          <w:tcPr>
            <w:tcW w:w="1417" w:type="dxa"/>
            <w:vMerge/>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p>
        </w:tc>
        <w:tc>
          <w:tcPr>
            <w:tcW w:w="1418"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cs="Times New Roman"/>
                <w:color w:val="000000"/>
                <w:sz w:val="20"/>
                <w:szCs w:val="20"/>
              </w:rPr>
              <w:t>88,83</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cs="Times New Roman"/>
                <w:color w:val="000000"/>
                <w:sz w:val="20"/>
                <w:szCs w:val="20"/>
              </w:rPr>
              <w:t>113,41</w:t>
            </w:r>
          </w:p>
        </w:tc>
        <w:tc>
          <w:tcPr>
            <w:tcW w:w="992"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cs="Times New Roman"/>
                <w:color w:val="000000"/>
                <w:sz w:val="20"/>
                <w:szCs w:val="20"/>
              </w:rPr>
              <w:t>75,58</w:t>
            </w:r>
          </w:p>
        </w:tc>
        <w:tc>
          <w:tcPr>
            <w:tcW w:w="1134" w:type="dxa"/>
            <w:noWrap/>
            <w:vAlign w:val="center"/>
            <w:hideMark/>
          </w:tcPr>
          <w:p w:rsidR="00A77B49" w:rsidRPr="00814D13" w:rsidRDefault="00A77B49" w:rsidP="00814D13">
            <w:pPr>
              <w:spacing w:line="240" w:lineRule="auto"/>
              <w:jc w:val="center"/>
              <w:rPr>
                <w:rFonts w:eastAsia="Times New Roman" w:cs="Times New Roman"/>
                <w:color w:val="000000"/>
                <w:sz w:val="20"/>
                <w:szCs w:val="20"/>
                <w:lang w:eastAsia="lt-LT"/>
              </w:rPr>
            </w:pPr>
            <w:r w:rsidRPr="00814D13">
              <w:rPr>
                <w:rFonts w:cs="Times New Roman"/>
                <w:color w:val="000000"/>
                <w:sz w:val="20"/>
                <w:szCs w:val="20"/>
              </w:rPr>
              <w:t>186,06</w:t>
            </w:r>
          </w:p>
        </w:tc>
        <w:tc>
          <w:tcPr>
            <w:tcW w:w="1241" w:type="dxa"/>
            <w:shd w:val="clear" w:color="auto" w:fill="BFBFBF" w:themeFill="background1" w:themeFillShade="BF"/>
            <w:noWrap/>
            <w:vAlign w:val="center"/>
            <w:hideMark/>
          </w:tcPr>
          <w:p w:rsidR="00A77B49" w:rsidRPr="00735C0D" w:rsidRDefault="00A77B49" w:rsidP="00814D13">
            <w:pPr>
              <w:spacing w:line="240" w:lineRule="auto"/>
              <w:jc w:val="center"/>
              <w:rPr>
                <w:rFonts w:eastAsia="Times New Roman" w:cs="Times New Roman"/>
                <w:color w:val="000000"/>
                <w:sz w:val="20"/>
                <w:szCs w:val="20"/>
                <w:lang w:eastAsia="lt-LT"/>
              </w:rPr>
            </w:pPr>
            <w:r w:rsidRPr="00735C0D">
              <w:rPr>
                <w:rFonts w:cs="Times New Roman"/>
                <w:color w:val="000000"/>
                <w:sz w:val="20"/>
                <w:szCs w:val="20"/>
              </w:rPr>
              <w:t>0,78</w:t>
            </w:r>
          </w:p>
        </w:tc>
      </w:tr>
      <w:tr w:rsidR="00A77B49" w:rsidRPr="00814D13" w:rsidTr="00735C0D">
        <w:trPr>
          <w:trHeight w:val="60"/>
        </w:trPr>
        <w:tc>
          <w:tcPr>
            <w:tcW w:w="2660" w:type="dxa"/>
            <w:vAlign w:val="center"/>
            <w:hideMark/>
          </w:tcPr>
          <w:p w:rsidR="00A77B49" w:rsidRPr="00814D13" w:rsidRDefault="00D36C95" w:rsidP="00B22DFB">
            <w:pPr>
              <w:spacing w:line="240" w:lineRule="auto"/>
              <w:jc w:val="left"/>
              <w:rPr>
                <w:rFonts w:cs="Times New Roman"/>
                <w:color w:val="000000"/>
                <w:sz w:val="20"/>
                <w:szCs w:val="20"/>
              </w:rPr>
            </w:pPr>
            <w:r>
              <w:rPr>
                <w:rFonts w:cs="Times New Roman"/>
                <w:color w:val="000000"/>
                <w:sz w:val="20"/>
                <w:szCs w:val="20"/>
              </w:rPr>
              <w:t xml:space="preserve">Mokinių, </w:t>
            </w:r>
            <w:r w:rsidR="00A77B49" w:rsidRPr="00814D13">
              <w:rPr>
                <w:rFonts w:cs="Times New Roman"/>
                <w:color w:val="000000"/>
                <w:sz w:val="20"/>
                <w:szCs w:val="20"/>
              </w:rPr>
              <w:t>gaunančių nemokamą maitinimą, mo</w:t>
            </w:r>
            <w:r>
              <w:rPr>
                <w:rFonts w:cs="Times New Roman"/>
                <w:color w:val="000000"/>
                <w:sz w:val="20"/>
                <w:szCs w:val="20"/>
              </w:rPr>
              <w:t>kyklose sk. 1 000 gyv</w:t>
            </w:r>
            <w:r w:rsidR="008B1B52">
              <w:rPr>
                <w:rFonts w:cs="Times New Roman"/>
                <w:color w:val="000000"/>
                <w:sz w:val="20"/>
                <w:szCs w:val="20"/>
              </w:rPr>
              <w:t>.</w:t>
            </w:r>
          </w:p>
        </w:tc>
        <w:tc>
          <w:tcPr>
            <w:tcW w:w="1417" w:type="dxa"/>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5418</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165</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253,8</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133,8</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542,5</w:t>
            </w:r>
          </w:p>
        </w:tc>
        <w:tc>
          <w:tcPr>
            <w:tcW w:w="1241" w:type="dxa"/>
            <w:shd w:val="clear" w:color="auto" w:fill="BFBFBF" w:themeFill="background1" w:themeFillShade="BF"/>
            <w:noWrap/>
            <w:vAlign w:val="center"/>
            <w:hideMark/>
          </w:tcPr>
          <w:p w:rsidR="00A77B49" w:rsidRPr="00735C0D" w:rsidRDefault="00A77B49" w:rsidP="00814D13">
            <w:pPr>
              <w:spacing w:line="240" w:lineRule="auto"/>
              <w:jc w:val="center"/>
              <w:rPr>
                <w:rFonts w:cs="Times New Roman"/>
                <w:color w:val="000000"/>
                <w:sz w:val="20"/>
                <w:szCs w:val="20"/>
              </w:rPr>
            </w:pPr>
            <w:r w:rsidRPr="00735C0D">
              <w:rPr>
                <w:rFonts w:cs="Times New Roman"/>
                <w:color w:val="000000"/>
                <w:sz w:val="20"/>
                <w:szCs w:val="20"/>
              </w:rPr>
              <w:t>0,65</w:t>
            </w:r>
          </w:p>
        </w:tc>
      </w:tr>
      <w:tr w:rsidR="00A77B49" w:rsidRPr="00814D13" w:rsidTr="00735C0D">
        <w:trPr>
          <w:trHeight w:val="315"/>
        </w:trPr>
        <w:tc>
          <w:tcPr>
            <w:tcW w:w="2660" w:type="dxa"/>
            <w:noWrap/>
            <w:vAlign w:val="center"/>
            <w:hideMark/>
          </w:tcPr>
          <w:p w:rsidR="00A77B49" w:rsidRPr="00814D13" w:rsidRDefault="00A77B49" w:rsidP="00B22DFB">
            <w:pPr>
              <w:spacing w:line="240" w:lineRule="auto"/>
              <w:jc w:val="left"/>
              <w:rPr>
                <w:rFonts w:cs="Times New Roman"/>
                <w:color w:val="000000"/>
                <w:sz w:val="20"/>
                <w:szCs w:val="20"/>
              </w:rPr>
            </w:pPr>
            <w:r w:rsidRPr="00814D13">
              <w:rPr>
                <w:rFonts w:cs="Times New Roman"/>
                <w:color w:val="000000"/>
                <w:sz w:val="20"/>
                <w:szCs w:val="20"/>
              </w:rPr>
              <w:t>Soc</w:t>
            </w:r>
            <w:r w:rsidR="00D36C95">
              <w:rPr>
                <w:rFonts w:cs="Times New Roman"/>
                <w:color w:val="000000"/>
                <w:sz w:val="20"/>
                <w:szCs w:val="20"/>
              </w:rPr>
              <w:t>ialinės pašalpos gavėjų sk. 1 000 gyv</w:t>
            </w:r>
            <w:r w:rsidRPr="00814D13">
              <w:rPr>
                <w:rFonts w:cs="Times New Roman"/>
                <w:color w:val="000000"/>
                <w:sz w:val="20"/>
                <w:szCs w:val="20"/>
              </w:rPr>
              <w:t>.</w:t>
            </w:r>
          </w:p>
        </w:tc>
        <w:tc>
          <w:tcPr>
            <w:tcW w:w="1417"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10192</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33,67</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47,8</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22</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99,8</w:t>
            </w:r>
          </w:p>
        </w:tc>
        <w:tc>
          <w:tcPr>
            <w:tcW w:w="1241" w:type="dxa"/>
            <w:shd w:val="clear" w:color="auto" w:fill="BFBFBF" w:themeFill="background1" w:themeFillShade="BF"/>
            <w:noWrap/>
            <w:vAlign w:val="center"/>
            <w:hideMark/>
          </w:tcPr>
          <w:p w:rsidR="00A77B49" w:rsidRPr="00735C0D" w:rsidRDefault="00A77B49" w:rsidP="00814D13">
            <w:pPr>
              <w:spacing w:line="240" w:lineRule="auto"/>
              <w:jc w:val="center"/>
              <w:rPr>
                <w:rFonts w:cs="Times New Roman"/>
                <w:color w:val="000000"/>
                <w:sz w:val="20"/>
                <w:szCs w:val="20"/>
              </w:rPr>
            </w:pPr>
            <w:r w:rsidRPr="00735C0D">
              <w:rPr>
                <w:rFonts w:cs="Times New Roman"/>
                <w:color w:val="000000"/>
                <w:sz w:val="20"/>
                <w:szCs w:val="20"/>
              </w:rPr>
              <w:t>0,7</w:t>
            </w:r>
          </w:p>
        </w:tc>
      </w:tr>
      <w:tr w:rsidR="00A77B49" w:rsidRPr="00814D13" w:rsidTr="00735C0D">
        <w:trPr>
          <w:trHeight w:val="315"/>
        </w:trPr>
        <w:tc>
          <w:tcPr>
            <w:tcW w:w="2660" w:type="dxa"/>
            <w:noWrap/>
            <w:vAlign w:val="center"/>
            <w:hideMark/>
          </w:tcPr>
          <w:p w:rsidR="00A77B49" w:rsidRPr="00814D13" w:rsidRDefault="00A77B49" w:rsidP="00B22DFB">
            <w:pPr>
              <w:spacing w:line="240" w:lineRule="auto"/>
              <w:jc w:val="left"/>
              <w:rPr>
                <w:rFonts w:cs="Times New Roman"/>
                <w:color w:val="000000"/>
                <w:sz w:val="20"/>
                <w:szCs w:val="20"/>
              </w:rPr>
            </w:pPr>
            <w:r w:rsidRPr="00814D13">
              <w:rPr>
                <w:rFonts w:cs="Times New Roman"/>
                <w:color w:val="000000"/>
                <w:sz w:val="20"/>
                <w:szCs w:val="20"/>
              </w:rPr>
              <w:t>Sergamumas tuberku</w:t>
            </w:r>
            <w:r w:rsidR="00D36C95">
              <w:rPr>
                <w:rFonts w:cs="Times New Roman"/>
                <w:color w:val="000000"/>
                <w:sz w:val="20"/>
                <w:szCs w:val="20"/>
              </w:rPr>
              <w:t>lioze (A15-A19) 10 000 gyv</w:t>
            </w:r>
            <w:r w:rsidRPr="00814D13">
              <w:rPr>
                <w:rFonts w:cs="Times New Roman"/>
                <w:color w:val="000000"/>
                <w:sz w:val="20"/>
                <w:szCs w:val="20"/>
              </w:rPr>
              <w:t>.</w:t>
            </w:r>
          </w:p>
        </w:tc>
        <w:tc>
          <w:tcPr>
            <w:tcW w:w="1417"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159</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29,4</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44,37</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8,3</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104,4</w:t>
            </w:r>
          </w:p>
        </w:tc>
        <w:tc>
          <w:tcPr>
            <w:tcW w:w="1241" w:type="dxa"/>
            <w:shd w:val="clear" w:color="auto" w:fill="BFBFBF" w:themeFill="background1" w:themeFillShade="BF"/>
            <w:noWrap/>
            <w:vAlign w:val="center"/>
            <w:hideMark/>
          </w:tcPr>
          <w:p w:rsidR="00A77B49" w:rsidRPr="00735C0D" w:rsidRDefault="00A77B49" w:rsidP="00814D13">
            <w:pPr>
              <w:spacing w:line="240" w:lineRule="auto"/>
              <w:jc w:val="center"/>
              <w:rPr>
                <w:rFonts w:cs="Times New Roman"/>
                <w:color w:val="000000"/>
                <w:sz w:val="20"/>
                <w:szCs w:val="20"/>
              </w:rPr>
            </w:pPr>
            <w:r w:rsidRPr="00735C0D">
              <w:rPr>
                <w:rFonts w:cs="Times New Roman"/>
                <w:color w:val="000000"/>
                <w:sz w:val="20"/>
                <w:szCs w:val="20"/>
              </w:rPr>
              <w:t>0,66</w:t>
            </w:r>
          </w:p>
        </w:tc>
      </w:tr>
    </w:tbl>
    <w:p w:rsidR="00A77B49" w:rsidRPr="00814D13" w:rsidRDefault="00A77B49" w:rsidP="00A77B49">
      <w:pPr>
        <w:rPr>
          <w:rFonts w:cs="Times New Roman"/>
          <w:szCs w:val="24"/>
        </w:rPr>
      </w:pPr>
    </w:p>
    <w:p w:rsidR="00A77B49" w:rsidRPr="00814D13" w:rsidRDefault="00814D13" w:rsidP="00A77B49">
      <w:pPr>
        <w:rPr>
          <w:rFonts w:cs="Times New Roman"/>
          <w:szCs w:val="24"/>
        </w:rPr>
      </w:pPr>
      <w:r>
        <w:rPr>
          <w:rFonts w:cs="Times New Roman"/>
          <w:szCs w:val="24"/>
        </w:rPr>
        <w:lastRenderedPageBreak/>
        <w:tab/>
      </w:r>
      <w:r w:rsidR="00A77B49" w:rsidRPr="00814D13">
        <w:rPr>
          <w:rFonts w:cs="Times New Roman"/>
          <w:szCs w:val="24"/>
        </w:rPr>
        <w:t>Bendruomenės paramos ir solidarumo lygis turi įtakos sveikatai</w:t>
      </w:r>
      <w:r w:rsidR="00B22DFB">
        <w:rPr>
          <w:rFonts w:cs="Times New Roman"/>
          <w:szCs w:val="24"/>
        </w:rPr>
        <w:t xml:space="preserve"> – socialinės paramos tinklai, </w:t>
      </w:r>
      <w:r w:rsidR="00A77B49" w:rsidRPr="00814D13">
        <w:rPr>
          <w:rFonts w:cs="Times New Roman"/>
          <w:szCs w:val="24"/>
        </w:rPr>
        <w:t>šeimos, draugų, artimųjų palaikymas ir parama padeda spręsti gyvenimo problemas, leidžia pasijusti svarbiu bendruomenės nariu, turi įtakos sveikos gyvensenos pasirinkimui ir padeda išvengti kai kurių sveikatos problemų, taip pat gali sumažinti išvengiamą mirtingumą. Analizuojant Kauno miesto socialinės ekonominės diferenciacijos rodiklius, visi šį LSP uždavinį atspindintys rodikliai buvo maždaug 20</w:t>
      </w:r>
      <w:r w:rsidR="00E546D8">
        <w:rPr>
          <w:rFonts w:cs="Times New Roman"/>
          <w:szCs w:val="24"/>
        </w:rPr>
        <w:t>–</w:t>
      </w:r>
      <w:r w:rsidR="00A77B49" w:rsidRPr="00814D13">
        <w:rPr>
          <w:rFonts w:cs="Times New Roman"/>
          <w:szCs w:val="24"/>
        </w:rPr>
        <w:t xml:space="preserve">35 proc. mažesni už šalies vidurkį (pateko į </w:t>
      </w:r>
      <w:r w:rsidR="00E546D8">
        <w:rPr>
          <w:rFonts w:cs="Times New Roman"/>
          <w:szCs w:val="24"/>
        </w:rPr>
        <w:t>„</w:t>
      </w:r>
      <w:r w:rsidR="00A77B49" w:rsidRPr="00814D13">
        <w:rPr>
          <w:rFonts w:cs="Times New Roman"/>
          <w:szCs w:val="24"/>
        </w:rPr>
        <w:t>žaliąją</w:t>
      </w:r>
      <w:r w:rsidR="00E546D8">
        <w:rPr>
          <w:rFonts w:cs="Times New Roman"/>
          <w:szCs w:val="24"/>
        </w:rPr>
        <w:t>“</w:t>
      </w:r>
      <w:r w:rsidR="00A77B49" w:rsidRPr="00814D13">
        <w:rPr>
          <w:rFonts w:cs="Times New Roman"/>
          <w:szCs w:val="24"/>
        </w:rPr>
        <w:t xml:space="preserve"> zoną), t.</w:t>
      </w:r>
      <w:r w:rsidR="00E546D8">
        <w:rPr>
          <w:rFonts w:cs="Times New Roman"/>
          <w:szCs w:val="24"/>
        </w:rPr>
        <w:t xml:space="preserve"> </w:t>
      </w:r>
      <w:r w:rsidR="00A77B49" w:rsidRPr="00814D13">
        <w:rPr>
          <w:rFonts w:cs="Times New Roman"/>
          <w:szCs w:val="24"/>
        </w:rPr>
        <w:t>y.</w:t>
      </w:r>
      <w:r w:rsidR="00E546D8">
        <w:rPr>
          <w:rFonts w:cs="Times New Roman"/>
          <w:szCs w:val="24"/>
        </w:rPr>
        <w:t>,</w:t>
      </w:r>
      <w:r w:rsidR="00A77B49" w:rsidRPr="00814D13">
        <w:rPr>
          <w:rFonts w:cs="Times New Roman"/>
          <w:szCs w:val="24"/>
        </w:rPr>
        <w:t xml:space="preserve"> Kauno miesto savivaldybės situacija šiuo aspektu 2014 m. buvo geresnė nei šalies vidurkis.    </w:t>
      </w:r>
    </w:p>
    <w:p w:rsidR="00A77B49" w:rsidRDefault="00814D13" w:rsidP="00814D13">
      <w:pPr>
        <w:rPr>
          <w:rFonts w:cs="Times New Roman"/>
          <w:szCs w:val="24"/>
        </w:rPr>
      </w:pPr>
      <w:r>
        <w:rPr>
          <w:rFonts w:cs="Times New Roman"/>
          <w:szCs w:val="24"/>
        </w:rPr>
        <w:tab/>
      </w:r>
      <w:r w:rsidR="00A77B49" w:rsidRPr="00814D13">
        <w:rPr>
          <w:rFonts w:cs="Times New Roman"/>
          <w:szCs w:val="24"/>
        </w:rPr>
        <w:t xml:space="preserve">Išorinės mirties priežastys – viena iš trijų pagrindinių Lietuvos gyventojų mirties priežasčių. 2014 m. Kauno mieste dėl išorinių priežasčių mirė 271 asmuo, iš jų daugiausiai atvejų sudarė mirtys dėl tyčinių susižalojimų (27,7 proc., </w:t>
      </w:r>
      <w:r w:rsidR="00F062DF">
        <w:rPr>
          <w:rFonts w:cs="Times New Roman"/>
          <w:szCs w:val="24"/>
        </w:rPr>
        <w:t>N</w:t>
      </w:r>
      <w:r w:rsidR="00F062DF" w:rsidRPr="007058DF">
        <w:rPr>
          <w:rFonts w:cs="Times New Roman"/>
          <w:szCs w:val="24"/>
        </w:rPr>
        <w:t>=</w:t>
      </w:r>
      <w:r w:rsidR="00A77B49" w:rsidRPr="00814D13">
        <w:rPr>
          <w:rFonts w:cs="Times New Roman"/>
          <w:szCs w:val="24"/>
        </w:rPr>
        <w:t xml:space="preserve">75), atsitiktinių apsinuodijimų kenksmingomis medžiagomis (14,4 proc., </w:t>
      </w:r>
      <w:r w:rsidR="00F062DF">
        <w:rPr>
          <w:rFonts w:cs="Times New Roman"/>
          <w:szCs w:val="24"/>
        </w:rPr>
        <w:t>N=</w:t>
      </w:r>
      <w:r w:rsidR="00A77B49" w:rsidRPr="00814D13">
        <w:rPr>
          <w:rFonts w:cs="Times New Roman"/>
          <w:szCs w:val="24"/>
        </w:rPr>
        <w:t xml:space="preserve">39) ir dėl nukritimų (10,7 proc., </w:t>
      </w:r>
      <w:r w:rsidR="00F062DF">
        <w:rPr>
          <w:rFonts w:cs="Times New Roman"/>
          <w:szCs w:val="24"/>
        </w:rPr>
        <w:t>N=</w:t>
      </w:r>
      <w:r w:rsidR="00A77B49" w:rsidRPr="00814D13">
        <w:rPr>
          <w:rFonts w:cs="Times New Roman"/>
          <w:szCs w:val="24"/>
        </w:rPr>
        <w:t>29). Nors standartizuotas mirtingumas nuo išorinių mirties priežasčių 100 000 gyventojų Kauno mieste 2014 m., lyginant su 2013 m., sumažėjo beveik 8 procentais, tačiau, lyginant su kitomis ES šalimis, vis tiek išlieka aukštas, ypač tarp jauno ir vidutinio amžiaus žmonių.</w:t>
      </w:r>
    </w:p>
    <w:p w:rsidR="00814D13" w:rsidRPr="00814D13" w:rsidRDefault="00814D13" w:rsidP="00814D13">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c>
          <w:tcPr>
            <w:tcW w:w="9854" w:type="dxa"/>
            <w:gridSpan w:val="7"/>
            <w:shd w:val="clear" w:color="auto" w:fill="E5B8B7" w:themeFill="accent2" w:themeFillTint="66"/>
            <w:vAlign w:val="center"/>
          </w:tcPr>
          <w:p w:rsidR="00A77B49" w:rsidRPr="00814D13" w:rsidRDefault="00A77B49" w:rsidP="00AC29E0">
            <w:pPr>
              <w:spacing w:line="240" w:lineRule="auto"/>
              <w:jc w:val="left"/>
              <w:rPr>
                <w:rFonts w:cs="Times New Roman"/>
                <w:b/>
                <w:szCs w:val="24"/>
              </w:rPr>
            </w:pPr>
            <w:r w:rsidRPr="00814D13">
              <w:rPr>
                <w:rFonts w:cs="Times New Roman"/>
                <w:b/>
                <w:szCs w:val="24"/>
              </w:rPr>
              <w:t>2 TIKSLAS. SUKURTI SVEIKATAI PALANKIĄ FIZINĘ DARBO IR GYVENAMĄJĄ APLINKĄ</w:t>
            </w:r>
          </w:p>
        </w:tc>
      </w:tr>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spacing w:line="240" w:lineRule="auto"/>
              <w:jc w:val="left"/>
              <w:rPr>
                <w:rFonts w:cs="Times New Roman"/>
                <w:szCs w:val="24"/>
              </w:rPr>
            </w:pPr>
            <w:r w:rsidRPr="00814D13">
              <w:rPr>
                <w:rFonts w:cs="Times New Roman"/>
                <w:szCs w:val="24"/>
              </w:rPr>
              <w:t>2.1. Kurti saugias darbo ir sveikas buities sąlygas, didinti prekių ir paslaugų vartotojų saugumą</w:t>
            </w:r>
          </w:p>
        </w:tc>
      </w:tr>
      <w:tr w:rsidR="00A77B49" w:rsidRPr="00814D13" w:rsidTr="00814D13">
        <w:trPr>
          <w:trHeight w:val="416"/>
        </w:trPr>
        <w:tc>
          <w:tcPr>
            <w:tcW w:w="2660"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Savivaldybės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Lietuvos rodiklis</w:t>
            </w:r>
          </w:p>
        </w:tc>
        <w:tc>
          <w:tcPr>
            <w:tcW w:w="992"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Minimali r</w:t>
            </w:r>
            <w:r w:rsidR="00814D13">
              <w:rPr>
                <w:rFonts w:cs="Times New Roman"/>
                <w:sz w:val="20"/>
                <w:szCs w:val="20"/>
              </w:rPr>
              <w:t>eikšmė</w:t>
            </w:r>
          </w:p>
        </w:tc>
        <w:tc>
          <w:tcPr>
            <w:tcW w:w="1134"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Maksimali reikšmė</w:t>
            </w:r>
          </w:p>
        </w:tc>
        <w:tc>
          <w:tcPr>
            <w:tcW w:w="1241"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Santykis:</w:t>
            </w:r>
          </w:p>
          <w:p w:rsidR="00A77B49" w:rsidRPr="00814D13" w:rsidRDefault="00814D13" w:rsidP="00814D13">
            <w:pPr>
              <w:spacing w:line="240" w:lineRule="auto"/>
              <w:jc w:val="center"/>
              <w:rPr>
                <w:rFonts w:cs="Times New Roman"/>
                <w:sz w:val="20"/>
                <w:szCs w:val="20"/>
              </w:rPr>
            </w:pPr>
            <w:r>
              <w:rPr>
                <w:rFonts w:cs="Times New Roman"/>
                <w:sz w:val="20"/>
                <w:szCs w:val="20"/>
              </w:rPr>
              <w:t>savivaldybė/Lietuva</w:t>
            </w:r>
          </w:p>
        </w:tc>
      </w:tr>
      <w:tr w:rsidR="00A77B49" w:rsidRPr="00814D13" w:rsidTr="00735C0D">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Asmenų, žuvusių ar sunkiai sužalotų dėl nelai</w:t>
            </w:r>
            <w:r w:rsidR="00D36C95">
              <w:rPr>
                <w:rFonts w:eastAsia="Times New Roman" w:cs="Times New Roman"/>
                <w:color w:val="000000"/>
                <w:sz w:val="20"/>
                <w:szCs w:val="20"/>
                <w:lang w:eastAsia="lt-LT"/>
              </w:rPr>
              <w:t xml:space="preserve">mingų atsitikimų darbe, sk. </w:t>
            </w:r>
            <w:r w:rsidRPr="00814D13">
              <w:rPr>
                <w:rFonts w:eastAsia="Times New Roman" w:cs="Times New Roman"/>
                <w:color w:val="000000"/>
                <w:sz w:val="20"/>
                <w:szCs w:val="20"/>
                <w:lang w:eastAsia="lt-LT"/>
              </w:rPr>
              <w:t>10 000</w:t>
            </w:r>
          </w:p>
          <w:p w:rsidR="00A77B49" w:rsidRPr="00814D13" w:rsidRDefault="00D36C95"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darbingo amžiaus gyv</w:t>
            </w:r>
            <w:r w:rsidR="00A77B49" w:rsidRPr="00814D13">
              <w:rPr>
                <w:rFonts w:eastAsia="Times New Roman" w:cs="Times New Roman"/>
                <w:color w:val="000000"/>
                <w:sz w:val="20"/>
                <w:szCs w:val="20"/>
                <w:lang w:eastAsia="lt-LT"/>
              </w:rPr>
              <w:t>.</w:t>
            </w:r>
          </w:p>
        </w:tc>
        <w:tc>
          <w:tcPr>
            <w:tcW w:w="1417"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20</w:t>
            </w:r>
          </w:p>
        </w:tc>
        <w:tc>
          <w:tcPr>
            <w:tcW w:w="1418"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1,16</w:t>
            </w:r>
          </w:p>
        </w:tc>
        <w:tc>
          <w:tcPr>
            <w:tcW w:w="992"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0,95</w:t>
            </w:r>
          </w:p>
        </w:tc>
        <w:tc>
          <w:tcPr>
            <w:tcW w:w="992"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0</w:t>
            </w:r>
          </w:p>
        </w:tc>
        <w:tc>
          <w:tcPr>
            <w:tcW w:w="1134"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3,5</w:t>
            </w:r>
          </w:p>
        </w:tc>
        <w:tc>
          <w:tcPr>
            <w:tcW w:w="1241" w:type="dxa"/>
            <w:tcBorders>
              <w:bottom w:val="single" w:sz="4" w:space="0" w:color="auto"/>
            </w:tcBorders>
            <w:shd w:val="clear" w:color="auto" w:fill="FFFF00"/>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1,33</w:t>
            </w:r>
          </w:p>
        </w:tc>
      </w:tr>
      <w:tr w:rsidR="00A77B49" w:rsidRPr="00814D13" w:rsidTr="00735C0D">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Susižaloji</w:t>
            </w:r>
            <w:r w:rsidR="00D36C95">
              <w:rPr>
                <w:rFonts w:eastAsia="Times New Roman" w:cs="Times New Roman"/>
                <w:color w:val="000000"/>
                <w:sz w:val="20"/>
                <w:szCs w:val="20"/>
                <w:lang w:eastAsia="lt-LT"/>
              </w:rPr>
              <w:t>mo dėl nukritimo atvejų sk.</w:t>
            </w:r>
            <w:r w:rsidRPr="00814D13">
              <w:rPr>
                <w:rFonts w:eastAsia="Times New Roman" w:cs="Times New Roman"/>
                <w:color w:val="000000"/>
                <w:sz w:val="20"/>
                <w:szCs w:val="20"/>
                <w:lang w:eastAsia="lt-LT"/>
              </w:rPr>
              <w:t xml:space="preserve"> (W00-W19) 65+</w:t>
            </w:r>
            <w:r w:rsidR="00D36C95">
              <w:rPr>
                <w:rFonts w:eastAsia="Times New Roman" w:cs="Times New Roman"/>
                <w:color w:val="000000"/>
                <w:sz w:val="20"/>
                <w:szCs w:val="20"/>
                <w:lang w:eastAsia="lt-LT"/>
              </w:rPr>
              <w:t xml:space="preserve"> m. amžiaus grupėje 10 000 gyv</w:t>
            </w:r>
            <w:r w:rsidR="008B1B52">
              <w:rPr>
                <w:rFonts w:eastAsia="Times New Roman" w:cs="Times New Roman"/>
                <w:color w:val="000000"/>
                <w:sz w:val="20"/>
                <w:szCs w:val="20"/>
                <w:lang w:eastAsia="lt-LT"/>
              </w:rPr>
              <w:t>.</w:t>
            </w:r>
          </w:p>
        </w:tc>
        <w:tc>
          <w:tcPr>
            <w:tcW w:w="1417" w:type="dxa"/>
            <w:tcBorders>
              <w:top w:val="single" w:sz="4" w:space="0" w:color="auto"/>
            </w:tcBorders>
            <w:vAlign w:val="center"/>
            <w:hideMark/>
          </w:tcPr>
          <w:p w:rsidR="00A77B49" w:rsidRPr="00814D13" w:rsidRDefault="00A77B49" w:rsidP="00814D13">
            <w:pPr>
              <w:spacing w:line="240" w:lineRule="auto"/>
              <w:jc w:val="center"/>
              <w:rPr>
                <w:rFonts w:cs="Times New Roman"/>
                <w:color w:val="000000"/>
                <w:sz w:val="20"/>
                <w:szCs w:val="20"/>
              </w:rPr>
            </w:pPr>
            <w:r w:rsidRPr="00F062DF">
              <w:rPr>
                <w:rFonts w:cs="Times New Roman"/>
                <w:sz w:val="20"/>
                <w:szCs w:val="20"/>
              </w:rPr>
              <w:t>3667</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148,87</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131,89</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37,7</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246,7</w:t>
            </w:r>
          </w:p>
        </w:tc>
        <w:tc>
          <w:tcPr>
            <w:tcW w:w="1241" w:type="dxa"/>
            <w:tcBorders>
              <w:bottom w:val="single" w:sz="4" w:space="0" w:color="auto"/>
            </w:tcBorders>
            <w:shd w:val="clear" w:color="auto" w:fill="FF5050"/>
            <w:noWrap/>
            <w:vAlign w:val="center"/>
            <w:hideMark/>
          </w:tcPr>
          <w:p w:rsidR="00A77B49" w:rsidRPr="00814D13" w:rsidRDefault="00A77B49" w:rsidP="00814D13">
            <w:pPr>
              <w:spacing w:line="240" w:lineRule="auto"/>
              <w:jc w:val="center"/>
              <w:rPr>
                <w:rFonts w:cs="Times New Roman"/>
                <w:color w:val="000000"/>
                <w:sz w:val="20"/>
                <w:szCs w:val="20"/>
              </w:rPr>
            </w:pPr>
            <w:r w:rsidRPr="00735C0D">
              <w:rPr>
                <w:rFonts w:cs="Times New Roman"/>
                <w:color w:val="000000"/>
                <w:sz w:val="20"/>
                <w:szCs w:val="20"/>
              </w:rPr>
              <w:t>1,13</w:t>
            </w:r>
          </w:p>
        </w:tc>
      </w:tr>
      <w:tr w:rsidR="00A77B49" w:rsidRPr="00814D13" w:rsidTr="00735C0D">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Darbingo amžiaus asmenų, pirmą kartą</w:t>
            </w:r>
            <w:r w:rsidR="00D36C95">
              <w:rPr>
                <w:rFonts w:eastAsia="Times New Roman" w:cs="Times New Roman"/>
                <w:color w:val="000000"/>
                <w:sz w:val="20"/>
                <w:szCs w:val="20"/>
                <w:lang w:eastAsia="lt-LT"/>
              </w:rPr>
              <w:t xml:space="preserve"> pripažintų neįgaliais, sk.</w:t>
            </w:r>
            <w:r w:rsidRPr="00814D13">
              <w:rPr>
                <w:rFonts w:eastAsia="Times New Roman" w:cs="Times New Roman"/>
                <w:color w:val="000000"/>
                <w:sz w:val="20"/>
                <w:szCs w:val="20"/>
                <w:lang w:eastAsia="lt-LT"/>
              </w:rPr>
              <w:t xml:space="preserve"> 10 000 gyventojų.</w:t>
            </w:r>
          </w:p>
        </w:tc>
        <w:tc>
          <w:tcPr>
            <w:tcW w:w="1417" w:type="dxa"/>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1101</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61,3</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73,9</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55,8</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126</w:t>
            </w:r>
          </w:p>
        </w:tc>
        <w:tc>
          <w:tcPr>
            <w:tcW w:w="1241" w:type="dxa"/>
            <w:tcBorders>
              <w:bottom w:val="single" w:sz="4" w:space="0" w:color="auto"/>
            </w:tcBorders>
            <w:shd w:val="clear" w:color="auto" w:fill="92D050"/>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0,83</w:t>
            </w:r>
          </w:p>
        </w:tc>
      </w:tr>
      <w:tr w:rsidR="00A77B49" w:rsidRPr="00814D13" w:rsidTr="00735C0D">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Sergamumas žarnyno infekcinėmis l</w:t>
            </w:r>
            <w:r w:rsidR="00D36C95">
              <w:rPr>
                <w:rFonts w:eastAsia="Times New Roman" w:cs="Times New Roman"/>
                <w:color w:val="000000"/>
                <w:sz w:val="20"/>
                <w:szCs w:val="20"/>
                <w:lang w:eastAsia="lt-LT"/>
              </w:rPr>
              <w:t>igomis (A00-A08) 10 000 gyv</w:t>
            </w:r>
            <w:r w:rsidRPr="00814D13">
              <w:rPr>
                <w:rFonts w:eastAsia="Times New Roman" w:cs="Times New Roman"/>
                <w:color w:val="000000"/>
                <w:sz w:val="20"/>
                <w:szCs w:val="20"/>
                <w:lang w:eastAsia="lt-LT"/>
              </w:rPr>
              <w:t>.</w:t>
            </w:r>
          </w:p>
        </w:tc>
        <w:tc>
          <w:tcPr>
            <w:tcW w:w="1417"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1620</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79,9</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61,98</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8,4</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100,2</w:t>
            </w:r>
          </w:p>
        </w:tc>
        <w:tc>
          <w:tcPr>
            <w:tcW w:w="1241" w:type="dxa"/>
            <w:shd w:val="clear" w:color="auto" w:fill="FF5050"/>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1,29</w:t>
            </w:r>
          </w:p>
        </w:tc>
      </w:tr>
    </w:tbl>
    <w:p w:rsidR="00A77B49" w:rsidRPr="00814D13" w:rsidRDefault="00A77B49" w:rsidP="00A77B49">
      <w:pPr>
        <w:rPr>
          <w:rFonts w:cs="Times New Roman"/>
          <w:szCs w:val="24"/>
        </w:rPr>
      </w:pPr>
    </w:p>
    <w:p w:rsidR="00A77B49" w:rsidRPr="00814D13" w:rsidRDefault="00814D13" w:rsidP="00A77B49">
      <w:pPr>
        <w:rPr>
          <w:rFonts w:cs="Times New Roman"/>
          <w:szCs w:val="24"/>
        </w:rPr>
      </w:pPr>
      <w:r>
        <w:rPr>
          <w:rFonts w:cs="Times New Roman"/>
          <w:szCs w:val="24"/>
        </w:rPr>
        <w:tab/>
      </w:r>
      <w:r w:rsidR="00A77B49" w:rsidRPr="00814D13">
        <w:rPr>
          <w:rFonts w:cs="Times New Roman"/>
          <w:szCs w:val="24"/>
        </w:rPr>
        <w:t>Žmogaus sveikata yra neatsiejama nuo nuolatinio ryšio su aplinka</w:t>
      </w:r>
      <w:r w:rsidR="00F062DF">
        <w:rPr>
          <w:rFonts w:cs="Times New Roman"/>
          <w:szCs w:val="24"/>
        </w:rPr>
        <w:t>,</w:t>
      </w:r>
      <w:r w:rsidR="00A77B49" w:rsidRPr="00814D13">
        <w:rPr>
          <w:rFonts w:cs="Times New Roman"/>
          <w:szCs w:val="24"/>
        </w:rPr>
        <w:t xml:space="preserve"> kurioje jis gyvena. Saugios darbo ir gyvenamosios aplinkos sukūrimas yra labai svarbus</w:t>
      </w:r>
      <w:r w:rsidR="00214403">
        <w:rPr>
          <w:rFonts w:cs="Times New Roman"/>
          <w:szCs w:val="24"/>
        </w:rPr>
        <w:t>,</w:t>
      </w:r>
      <w:r w:rsidR="00A77B49" w:rsidRPr="00814D13">
        <w:rPr>
          <w:rFonts w:cs="Times New Roman"/>
          <w:szCs w:val="24"/>
        </w:rPr>
        <w:t xml:space="preserve"> norint išvengti daugelio sveikatos sutrikimų. Už saugios aplinkos sukūrimą darbo vietoje yra atsakingas darbdavys – jis privalo sudaryti darbuotojams saugias ir sveikatai nekenksmingas darbo sąlygas visais su darbu susijusiais aspektais, užtikrinti, kad prekės ir paslaugos vartotojams būtų teikiamos saugioje sveikatai aplinkoje. 2014 metais Kauno mieste darbo vieto</w:t>
      </w:r>
      <w:r w:rsidR="001A1F25">
        <w:rPr>
          <w:rFonts w:cs="Times New Roman"/>
          <w:szCs w:val="24"/>
        </w:rPr>
        <w:t xml:space="preserve">je žuvo ar buvo sunkiai </w:t>
      </w:r>
      <w:r w:rsidR="001A1F25" w:rsidRPr="00EB7D1D">
        <w:rPr>
          <w:rFonts w:cs="Times New Roman"/>
          <w:szCs w:val="24"/>
        </w:rPr>
        <w:t>sužalota</w:t>
      </w:r>
      <w:r w:rsidR="00A77B49" w:rsidRPr="00EB7D1D">
        <w:rPr>
          <w:rFonts w:cs="Times New Roman"/>
          <w:szCs w:val="24"/>
        </w:rPr>
        <w:t xml:space="preserve"> </w:t>
      </w:r>
      <w:r w:rsidR="00A77B49" w:rsidRPr="00814D13">
        <w:rPr>
          <w:rFonts w:cs="Times New Roman"/>
          <w:szCs w:val="24"/>
        </w:rPr>
        <w:t xml:space="preserve">(žuvo 6, sunkiai </w:t>
      </w:r>
      <w:r w:rsidR="00A77B49" w:rsidRPr="00EB7D1D">
        <w:rPr>
          <w:rFonts w:cs="Times New Roman"/>
          <w:szCs w:val="24"/>
        </w:rPr>
        <w:t>sužaloti</w:t>
      </w:r>
      <w:r w:rsidR="00A77B49" w:rsidRPr="00814D13">
        <w:rPr>
          <w:rFonts w:cs="Times New Roman"/>
          <w:szCs w:val="24"/>
        </w:rPr>
        <w:t xml:space="preserve"> – 14) 20 asmenų. Asmenų, žuvusių ar sunkiai sužalotų dėl nelaimingų atsitikimų darbe</w:t>
      </w:r>
      <w:r w:rsidR="00214403">
        <w:rPr>
          <w:rFonts w:cs="Times New Roman"/>
          <w:szCs w:val="24"/>
        </w:rPr>
        <w:t>,</w:t>
      </w:r>
      <w:r w:rsidR="00A77B49" w:rsidRPr="00814D13">
        <w:rPr>
          <w:rFonts w:cs="Times New Roman"/>
          <w:szCs w:val="24"/>
        </w:rPr>
        <w:t xml:space="preserve"> skaičius 10 000 </w:t>
      </w:r>
      <w:r w:rsidR="00A77B49" w:rsidRPr="00814D13">
        <w:rPr>
          <w:rFonts w:cs="Times New Roman"/>
          <w:szCs w:val="24"/>
        </w:rPr>
        <w:lastRenderedPageBreak/>
        <w:t>darbingo amžiaus gyventojų Kauno mie</w:t>
      </w:r>
      <w:r w:rsidR="00215EA1">
        <w:rPr>
          <w:rFonts w:cs="Times New Roman"/>
          <w:szCs w:val="24"/>
        </w:rPr>
        <w:t>sto savivaldybėje 33 proc. viršijo Lietuvos vidurkį</w:t>
      </w:r>
      <w:r w:rsidR="00A77B49" w:rsidRPr="00814D13">
        <w:rPr>
          <w:rFonts w:cs="Times New Roman"/>
          <w:szCs w:val="24"/>
        </w:rPr>
        <w:t>. Tais pačiais metais neįgaliaisiais pirmą kartą pripažint</w:t>
      </w:r>
      <w:r w:rsidR="00214403">
        <w:rPr>
          <w:rFonts w:cs="Times New Roman"/>
          <w:szCs w:val="24"/>
        </w:rPr>
        <w:t>as</w:t>
      </w:r>
      <w:r w:rsidR="00A77B49" w:rsidRPr="00814D13">
        <w:rPr>
          <w:rFonts w:cs="Times New Roman"/>
          <w:szCs w:val="24"/>
        </w:rPr>
        <w:t xml:space="preserve"> 1 101 darbingo amžiaus Kauno miesto gyventoja</w:t>
      </w:r>
      <w:r w:rsidR="00214403">
        <w:rPr>
          <w:rFonts w:cs="Times New Roman"/>
          <w:szCs w:val="24"/>
        </w:rPr>
        <w:t>s</w:t>
      </w:r>
      <w:r w:rsidR="00A77B49" w:rsidRPr="00814D13">
        <w:rPr>
          <w:rFonts w:cs="Times New Roman"/>
          <w:szCs w:val="24"/>
        </w:rPr>
        <w:t>. Daugiausiai jų (239) neįgaliaisiais pripažinti dėl kraujotakos sistemos ligų, taip pat dėl piktybinių navikų (222), psichikos ir elgesio sutrik</w:t>
      </w:r>
      <w:r w:rsidR="00215EA1">
        <w:rPr>
          <w:rFonts w:cs="Times New Roman"/>
          <w:szCs w:val="24"/>
        </w:rPr>
        <w:t>imų (135). Dėl traumų, apsinuodi</w:t>
      </w:r>
      <w:r w:rsidR="00A77B49" w:rsidRPr="00814D13">
        <w:rPr>
          <w:rFonts w:cs="Times New Roman"/>
          <w:szCs w:val="24"/>
        </w:rPr>
        <w:t xml:space="preserve">jimų ir kitų išorinių priežasčių neįgaliais pripažinta tik maža dalis (45) darbingo amžiaus asmenų, o dėl profesinių ligų pripažinto neįgaliu nebuvo nei vieno asmens. </w:t>
      </w:r>
    </w:p>
    <w:p w:rsidR="00896D2E" w:rsidRPr="00DC3C16" w:rsidRDefault="00814D13" w:rsidP="00896D2E">
      <w:pPr>
        <w:rPr>
          <w:rFonts w:cs="Times New Roman"/>
          <w:bCs/>
          <w:szCs w:val="24"/>
        </w:rPr>
      </w:pPr>
      <w:r>
        <w:rPr>
          <w:rFonts w:cs="Times New Roman"/>
          <w:szCs w:val="24"/>
        </w:rPr>
        <w:tab/>
      </w:r>
      <w:r w:rsidR="00A77B49" w:rsidRPr="001A1F25">
        <w:rPr>
          <w:rFonts w:cs="Times New Roman"/>
          <w:szCs w:val="24"/>
        </w:rPr>
        <w:t xml:space="preserve">Kiti du šį LSP uždavinį atspindintys rodikliai: susižalojimo dėl nukritimo atvejų skaičius (W00-W19) 65+ m. amžiaus grupėje 10 000 gyventojų ir sergamumas žarnyno infekcinėmis ligomis (A00-A08) 10 000 gyventojų pateko į „raudonąją“ rodiklių zoną, </w:t>
      </w:r>
      <w:r w:rsidR="00A77B49" w:rsidRPr="00DC3C16">
        <w:rPr>
          <w:rFonts w:cs="Times New Roman"/>
          <w:szCs w:val="24"/>
        </w:rPr>
        <w:t xml:space="preserve">todėl bus plačiau išanalizuoti </w:t>
      </w:r>
      <w:r w:rsidR="00896D2E" w:rsidRPr="00DC3C16">
        <w:rPr>
          <w:rFonts w:cs="Times New Roman"/>
          <w:bCs/>
          <w:szCs w:val="24"/>
        </w:rPr>
        <w:t>3.2. ataskaitos dalyje</w:t>
      </w:r>
      <w:r w:rsidR="00896D2E" w:rsidRPr="00DC3C16">
        <w:rPr>
          <w:rFonts w:cs="Times New Roman"/>
          <w:b/>
          <w:bCs/>
          <w:szCs w:val="24"/>
        </w:rPr>
        <w:t xml:space="preserve"> </w:t>
      </w:r>
      <w:r w:rsidR="00896D2E" w:rsidRPr="00DC3C16">
        <w:rPr>
          <w:rFonts w:cs="Times New Roman"/>
          <w:bCs/>
          <w:szCs w:val="24"/>
        </w:rPr>
        <w:t>„Atrinktų rodiklių detali analizė ir interpretavimas“.</w:t>
      </w:r>
    </w:p>
    <w:p w:rsidR="00A77B49" w:rsidRPr="00896D2E" w:rsidRDefault="00A77B49" w:rsidP="00A77B49">
      <w:pPr>
        <w:rPr>
          <w:rFonts w:cs="Times New Roman"/>
          <w:color w:val="FF0000"/>
          <w:szCs w:val="24"/>
          <w:u w:val="single"/>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jc w:val="left"/>
              <w:rPr>
                <w:rFonts w:cs="Times New Roman"/>
                <w:szCs w:val="24"/>
              </w:rPr>
            </w:pPr>
            <w:r w:rsidRPr="00814D13">
              <w:rPr>
                <w:rFonts w:cs="Times New Roman"/>
                <w:szCs w:val="24"/>
              </w:rPr>
              <w:t>2.2. Kurti palan</w:t>
            </w:r>
            <w:r w:rsidR="00215EA1">
              <w:rPr>
                <w:rFonts w:cs="Times New Roman"/>
                <w:szCs w:val="24"/>
              </w:rPr>
              <w:t>kias sąlygas saugiai leisti lais</w:t>
            </w:r>
            <w:r w:rsidRPr="00814D13">
              <w:rPr>
                <w:rFonts w:cs="Times New Roman"/>
                <w:szCs w:val="24"/>
              </w:rPr>
              <w:t>valaikį</w:t>
            </w:r>
          </w:p>
        </w:tc>
      </w:tr>
      <w:tr w:rsidR="00A77B49" w:rsidRPr="00814D13" w:rsidTr="00735C0D">
        <w:trPr>
          <w:trHeight w:val="416"/>
        </w:trPr>
        <w:tc>
          <w:tcPr>
            <w:tcW w:w="2660" w:type="dxa"/>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Savivaldybės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Lietuvos rodiklis</w:t>
            </w:r>
          </w:p>
        </w:tc>
        <w:tc>
          <w:tcPr>
            <w:tcW w:w="992"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Minimali reikšmė</w:t>
            </w:r>
          </w:p>
        </w:tc>
        <w:tc>
          <w:tcPr>
            <w:tcW w:w="1134" w:type="dxa"/>
            <w:shd w:val="clear" w:color="auto" w:fill="F2DBDB" w:themeFill="accent2" w:themeFillTint="33"/>
            <w:vAlign w:val="center"/>
          </w:tcPr>
          <w:p w:rsidR="00A77B49" w:rsidRPr="00814D13" w:rsidRDefault="00814D13" w:rsidP="00814D13">
            <w:pPr>
              <w:spacing w:line="240" w:lineRule="auto"/>
              <w:jc w:val="center"/>
              <w:rPr>
                <w:rFonts w:cs="Times New Roman"/>
                <w:sz w:val="20"/>
                <w:szCs w:val="20"/>
              </w:rPr>
            </w:pPr>
            <w:r>
              <w:rPr>
                <w:rFonts w:cs="Times New Roman"/>
                <w:sz w:val="20"/>
                <w:szCs w:val="20"/>
              </w:rPr>
              <w:t>Maksimali reikšmė</w:t>
            </w:r>
          </w:p>
        </w:tc>
        <w:tc>
          <w:tcPr>
            <w:tcW w:w="1241" w:type="dxa"/>
            <w:tcBorders>
              <w:bottom w:val="single" w:sz="4" w:space="0" w:color="auto"/>
            </w:tcBorders>
            <w:shd w:val="clear" w:color="auto" w:fill="F2DBDB" w:themeFill="accent2" w:themeFillTint="33"/>
            <w:vAlign w:val="center"/>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Santykis:</w:t>
            </w:r>
          </w:p>
          <w:p w:rsidR="00A77B49" w:rsidRPr="00814D13" w:rsidRDefault="00814D13" w:rsidP="00814D13">
            <w:pPr>
              <w:spacing w:line="240" w:lineRule="auto"/>
              <w:jc w:val="center"/>
              <w:rPr>
                <w:rFonts w:cs="Times New Roman"/>
                <w:sz w:val="20"/>
                <w:szCs w:val="20"/>
              </w:rPr>
            </w:pPr>
            <w:r>
              <w:rPr>
                <w:rFonts w:cs="Times New Roman"/>
                <w:sz w:val="20"/>
                <w:szCs w:val="20"/>
              </w:rPr>
              <w:t>savivaldybė/Lietuva</w:t>
            </w:r>
          </w:p>
        </w:tc>
      </w:tr>
      <w:tr w:rsidR="00A77B49" w:rsidRPr="00814D13" w:rsidTr="00735C0D">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dėl at</w:t>
            </w:r>
            <w:r w:rsidR="00D36C95">
              <w:rPr>
                <w:rFonts w:eastAsia="Times New Roman" w:cs="Times New Roman"/>
                <w:color w:val="000000"/>
                <w:sz w:val="20"/>
                <w:szCs w:val="20"/>
                <w:lang w:eastAsia="lt-LT"/>
              </w:rPr>
              <w:t>sitiktinio paskendimo (W65-W74) 100 000 gyv</w:t>
            </w:r>
            <w:r w:rsidRPr="00814D13">
              <w:rPr>
                <w:rFonts w:eastAsia="Times New Roman" w:cs="Times New Roman"/>
                <w:color w:val="000000"/>
                <w:sz w:val="20"/>
                <w:szCs w:val="20"/>
                <w:lang w:eastAsia="lt-LT"/>
              </w:rPr>
              <w:t>.</w:t>
            </w:r>
          </w:p>
        </w:tc>
        <w:tc>
          <w:tcPr>
            <w:tcW w:w="1417" w:type="dxa"/>
            <w:vMerge w:val="restart"/>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11</w:t>
            </w:r>
          </w:p>
          <w:p w:rsidR="00A77B49" w:rsidRPr="00814D13" w:rsidRDefault="00A77B49" w:rsidP="00814D13">
            <w:pPr>
              <w:spacing w:line="240" w:lineRule="auto"/>
              <w:jc w:val="center"/>
              <w:rPr>
                <w:rFonts w:cs="Times New Roman"/>
                <w:sz w:val="20"/>
                <w:szCs w:val="20"/>
              </w:rPr>
            </w:pPr>
          </w:p>
        </w:tc>
        <w:tc>
          <w:tcPr>
            <w:tcW w:w="1418"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3,63</w:t>
            </w:r>
          </w:p>
        </w:tc>
        <w:tc>
          <w:tcPr>
            <w:tcW w:w="992"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7,81</w:t>
            </w:r>
          </w:p>
        </w:tc>
        <w:tc>
          <w:tcPr>
            <w:tcW w:w="992"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0</w:t>
            </w:r>
          </w:p>
        </w:tc>
        <w:tc>
          <w:tcPr>
            <w:tcW w:w="1134"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38,8</w:t>
            </w:r>
          </w:p>
        </w:tc>
        <w:tc>
          <w:tcPr>
            <w:tcW w:w="1241" w:type="dxa"/>
            <w:shd w:val="clear" w:color="auto" w:fill="92D050"/>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0,46</w:t>
            </w:r>
          </w:p>
        </w:tc>
      </w:tr>
      <w:tr w:rsidR="00A77B49" w:rsidRPr="00814D13" w:rsidTr="00735C0D">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Standartizuo</w:t>
            </w:r>
            <w:r w:rsidR="00D36C95">
              <w:rPr>
                <w:rFonts w:eastAsia="Times New Roman" w:cs="Times New Roman"/>
                <w:color w:val="000000"/>
                <w:sz w:val="20"/>
                <w:szCs w:val="20"/>
                <w:lang w:eastAsia="lt-LT"/>
              </w:rPr>
              <w:t xml:space="preserve">tas mirtingumo dėl atsitiktinio </w:t>
            </w:r>
            <w:r w:rsidRPr="00814D13">
              <w:rPr>
                <w:rFonts w:eastAsia="Times New Roman" w:cs="Times New Roman"/>
                <w:color w:val="000000"/>
                <w:sz w:val="20"/>
                <w:szCs w:val="20"/>
                <w:lang w:eastAsia="lt-LT"/>
              </w:rPr>
              <w:t>paskendimo rodi</w:t>
            </w:r>
            <w:r w:rsidR="00D36C95">
              <w:rPr>
                <w:rFonts w:eastAsia="Times New Roman" w:cs="Times New Roman"/>
                <w:color w:val="000000"/>
                <w:sz w:val="20"/>
                <w:szCs w:val="20"/>
                <w:lang w:eastAsia="lt-LT"/>
              </w:rPr>
              <w:t>klis (W65-W74) 100 000 gyv</w:t>
            </w:r>
            <w:r w:rsidRPr="00814D13">
              <w:rPr>
                <w:rFonts w:eastAsia="Times New Roman" w:cs="Times New Roman"/>
                <w:color w:val="000000"/>
                <w:sz w:val="20"/>
                <w:szCs w:val="20"/>
                <w:lang w:eastAsia="lt-LT"/>
              </w:rPr>
              <w:t>.</w:t>
            </w:r>
          </w:p>
        </w:tc>
        <w:tc>
          <w:tcPr>
            <w:tcW w:w="1417" w:type="dxa"/>
            <w:vMerge/>
            <w:vAlign w:val="center"/>
            <w:hideMark/>
          </w:tcPr>
          <w:p w:rsidR="00A77B49" w:rsidRPr="00814D13" w:rsidRDefault="00A77B49" w:rsidP="00814D13">
            <w:pPr>
              <w:spacing w:line="240" w:lineRule="auto"/>
              <w:jc w:val="center"/>
              <w:rPr>
                <w:rFonts w:cs="Times New Roman"/>
                <w:color w:val="000000"/>
                <w:sz w:val="20"/>
                <w:szCs w:val="20"/>
              </w:rPr>
            </w:pPr>
          </w:p>
        </w:tc>
        <w:tc>
          <w:tcPr>
            <w:tcW w:w="1418"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3,65</w:t>
            </w:r>
          </w:p>
        </w:tc>
        <w:tc>
          <w:tcPr>
            <w:tcW w:w="992"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7,8</w:t>
            </w:r>
          </w:p>
        </w:tc>
        <w:tc>
          <w:tcPr>
            <w:tcW w:w="992"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0</w:t>
            </w:r>
          </w:p>
        </w:tc>
        <w:tc>
          <w:tcPr>
            <w:tcW w:w="1134" w:type="dxa"/>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39,04</w:t>
            </w:r>
          </w:p>
        </w:tc>
        <w:tc>
          <w:tcPr>
            <w:tcW w:w="1241" w:type="dxa"/>
            <w:shd w:val="clear" w:color="auto" w:fill="92D050"/>
            <w:noWrap/>
            <w:vAlign w:val="center"/>
            <w:hideMark/>
          </w:tcPr>
          <w:p w:rsidR="00A77B49" w:rsidRPr="00814D13" w:rsidRDefault="00A77B49" w:rsidP="00814D13">
            <w:pPr>
              <w:spacing w:line="240" w:lineRule="auto"/>
              <w:jc w:val="center"/>
              <w:rPr>
                <w:rFonts w:cs="Times New Roman"/>
                <w:sz w:val="20"/>
                <w:szCs w:val="20"/>
              </w:rPr>
            </w:pPr>
            <w:r w:rsidRPr="00814D13">
              <w:rPr>
                <w:rFonts w:cs="Times New Roman"/>
                <w:sz w:val="20"/>
                <w:szCs w:val="20"/>
              </w:rPr>
              <w:t>0,47</w:t>
            </w:r>
          </w:p>
        </w:tc>
      </w:tr>
      <w:tr w:rsidR="00A77B49" w:rsidRPr="00814D13" w:rsidTr="00814D13">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dėl nukritimo rod</w:t>
            </w:r>
            <w:r w:rsidR="00D36C95">
              <w:rPr>
                <w:rFonts w:eastAsia="Times New Roman" w:cs="Times New Roman"/>
                <w:color w:val="000000"/>
                <w:sz w:val="20"/>
                <w:szCs w:val="20"/>
                <w:lang w:eastAsia="lt-LT"/>
              </w:rPr>
              <w:t>iklis (W00-W19) 100 000 gyv</w:t>
            </w:r>
            <w:r w:rsidR="001A1F25">
              <w:rPr>
                <w:rFonts w:eastAsia="Times New Roman" w:cs="Times New Roman"/>
                <w:color w:val="000000"/>
                <w:sz w:val="20"/>
                <w:szCs w:val="20"/>
                <w:lang w:eastAsia="lt-LT"/>
              </w:rPr>
              <w:t>.</w:t>
            </w:r>
          </w:p>
        </w:tc>
        <w:tc>
          <w:tcPr>
            <w:tcW w:w="1417" w:type="dxa"/>
            <w:vMerge w:val="restart"/>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29</w:t>
            </w: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9,58</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12</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41,35</w:t>
            </w:r>
          </w:p>
        </w:tc>
        <w:tc>
          <w:tcPr>
            <w:tcW w:w="1241" w:type="dxa"/>
            <w:shd w:val="clear" w:color="auto" w:fill="FFFF00"/>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0,8</w:t>
            </w:r>
          </w:p>
        </w:tc>
      </w:tr>
      <w:tr w:rsidR="00A77B49" w:rsidRPr="00814D13" w:rsidTr="00814D13">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Standartizuotas mirtingumo dėl nukritimo rodi</w:t>
            </w:r>
            <w:r w:rsidR="00D36C95">
              <w:rPr>
                <w:rFonts w:eastAsia="Times New Roman" w:cs="Times New Roman"/>
                <w:color w:val="000000"/>
                <w:sz w:val="20"/>
                <w:szCs w:val="20"/>
                <w:lang w:eastAsia="lt-LT"/>
              </w:rPr>
              <w:t>klis (W00-W19) 100 000 gyv</w:t>
            </w:r>
            <w:r w:rsidRPr="00814D13">
              <w:rPr>
                <w:rFonts w:eastAsia="Times New Roman" w:cs="Times New Roman"/>
                <w:color w:val="000000"/>
                <w:sz w:val="20"/>
                <w:szCs w:val="20"/>
                <w:lang w:eastAsia="lt-LT"/>
              </w:rPr>
              <w:t>.</w:t>
            </w:r>
          </w:p>
        </w:tc>
        <w:tc>
          <w:tcPr>
            <w:tcW w:w="1417" w:type="dxa"/>
            <w:vMerge/>
            <w:noWrap/>
            <w:vAlign w:val="center"/>
            <w:hideMark/>
          </w:tcPr>
          <w:p w:rsidR="00A77B49" w:rsidRPr="00814D13" w:rsidRDefault="00A77B49" w:rsidP="00814D13">
            <w:pPr>
              <w:spacing w:line="240" w:lineRule="auto"/>
              <w:jc w:val="center"/>
              <w:rPr>
                <w:rFonts w:cs="Times New Roman"/>
                <w:color w:val="000000"/>
                <w:sz w:val="20"/>
                <w:szCs w:val="20"/>
              </w:rPr>
            </w:pPr>
          </w:p>
        </w:tc>
        <w:tc>
          <w:tcPr>
            <w:tcW w:w="1418"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9,37</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12,32</w:t>
            </w:r>
          </w:p>
        </w:tc>
        <w:tc>
          <w:tcPr>
            <w:tcW w:w="992"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43,91</w:t>
            </w:r>
          </w:p>
        </w:tc>
        <w:tc>
          <w:tcPr>
            <w:tcW w:w="1241" w:type="dxa"/>
            <w:shd w:val="clear" w:color="auto" w:fill="FFFF00"/>
            <w:noWrap/>
            <w:vAlign w:val="center"/>
            <w:hideMark/>
          </w:tcPr>
          <w:p w:rsidR="00A77B49" w:rsidRPr="00814D13" w:rsidRDefault="00A77B49" w:rsidP="00814D13">
            <w:pPr>
              <w:spacing w:line="240" w:lineRule="auto"/>
              <w:jc w:val="center"/>
              <w:rPr>
                <w:rFonts w:cs="Times New Roman"/>
                <w:color w:val="000000"/>
                <w:sz w:val="20"/>
                <w:szCs w:val="20"/>
              </w:rPr>
            </w:pPr>
            <w:r w:rsidRPr="00814D13">
              <w:rPr>
                <w:rFonts w:cs="Times New Roman"/>
                <w:color w:val="000000"/>
                <w:sz w:val="20"/>
                <w:szCs w:val="20"/>
              </w:rPr>
              <w:t>0,8</w:t>
            </w:r>
          </w:p>
        </w:tc>
      </w:tr>
    </w:tbl>
    <w:p w:rsidR="00A77B49" w:rsidRPr="00814D13" w:rsidRDefault="00A77B49" w:rsidP="00A77B49">
      <w:pPr>
        <w:rPr>
          <w:rFonts w:cs="Times New Roman"/>
          <w:szCs w:val="24"/>
        </w:rPr>
      </w:pPr>
      <w:r w:rsidRPr="00814D13">
        <w:rPr>
          <w:rFonts w:cs="Times New Roman"/>
          <w:szCs w:val="24"/>
        </w:rPr>
        <w:t xml:space="preserve"> </w:t>
      </w:r>
    </w:p>
    <w:p w:rsidR="00A77B49" w:rsidRPr="00814D13" w:rsidRDefault="00814D13" w:rsidP="00A77B49">
      <w:pPr>
        <w:rPr>
          <w:rFonts w:cs="Times New Roman"/>
          <w:szCs w:val="24"/>
        </w:rPr>
      </w:pPr>
      <w:r>
        <w:rPr>
          <w:rFonts w:cs="Times New Roman"/>
          <w:szCs w:val="24"/>
        </w:rPr>
        <w:tab/>
      </w:r>
      <w:r w:rsidR="00A77B49" w:rsidRPr="00814D13">
        <w:rPr>
          <w:rFonts w:cs="Times New Roman"/>
          <w:szCs w:val="24"/>
        </w:rPr>
        <w:t xml:space="preserve">Lietuvoje jau ne pirmus metus skendimų ir patirtų sužalojimų laisvalaikio metu skaičius išlieka itin didelis. Alkoholio vartojimas </w:t>
      </w:r>
      <w:r w:rsidR="00215EA1">
        <w:rPr>
          <w:rFonts w:cs="Times New Roman"/>
          <w:szCs w:val="24"/>
        </w:rPr>
        <w:t xml:space="preserve">ir kita rizikinga elgsena </w:t>
      </w:r>
      <w:r w:rsidR="00A77B49" w:rsidRPr="00814D13">
        <w:rPr>
          <w:rFonts w:cs="Times New Roman"/>
          <w:szCs w:val="24"/>
        </w:rPr>
        <w:t>didina patiriamų nelaimingų atsitikimų ir traumų tikimybę. Vertinant mirtingumo dėl paskendimų ir nukritimų rodiklius, Kauno miesto savivaldybės gyventojų laisvalaikio metu patiriamų mirtinų traumų skaičius 100 tūkst. gyventojų yra mažesnis nei vidutiniškai Lietuvoje. Mirtingumo dėl atsitiktinio paskendimo rodiklis 100 tūkst. gyventojų buvo mažesnis nei daugelio kitų savivaldybių. Per</w:t>
      </w:r>
      <w:r w:rsidR="00215EA1">
        <w:rPr>
          <w:rFonts w:cs="Times New Roman"/>
          <w:szCs w:val="24"/>
        </w:rPr>
        <w:t xml:space="preserve"> 2014 metus paskendo 11 asmenų –</w:t>
      </w:r>
      <w:r w:rsidR="00A77B49" w:rsidRPr="00814D13">
        <w:rPr>
          <w:rFonts w:cs="Times New Roman"/>
          <w:szCs w:val="24"/>
        </w:rPr>
        <w:t xml:space="preserve"> 8 vyrai ir 3 moterys, daugiau nei pusė paskendusiųjų </w:t>
      </w:r>
      <w:r w:rsidR="00215EA1">
        <w:rPr>
          <w:rFonts w:cs="Times New Roman"/>
          <w:szCs w:val="24"/>
        </w:rPr>
        <w:t>buvo</w:t>
      </w:r>
      <w:r w:rsidR="00A77B49" w:rsidRPr="00814D13">
        <w:rPr>
          <w:rFonts w:cs="Times New Roman"/>
          <w:szCs w:val="24"/>
        </w:rPr>
        <w:t xml:space="preserve"> vyresnio amžiaus asmenys (55</w:t>
      </w:r>
      <w:r w:rsidR="00214403">
        <w:rPr>
          <w:rFonts w:cs="Times New Roman"/>
          <w:szCs w:val="24"/>
        </w:rPr>
        <w:t>–</w:t>
      </w:r>
      <w:r w:rsidR="00A77B49" w:rsidRPr="00814D13">
        <w:rPr>
          <w:rFonts w:cs="Times New Roman"/>
          <w:szCs w:val="24"/>
        </w:rPr>
        <w:t>74 m. amžiaus). 2014 m. Kauno mieste nepaskendo nei vienas vaikas.</w:t>
      </w:r>
    </w:p>
    <w:p w:rsidR="00A77B49" w:rsidRPr="00814D13" w:rsidRDefault="00AC29E0" w:rsidP="00A77B49">
      <w:pPr>
        <w:rPr>
          <w:rFonts w:cs="Times New Roman"/>
          <w:szCs w:val="24"/>
        </w:rPr>
      </w:pPr>
      <w:r>
        <w:rPr>
          <w:rFonts w:cs="Times New Roman"/>
          <w:szCs w:val="24"/>
        </w:rPr>
        <w:tab/>
      </w:r>
      <w:r w:rsidR="00A77B49" w:rsidRPr="00814D13">
        <w:rPr>
          <w:rFonts w:cs="Times New Roman"/>
          <w:szCs w:val="24"/>
        </w:rPr>
        <w:t>Dėl nukritimo Kauno mieste 2014 m. mirė 20 vyrų ir 9 moterys. Dėl nukritimo mirė vienas vaikas (1</w:t>
      </w:r>
      <w:r w:rsidR="00214403">
        <w:rPr>
          <w:rFonts w:cs="Times New Roman"/>
          <w:szCs w:val="24"/>
        </w:rPr>
        <w:t>–</w:t>
      </w:r>
      <w:r w:rsidR="00A77B49" w:rsidRPr="00814D13">
        <w:rPr>
          <w:rFonts w:cs="Times New Roman"/>
          <w:szCs w:val="24"/>
        </w:rPr>
        <w:t>4 m.), 4 vidutinio amžiaus (35</w:t>
      </w:r>
      <w:r w:rsidR="00214403">
        <w:rPr>
          <w:rFonts w:cs="Times New Roman"/>
          <w:szCs w:val="24"/>
        </w:rPr>
        <w:t>–</w:t>
      </w:r>
      <w:r w:rsidR="00A77B49" w:rsidRPr="00814D13">
        <w:rPr>
          <w:rFonts w:cs="Times New Roman"/>
          <w:szCs w:val="24"/>
        </w:rPr>
        <w:t>54 m.) ir 24 vyresnio amžiaus asmenys (55</w:t>
      </w:r>
      <w:r w:rsidR="00214403">
        <w:rPr>
          <w:rFonts w:cs="Times New Roman"/>
          <w:szCs w:val="24"/>
        </w:rPr>
        <w:t>–</w:t>
      </w:r>
      <w:r w:rsidR="00A77B49" w:rsidRPr="00814D13">
        <w:rPr>
          <w:rFonts w:cs="Times New Roman"/>
          <w:szCs w:val="24"/>
        </w:rPr>
        <w:t>75+</w:t>
      </w:r>
      <w:r w:rsidR="00215EA1">
        <w:rPr>
          <w:rFonts w:cs="Times New Roman"/>
          <w:szCs w:val="24"/>
        </w:rPr>
        <w:t xml:space="preserve"> m.</w:t>
      </w:r>
      <w:r w:rsidR="00A77B49" w:rsidRPr="00814D13">
        <w:rPr>
          <w:rFonts w:cs="Times New Roman"/>
          <w:szCs w:val="24"/>
        </w:rPr>
        <w:t xml:space="preserve">). </w:t>
      </w:r>
    </w:p>
    <w:p w:rsidR="00A77B49" w:rsidRDefault="00A77B49" w:rsidP="00A77B49">
      <w:pPr>
        <w:rPr>
          <w:rFonts w:cs="Times New Roman"/>
          <w:szCs w:val="24"/>
        </w:rPr>
      </w:pPr>
    </w:p>
    <w:p w:rsidR="001745E4" w:rsidRPr="00814D13" w:rsidRDefault="001745E4"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spacing w:line="240" w:lineRule="auto"/>
              <w:jc w:val="left"/>
              <w:rPr>
                <w:rFonts w:cs="Times New Roman"/>
                <w:szCs w:val="24"/>
              </w:rPr>
            </w:pPr>
            <w:r w:rsidRPr="00814D13">
              <w:rPr>
                <w:rFonts w:cs="Times New Roman"/>
                <w:szCs w:val="24"/>
              </w:rPr>
              <w:lastRenderedPageBreak/>
              <w:t>2.3. Mažinti avaringumą ir traumų kelių eismo įvykiuose skaičių</w:t>
            </w:r>
          </w:p>
        </w:tc>
      </w:tr>
      <w:tr w:rsidR="00A77B49" w:rsidRPr="00814D13" w:rsidTr="00AC29E0">
        <w:trPr>
          <w:trHeight w:val="416"/>
        </w:trPr>
        <w:tc>
          <w:tcPr>
            <w:tcW w:w="2660" w:type="dxa"/>
            <w:shd w:val="clear" w:color="auto" w:fill="F2DBDB" w:themeFill="accent2" w:themeFillTint="33"/>
            <w:vAlign w:val="center"/>
          </w:tcPr>
          <w:p w:rsidR="00A77B49" w:rsidRPr="00814D13" w:rsidRDefault="00A77B49" w:rsidP="00AC29E0">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AC29E0">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C29E0" w:rsidP="00AC29E0">
            <w:pPr>
              <w:spacing w:line="240" w:lineRule="auto"/>
              <w:jc w:val="center"/>
              <w:rPr>
                <w:rFonts w:cs="Times New Roman"/>
                <w:sz w:val="20"/>
                <w:szCs w:val="20"/>
              </w:rPr>
            </w:pPr>
            <w:r>
              <w:rPr>
                <w:rFonts w:cs="Times New Roman"/>
                <w:sz w:val="20"/>
                <w:szCs w:val="20"/>
              </w:rPr>
              <w:t>Savivaldybės rodiklis</w:t>
            </w:r>
          </w:p>
        </w:tc>
        <w:tc>
          <w:tcPr>
            <w:tcW w:w="992" w:type="dxa"/>
            <w:shd w:val="clear" w:color="auto" w:fill="F2DBDB" w:themeFill="accent2" w:themeFillTint="33"/>
            <w:vAlign w:val="center"/>
          </w:tcPr>
          <w:p w:rsidR="00A77B49" w:rsidRPr="00814D13" w:rsidRDefault="00AC29E0" w:rsidP="00AC29E0">
            <w:pPr>
              <w:spacing w:line="240" w:lineRule="auto"/>
              <w:jc w:val="center"/>
              <w:rPr>
                <w:rFonts w:cs="Times New Roman"/>
                <w:sz w:val="20"/>
                <w:szCs w:val="20"/>
              </w:rPr>
            </w:pPr>
            <w:r>
              <w:rPr>
                <w:rFonts w:cs="Times New Roman"/>
                <w:sz w:val="20"/>
                <w:szCs w:val="20"/>
              </w:rPr>
              <w:t>Lietuvos rodiklis</w:t>
            </w:r>
          </w:p>
        </w:tc>
        <w:tc>
          <w:tcPr>
            <w:tcW w:w="992" w:type="dxa"/>
            <w:shd w:val="clear" w:color="auto" w:fill="F2DBDB" w:themeFill="accent2" w:themeFillTint="33"/>
            <w:vAlign w:val="center"/>
          </w:tcPr>
          <w:p w:rsidR="00A77B49" w:rsidRPr="00814D13" w:rsidRDefault="00AC29E0" w:rsidP="00AC29E0">
            <w:pPr>
              <w:spacing w:line="240" w:lineRule="auto"/>
              <w:jc w:val="center"/>
              <w:rPr>
                <w:rFonts w:cs="Times New Roman"/>
                <w:sz w:val="20"/>
                <w:szCs w:val="20"/>
              </w:rPr>
            </w:pPr>
            <w:r>
              <w:rPr>
                <w:rFonts w:cs="Times New Roman"/>
                <w:sz w:val="20"/>
                <w:szCs w:val="20"/>
              </w:rPr>
              <w:t>Minimali reikšmė</w:t>
            </w:r>
          </w:p>
        </w:tc>
        <w:tc>
          <w:tcPr>
            <w:tcW w:w="1134" w:type="dxa"/>
            <w:shd w:val="clear" w:color="auto" w:fill="F2DBDB" w:themeFill="accent2" w:themeFillTint="33"/>
            <w:vAlign w:val="center"/>
          </w:tcPr>
          <w:p w:rsidR="00A77B49" w:rsidRPr="00814D13" w:rsidRDefault="00AC29E0" w:rsidP="00AC29E0">
            <w:pPr>
              <w:spacing w:line="240" w:lineRule="auto"/>
              <w:jc w:val="center"/>
              <w:rPr>
                <w:rFonts w:cs="Times New Roman"/>
                <w:sz w:val="20"/>
                <w:szCs w:val="20"/>
              </w:rPr>
            </w:pPr>
            <w:r>
              <w:rPr>
                <w:rFonts w:cs="Times New Roman"/>
                <w:sz w:val="20"/>
                <w:szCs w:val="20"/>
              </w:rPr>
              <w:t>Maksimali reikšmė</w:t>
            </w:r>
          </w:p>
        </w:tc>
        <w:tc>
          <w:tcPr>
            <w:tcW w:w="1241" w:type="dxa"/>
            <w:shd w:val="clear" w:color="auto" w:fill="F2DBDB" w:themeFill="accent2" w:themeFillTint="33"/>
            <w:vAlign w:val="center"/>
          </w:tcPr>
          <w:p w:rsidR="00A77B49" w:rsidRPr="00814D13" w:rsidRDefault="00A77B49" w:rsidP="00AC29E0">
            <w:pPr>
              <w:spacing w:line="240" w:lineRule="auto"/>
              <w:jc w:val="center"/>
              <w:rPr>
                <w:rFonts w:cs="Times New Roman"/>
                <w:sz w:val="20"/>
                <w:szCs w:val="20"/>
              </w:rPr>
            </w:pPr>
            <w:r w:rsidRPr="00814D13">
              <w:rPr>
                <w:rFonts w:cs="Times New Roman"/>
                <w:sz w:val="20"/>
                <w:szCs w:val="20"/>
              </w:rPr>
              <w:t>Santykis:</w:t>
            </w:r>
          </w:p>
          <w:p w:rsidR="00A77B49" w:rsidRPr="00814D13" w:rsidRDefault="00AC29E0" w:rsidP="00AC29E0">
            <w:pPr>
              <w:spacing w:line="240" w:lineRule="auto"/>
              <w:jc w:val="center"/>
              <w:rPr>
                <w:rFonts w:cs="Times New Roman"/>
                <w:sz w:val="20"/>
                <w:szCs w:val="20"/>
              </w:rPr>
            </w:pPr>
            <w:r>
              <w:rPr>
                <w:rFonts w:cs="Times New Roman"/>
                <w:sz w:val="20"/>
                <w:szCs w:val="20"/>
              </w:rPr>
              <w:t>savivaldybė/Lietuva</w:t>
            </w:r>
          </w:p>
        </w:tc>
      </w:tr>
      <w:tr w:rsidR="00A77B49" w:rsidRPr="00814D13" w:rsidTr="00AC29E0">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dėl transporto įvykių rodi</w:t>
            </w:r>
            <w:r w:rsidR="00D36C95">
              <w:rPr>
                <w:rFonts w:eastAsia="Times New Roman" w:cs="Times New Roman"/>
                <w:color w:val="000000"/>
                <w:sz w:val="20"/>
                <w:szCs w:val="20"/>
                <w:lang w:eastAsia="lt-LT"/>
              </w:rPr>
              <w:t>klis (V00-V99) 100 000 gyv</w:t>
            </w:r>
            <w:r w:rsidRPr="00814D13">
              <w:rPr>
                <w:rFonts w:eastAsia="Times New Roman" w:cs="Times New Roman"/>
                <w:color w:val="000000"/>
                <w:sz w:val="20"/>
                <w:szCs w:val="20"/>
                <w:lang w:eastAsia="lt-LT"/>
              </w:rPr>
              <w:t>.</w:t>
            </w:r>
          </w:p>
        </w:tc>
        <w:tc>
          <w:tcPr>
            <w:tcW w:w="1417" w:type="dxa"/>
            <w:vMerge w:val="restart"/>
            <w:noWrap/>
            <w:vAlign w:val="center"/>
            <w:hideMark/>
          </w:tcPr>
          <w:p w:rsidR="00A77B49" w:rsidRPr="00814D13" w:rsidRDefault="00A77B49" w:rsidP="00AC29E0">
            <w:pPr>
              <w:spacing w:line="240" w:lineRule="auto"/>
              <w:jc w:val="center"/>
              <w:rPr>
                <w:rFonts w:cs="Times New Roman"/>
                <w:sz w:val="20"/>
                <w:szCs w:val="20"/>
              </w:rPr>
            </w:pPr>
            <w:r w:rsidRPr="00814D13">
              <w:rPr>
                <w:rFonts w:cs="Times New Roman"/>
                <w:sz w:val="20"/>
                <w:szCs w:val="20"/>
              </w:rPr>
              <w:t>26</w:t>
            </w:r>
          </w:p>
          <w:p w:rsidR="00A77B49" w:rsidRPr="00814D13" w:rsidRDefault="00A77B49" w:rsidP="00AC29E0">
            <w:pPr>
              <w:spacing w:line="240" w:lineRule="auto"/>
              <w:jc w:val="center"/>
              <w:rPr>
                <w:rFonts w:cs="Times New Roman"/>
                <w:sz w:val="20"/>
                <w:szCs w:val="20"/>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8,59</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11,08</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28,8</w:t>
            </w:r>
          </w:p>
        </w:tc>
        <w:tc>
          <w:tcPr>
            <w:tcW w:w="1241" w:type="dxa"/>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0,78</w:t>
            </w:r>
          </w:p>
        </w:tc>
      </w:tr>
      <w:tr w:rsidR="00A77B49" w:rsidRPr="00814D13" w:rsidTr="00AC29E0">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Standartizuotas mirtingumo dėl transporto įvykių rodi</w:t>
            </w:r>
            <w:r w:rsidR="00D36C95">
              <w:rPr>
                <w:rFonts w:eastAsia="Times New Roman" w:cs="Times New Roman"/>
                <w:color w:val="000000"/>
                <w:sz w:val="20"/>
                <w:szCs w:val="20"/>
                <w:lang w:eastAsia="lt-LT"/>
              </w:rPr>
              <w:t>klis (V00-V99) 100 000 gyv</w:t>
            </w:r>
            <w:r w:rsidRPr="00814D13">
              <w:rPr>
                <w:rFonts w:eastAsia="Times New Roman" w:cs="Times New Roman"/>
                <w:color w:val="000000"/>
                <w:sz w:val="20"/>
                <w:szCs w:val="20"/>
                <w:lang w:eastAsia="lt-LT"/>
              </w:rPr>
              <w:t>.</w:t>
            </w:r>
          </w:p>
        </w:tc>
        <w:tc>
          <w:tcPr>
            <w:tcW w:w="1417" w:type="dxa"/>
            <w:vMerge/>
            <w:vAlign w:val="center"/>
            <w:hideMark/>
          </w:tcPr>
          <w:p w:rsidR="00A77B49" w:rsidRPr="00814D13" w:rsidRDefault="00A77B49" w:rsidP="00AC29E0">
            <w:pPr>
              <w:spacing w:line="240" w:lineRule="auto"/>
              <w:jc w:val="center"/>
              <w:rPr>
                <w:rFonts w:cs="Times New Roman"/>
                <w:color w:val="000000"/>
                <w:sz w:val="20"/>
                <w:szCs w:val="20"/>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8,29</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10,96</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26,2</w:t>
            </w:r>
          </w:p>
        </w:tc>
        <w:tc>
          <w:tcPr>
            <w:tcW w:w="1241" w:type="dxa"/>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0,76</w:t>
            </w:r>
          </w:p>
        </w:tc>
      </w:tr>
      <w:tr w:rsidR="00A77B49" w:rsidRPr="00814D13" w:rsidTr="00FC5A2A">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Pėsčiųjų mirtingumas dėl transporto įv</w:t>
            </w:r>
            <w:r w:rsidR="00D36C95">
              <w:rPr>
                <w:rFonts w:eastAsia="Times New Roman" w:cs="Times New Roman"/>
                <w:color w:val="000000"/>
                <w:sz w:val="20"/>
                <w:szCs w:val="20"/>
                <w:lang w:eastAsia="lt-LT"/>
              </w:rPr>
              <w:t>ykių (V00-V09) 100 000 gyv</w:t>
            </w:r>
            <w:r w:rsidRPr="00814D13">
              <w:rPr>
                <w:rFonts w:eastAsia="Times New Roman" w:cs="Times New Roman"/>
                <w:color w:val="000000"/>
                <w:sz w:val="20"/>
                <w:szCs w:val="20"/>
                <w:lang w:eastAsia="lt-LT"/>
              </w:rPr>
              <w:t>.</w:t>
            </w:r>
          </w:p>
        </w:tc>
        <w:tc>
          <w:tcPr>
            <w:tcW w:w="1417" w:type="dxa"/>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10</w:t>
            </w: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4,63</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4,3</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15,1</w:t>
            </w:r>
          </w:p>
        </w:tc>
        <w:tc>
          <w:tcPr>
            <w:tcW w:w="1241" w:type="dxa"/>
            <w:tcBorders>
              <w:bottom w:val="single" w:sz="4" w:space="0" w:color="auto"/>
            </w:tcBorders>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1,08</w:t>
            </w:r>
          </w:p>
        </w:tc>
      </w:tr>
      <w:tr w:rsidR="00A77B49" w:rsidRPr="00814D13" w:rsidTr="00FC5A2A">
        <w:trPr>
          <w:trHeight w:val="315"/>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Transporto įvykiuose patirtų traumų (V00</w:t>
            </w:r>
            <w:r w:rsidR="00D36C95">
              <w:rPr>
                <w:rFonts w:eastAsia="Times New Roman" w:cs="Times New Roman"/>
                <w:color w:val="000000"/>
                <w:sz w:val="20"/>
                <w:szCs w:val="20"/>
                <w:lang w:eastAsia="lt-LT"/>
              </w:rPr>
              <w:t>-V99) sk. 100 000 gyv</w:t>
            </w:r>
            <w:r w:rsidRPr="00814D13">
              <w:rPr>
                <w:rFonts w:eastAsia="Times New Roman" w:cs="Times New Roman"/>
                <w:color w:val="000000"/>
                <w:sz w:val="20"/>
                <w:szCs w:val="20"/>
                <w:lang w:eastAsia="lt-LT"/>
              </w:rPr>
              <w:t>.</w:t>
            </w:r>
          </w:p>
        </w:tc>
        <w:tc>
          <w:tcPr>
            <w:tcW w:w="1417"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386</w:t>
            </w: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45,6</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72,43</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45,5</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156,5</w:t>
            </w:r>
          </w:p>
        </w:tc>
        <w:tc>
          <w:tcPr>
            <w:tcW w:w="1241" w:type="dxa"/>
            <w:shd w:val="clear" w:color="auto" w:fill="92D05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0,63</w:t>
            </w:r>
          </w:p>
        </w:tc>
      </w:tr>
    </w:tbl>
    <w:p w:rsidR="00A77B49" w:rsidRPr="00814D13" w:rsidRDefault="00A77B49" w:rsidP="00A77B49">
      <w:pPr>
        <w:rPr>
          <w:rFonts w:cs="Times New Roman"/>
          <w:szCs w:val="24"/>
        </w:rPr>
      </w:pPr>
    </w:p>
    <w:p w:rsidR="00A77B49" w:rsidRPr="00814D13" w:rsidRDefault="00AC29E0" w:rsidP="00A77B49">
      <w:pPr>
        <w:rPr>
          <w:rFonts w:cs="Times New Roman"/>
          <w:szCs w:val="24"/>
        </w:rPr>
      </w:pPr>
      <w:r>
        <w:rPr>
          <w:rFonts w:cs="Times New Roman"/>
          <w:szCs w:val="24"/>
        </w:rPr>
        <w:tab/>
      </w:r>
      <w:r w:rsidR="00A77B49" w:rsidRPr="00814D13">
        <w:rPr>
          <w:rFonts w:cs="Times New Roman"/>
          <w:szCs w:val="24"/>
        </w:rPr>
        <w:t>Avaringumo mažinimas yra viena pagrindinių prioritetinių sričių Lietuvoje, į kurią kreipiamas didelis dėmesys, tačiau transporto traumos vi</w:t>
      </w:r>
      <w:r w:rsidR="009B2252">
        <w:rPr>
          <w:rFonts w:cs="Times New Roman"/>
          <w:szCs w:val="24"/>
        </w:rPr>
        <w:t>s dar išlieka didelė problema –</w:t>
      </w:r>
      <w:r w:rsidR="00A77B49" w:rsidRPr="00814D13">
        <w:rPr>
          <w:rFonts w:cs="Times New Roman"/>
          <w:szCs w:val="24"/>
        </w:rPr>
        <w:t xml:space="preserve"> 2014 m. Lietuvoje dėl transporto įvykių žuvo 325 asmenys. Nors mirtingumo dėl transporto įvykių rodiklis 100 000 gyventojų Kauno miesto savivaldybėje 2014 m. buvo 22 proc. mažesnis nei šalies vidurkis, bet mirčių atvejų skaičiumi (26 mirtys) Kauno miesto savivaldybę lenkė tik Vilniaus miestas (40 mirčių). Transporto įvykiuose Kauno mieste žuvo 26 (18 vyrų, 8 moterys) žmonės, iš jų 10 pėsčiųjų. Žuvo du 15</w:t>
      </w:r>
      <w:r w:rsidR="00214403">
        <w:rPr>
          <w:rFonts w:cs="Times New Roman"/>
          <w:szCs w:val="24"/>
        </w:rPr>
        <w:t>–</w:t>
      </w:r>
      <w:r w:rsidR="00A77B49" w:rsidRPr="00814D13">
        <w:rPr>
          <w:rFonts w:cs="Times New Roman"/>
          <w:szCs w:val="24"/>
        </w:rPr>
        <w:t xml:space="preserve">24 metų amžiaus asmenys, 14 darbingo amžiaus asmenų ir 10 pensinio amžiaus asmenų (65+ metų).   </w:t>
      </w:r>
    </w:p>
    <w:p w:rsidR="00A77B49" w:rsidRPr="00814D13" w:rsidRDefault="00A77B49"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spacing w:line="240" w:lineRule="auto"/>
              <w:jc w:val="left"/>
              <w:rPr>
                <w:rFonts w:cs="Times New Roman"/>
                <w:szCs w:val="24"/>
              </w:rPr>
            </w:pPr>
            <w:r w:rsidRPr="00814D13">
              <w:rPr>
                <w:rFonts w:cs="Times New Roman"/>
                <w:szCs w:val="24"/>
              </w:rPr>
              <w:t>2.4.</w:t>
            </w:r>
            <w:r w:rsidR="00A2436D">
              <w:rPr>
                <w:rFonts w:cs="Times New Roman"/>
                <w:szCs w:val="24"/>
              </w:rPr>
              <w:t xml:space="preserve"> Mažinti oro, vandens ir dirvož</w:t>
            </w:r>
            <w:r w:rsidRPr="00814D13">
              <w:rPr>
                <w:rFonts w:cs="Times New Roman"/>
                <w:szCs w:val="24"/>
              </w:rPr>
              <w:t>emio užterštumą, triukšmą</w:t>
            </w:r>
          </w:p>
        </w:tc>
      </w:tr>
      <w:tr w:rsidR="00A77B49" w:rsidRPr="00814D13" w:rsidTr="00AC29E0">
        <w:trPr>
          <w:trHeight w:val="416"/>
        </w:trPr>
        <w:tc>
          <w:tcPr>
            <w:tcW w:w="2660"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Savivaldybės rodiklis</w:t>
            </w:r>
          </w:p>
          <w:p w:rsidR="00A77B49" w:rsidRPr="00814D13" w:rsidRDefault="00A77B49" w:rsidP="001A1F25">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Lietuvos rodiklis</w:t>
            </w:r>
          </w:p>
          <w:p w:rsidR="00A77B49" w:rsidRPr="00814D13" w:rsidRDefault="00A77B49" w:rsidP="001A1F25">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Minimali reikšmė</w:t>
            </w:r>
          </w:p>
          <w:p w:rsidR="00A77B49" w:rsidRPr="00814D13" w:rsidRDefault="00A77B49" w:rsidP="001A1F25">
            <w:pPr>
              <w:spacing w:line="240" w:lineRule="auto"/>
              <w:jc w:val="center"/>
              <w:rPr>
                <w:rFonts w:cs="Times New Roman"/>
                <w:sz w:val="20"/>
                <w:szCs w:val="20"/>
              </w:rPr>
            </w:pPr>
          </w:p>
        </w:tc>
        <w:tc>
          <w:tcPr>
            <w:tcW w:w="1134"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Maksimali reikšmė</w:t>
            </w:r>
          </w:p>
          <w:p w:rsidR="00A77B49" w:rsidRPr="00814D13" w:rsidRDefault="00A77B49" w:rsidP="001A1F25">
            <w:pPr>
              <w:spacing w:line="240" w:lineRule="auto"/>
              <w:jc w:val="center"/>
              <w:rPr>
                <w:rFonts w:cs="Times New Roman"/>
                <w:sz w:val="20"/>
                <w:szCs w:val="20"/>
              </w:rPr>
            </w:pPr>
          </w:p>
        </w:tc>
        <w:tc>
          <w:tcPr>
            <w:tcW w:w="1241"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Santykis:</w:t>
            </w:r>
          </w:p>
          <w:p w:rsidR="00A77B49" w:rsidRPr="00814D13" w:rsidRDefault="00A77B49" w:rsidP="001A1F25">
            <w:pPr>
              <w:spacing w:line="240" w:lineRule="auto"/>
              <w:jc w:val="center"/>
              <w:rPr>
                <w:rFonts w:cs="Times New Roman"/>
                <w:sz w:val="20"/>
                <w:szCs w:val="20"/>
              </w:rPr>
            </w:pPr>
            <w:r w:rsidRPr="00814D13">
              <w:rPr>
                <w:rFonts w:cs="Times New Roman"/>
                <w:sz w:val="20"/>
                <w:szCs w:val="20"/>
              </w:rPr>
              <w:t>savivaldybė/Lietuva</w:t>
            </w:r>
          </w:p>
          <w:p w:rsidR="00A77B49" w:rsidRPr="00814D13" w:rsidRDefault="00A77B49" w:rsidP="001A1F25">
            <w:pPr>
              <w:spacing w:line="240" w:lineRule="auto"/>
              <w:jc w:val="center"/>
              <w:rPr>
                <w:rFonts w:cs="Times New Roman"/>
                <w:sz w:val="20"/>
                <w:szCs w:val="20"/>
              </w:rPr>
            </w:pPr>
          </w:p>
        </w:tc>
      </w:tr>
      <w:tr w:rsidR="00A77B49" w:rsidRPr="00814D13" w:rsidTr="00AC29E0">
        <w:trPr>
          <w:trHeight w:val="696"/>
        </w:trPr>
        <w:tc>
          <w:tcPr>
            <w:tcW w:w="2660" w:type="dxa"/>
            <w:noWrap/>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Į atmosferą iš stacionarių taršos šaltinių išmestų teršalų kiekis, tenkantis 1 kvadratiniam kilometrui.</w:t>
            </w:r>
          </w:p>
        </w:tc>
        <w:tc>
          <w:tcPr>
            <w:tcW w:w="1417" w:type="dxa"/>
            <w:noWrap/>
            <w:vAlign w:val="center"/>
            <w:hideMark/>
          </w:tcPr>
          <w:p w:rsidR="00A77B49" w:rsidRPr="00814D13" w:rsidRDefault="00A77B49" w:rsidP="00AC29E0">
            <w:pPr>
              <w:spacing w:line="240" w:lineRule="auto"/>
              <w:jc w:val="center"/>
              <w:rPr>
                <w:color w:val="000000"/>
                <w:szCs w:val="24"/>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24,14357</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0,86545</w:t>
            </w:r>
          </w:p>
        </w:tc>
        <w:tc>
          <w:tcPr>
            <w:tcW w:w="992" w:type="dxa"/>
            <w:noWrap/>
            <w:vAlign w:val="center"/>
            <w:hideMark/>
          </w:tcPr>
          <w:p w:rsidR="00A77B49" w:rsidRPr="00814D13" w:rsidRDefault="00B15E23" w:rsidP="00AC29E0">
            <w:pPr>
              <w:spacing w:line="240" w:lineRule="auto"/>
              <w:jc w:val="center"/>
              <w:rPr>
                <w:color w:val="000000"/>
                <w:szCs w:val="24"/>
              </w:rPr>
            </w:pPr>
            <w:r>
              <w:rPr>
                <w:color w:val="000000"/>
              </w:rPr>
              <w:t>nėra</w:t>
            </w:r>
          </w:p>
        </w:tc>
        <w:tc>
          <w:tcPr>
            <w:tcW w:w="1134" w:type="dxa"/>
            <w:noWrap/>
            <w:vAlign w:val="center"/>
            <w:hideMark/>
          </w:tcPr>
          <w:p w:rsidR="00A77B49" w:rsidRPr="00814D13" w:rsidRDefault="00B15E23" w:rsidP="00AC29E0">
            <w:pPr>
              <w:spacing w:line="240" w:lineRule="auto"/>
              <w:jc w:val="center"/>
              <w:rPr>
                <w:color w:val="000000"/>
                <w:szCs w:val="24"/>
              </w:rPr>
            </w:pPr>
            <w:r>
              <w:rPr>
                <w:color w:val="000000"/>
              </w:rPr>
              <w:t>nėra</w:t>
            </w:r>
          </w:p>
        </w:tc>
        <w:tc>
          <w:tcPr>
            <w:tcW w:w="1241" w:type="dxa"/>
            <w:shd w:val="clear" w:color="auto" w:fill="FFFFFF" w:themeFill="background1"/>
            <w:noWrap/>
            <w:vAlign w:val="center"/>
            <w:hideMark/>
          </w:tcPr>
          <w:p w:rsidR="00A77B49" w:rsidRPr="00814D13" w:rsidRDefault="00B15E23" w:rsidP="00AC29E0">
            <w:pPr>
              <w:spacing w:line="240" w:lineRule="auto"/>
              <w:jc w:val="center"/>
              <w:rPr>
                <w:color w:val="000000"/>
                <w:szCs w:val="24"/>
              </w:rPr>
            </w:pPr>
            <w:r>
              <w:rPr>
                <w:color w:val="000000"/>
              </w:rPr>
              <w:t>nėra</w:t>
            </w:r>
          </w:p>
        </w:tc>
      </w:tr>
      <w:tr w:rsidR="00A77B49" w:rsidRPr="00814D13" w:rsidTr="00AC29E0">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Viešai tiekiamo geriamojo vandens prieinamumas vartotojams (proc.).</w:t>
            </w:r>
          </w:p>
        </w:tc>
        <w:tc>
          <w:tcPr>
            <w:tcW w:w="1417" w:type="dxa"/>
            <w:vAlign w:val="center"/>
            <w:hideMark/>
          </w:tcPr>
          <w:p w:rsidR="00A77B49" w:rsidRPr="00814D13" w:rsidRDefault="00A77B49" w:rsidP="00AC29E0">
            <w:pPr>
              <w:spacing w:line="240" w:lineRule="auto"/>
              <w:jc w:val="center"/>
              <w:rPr>
                <w:rFonts w:cs="Times New Roman"/>
                <w:sz w:val="20"/>
                <w:szCs w:val="20"/>
              </w:rPr>
            </w:pPr>
          </w:p>
        </w:tc>
        <w:tc>
          <w:tcPr>
            <w:tcW w:w="1418" w:type="dxa"/>
            <w:noWrap/>
            <w:vAlign w:val="center"/>
            <w:hideMark/>
          </w:tcPr>
          <w:p w:rsidR="00A77B49" w:rsidRPr="00814D13" w:rsidRDefault="00A77B49" w:rsidP="00AC29E0">
            <w:pPr>
              <w:spacing w:line="240" w:lineRule="auto"/>
              <w:jc w:val="center"/>
              <w:rPr>
                <w:rFonts w:cs="Times New Roman"/>
                <w:sz w:val="20"/>
                <w:szCs w:val="20"/>
              </w:rPr>
            </w:pPr>
            <w:r w:rsidRPr="00814D13">
              <w:rPr>
                <w:rFonts w:cs="Times New Roman"/>
                <w:sz w:val="20"/>
                <w:szCs w:val="20"/>
              </w:rPr>
              <w:t>90,8</w:t>
            </w:r>
          </w:p>
        </w:tc>
        <w:tc>
          <w:tcPr>
            <w:tcW w:w="992" w:type="dxa"/>
            <w:noWrap/>
            <w:vAlign w:val="center"/>
            <w:hideMark/>
          </w:tcPr>
          <w:p w:rsidR="00A77B49" w:rsidRPr="00814D13" w:rsidRDefault="00B15E23" w:rsidP="00AC29E0">
            <w:pPr>
              <w:spacing w:line="240" w:lineRule="auto"/>
              <w:jc w:val="center"/>
              <w:rPr>
                <w:rFonts w:cs="Times New Roman"/>
                <w:sz w:val="20"/>
                <w:szCs w:val="20"/>
              </w:rPr>
            </w:pPr>
            <w:r>
              <w:rPr>
                <w:rFonts w:cs="Times New Roman"/>
                <w:sz w:val="20"/>
                <w:szCs w:val="20"/>
              </w:rPr>
              <w:t>nėra</w:t>
            </w:r>
          </w:p>
        </w:tc>
        <w:tc>
          <w:tcPr>
            <w:tcW w:w="992" w:type="dxa"/>
            <w:noWrap/>
            <w:vAlign w:val="center"/>
            <w:hideMark/>
          </w:tcPr>
          <w:p w:rsidR="00A77B49" w:rsidRPr="00814D13" w:rsidRDefault="00B15E23" w:rsidP="00AC29E0">
            <w:pPr>
              <w:spacing w:line="240" w:lineRule="auto"/>
              <w:jc w:val="center"/>
              <w:rPr>
                <w:rFonts w:cs="Times New Roman"/>
                <w:sz w:val="20"/>
                <w:szCs w:val="20"/>
              </w:rPr>
            </w:pPr>
            <w:r>
              <w:rPr>
                <w:rFonts w:cs="Times New Roman"/>
                <w:sz w:val="20"/>
                <w:szCs w:val="20"/>
              </w:rPr>
              <w:t>nėra</w:t>
            </w:r>
          </w:p>
        </w:tc>
        <w:tc>
          <w:tcPr>
            <w:tcW w:w="1134" w:type="dxa"/>
            <w:noWrap/>
            <w:vAlign w:val="center"/>
            <w:hideMark/>
          </w:tcPr>
          <w:p w:rsidR="00A77B49" w:rsidRPr="00814D13" w:rsidRDefault="00B15E23" w:rsidP="00AC29E0">
            <w:pPr>
              <w:spacing w:line="240" w:lineRule="auto"/>
              <w:jc w:val="center"/>
              <w:rPr>
                <w:rFonts w:cs="Times New Roman"/>
                <w:sz w:val="20"/>
                <w:szCs w:val="20"/>
              </w:rPr>
            </w:pPr>
            <w:r>
              <w:rPr>
                <w:rFonts w:cs="Times New Roman"/>
                <w:sz w:val="20"/>
                <w:szCs w:val="20"/>
              </w:rPr>
              <w:t>nėra</w:t>
            </w:r>
          </w:p>
        </w:tc>
        <w:tc>
          <w:tcPr>
            <w:tcW w:w="1241" w:type="dxa"/>
            <w:shd w:val="clear" w:color="auto" w:fill="FFFFFF" w:themeFill="background1"/>
            <w:noWrap/>
            <w:vAlign w:val="center"/>
            <w:hideMark/>
          </w:tcPr>
          <w:p w:rsidR="00A77B49" w:rsidRPr="00814D13" w:rsidRDefault="00B15E23" w:rsidP="00AC29E0">
            <w:pPr>
              <w:spacing w:line="240" w:lineRule="auto"/>
              <w:jc w:val="center"/>
              <w:rPr>
                <w:rFonts w:cs="Times New Roman"/>
                <w:sz w:val="20"/>
                <w:szCs w:val="20"/>
              </w:rPr>
            </w:pPr>
            <w:r>
              <w:rPr>
                <w:rFonts w:cs="Times New Roman"/>
                <w:sz w:val="20"/>
                <w:szCs w:val="20"/>
              </w:rPr>
              <w:t>nėra</w:t>
            </w:r>
          </w:p>
        </w:tc>
      </w:tr>
      <w:tr w:rsidR="00A77B49" w:rsidRPr="00814D13" w:rsidTr="00AC29E0">
        <w:trPr>
          <w:trHeight w:val="402"/>
        </w:trPr>
        <w:tc>
          <w:tcPr>
            <w:tcW w:w="2660" w:type="dxa"/>
            <w:vAlign w:val="center"/>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Nuotekų tvarkymo paslaugų prieinamumas vartotojams (proc.).</w:t>
            </w:r>
          </w:p>
        </w:tc>
        <w:tc>
          <w:tcPr>
            <w:tcW w:w="1417" w:type="dxa"/>
            <w:vAlign w:val="center"/>
            <w:hideMark/>
          </w:tcPr>
          <w:p w:rsidR="00A77B49" w:rsidRPr="00814D13" w:rsidRDefault="00A77B49" w:rsidP="00AC29E0">
            <w:pPr>
              <w:spacing w:line="240" w:lineRule="auto"/>
              <w:jc w:val="center"/>
              <w:rPr>
                <w:rFonts w:cs="Times New Roman"/>
                <w:color w:val="000000"/>
                <w:sz w:val="20"/>
                <w:szCs w:val="20"/>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87,3</w:t>
            </w:r>
          </w:p>
        </w:tc>
        <w:tc>
          <w:tcPr>
            <w:tcW w:w="992" w:type="dxa"/>
            <w:noWrap/>
            <w:vAlign w:val="center"/>
            <w:hideMark/>
          </w:tcPr>
          <w:p w:rsidR="00A77B49" w:rsidRPr="00814D13" w:rsidRDefault="00B15E23" w:rsidP="00AC29E0">
            <w:pPr>
              <w:spacing w:line="240" w:lineRule="auto"/>
              <w:jc w:val="center"/>
              <w:rPr>
                <w:rFonts w:cs="Times New Roman"/>
                <w:color w:val="000000"/>
                <w:sz w:val="20"/>
                <w:szCs w:val="20"/>
              </w:rPr>
            </w:pPr>
            <w:r>
              <w:rPr>
                <w:rFonts w:cs="Times New Roman"/>
                <w:color w:val="000000"/>
                <w:sz w:val="20"/>
                <w:szCs w:val="20"/>
              </w:rPr>
              <w:t>nėra</w:t>
            </w:r>
          </w:p>
        </w:tc>
        <w:tc>
          <w:tcPr>
            <w:tcW w:w="992" w:type="dxa"/>
            <w:noWrap/>
            <w:vAlign w:val="center"/>
            <w:hideMark/>
          </w:tcPr>
          <w:p w:rsidR="00A77B49" w:rsidRPr="00814D13" w:rsidRDefault="00B15E23" w:rsidP="00AC29E0">
            <w:pPr>
              <w:spacing w:line="240" w:lineRule="auto"/>
              <w:jc w:val="center"/>
              <w:rPr>
                <w:rFonts w:cs="Times New Roman"/>
                <w:color w:val="000000"/>
                <w:sz w:val="20"/>
                <w:szCs w:val="20"/>
              </w:rPr>
            </w:pPr>
            <w:r>
              <w:rPr>
                <w:rFonts w:cs="Times New Roman"/>
                <w:color w:val="000000"/>
                <w:sz w:val="20"/>
                <w:szCs w:val="20"/>
              </w:rPr>
              <w:t>nėra</w:t>
            </w:r>
          </w:p>
        </w:tc>
        <w:tc>
          <w:tcPr>
            <w:tcW w:w="1134" w:type="dxa"/>
            <w:noWrap/>
            <w:vAlign w:val="center"/>
            <w:hideMark/>
          </w:tcPr>
          <w:p w:rsidR="00A77B49" w:rsidRPr="00814D13" w:rsidRDefault="00B15E23" w:rsidP="00AC29E0">
            <w:pPr>
              <w:spacing w:line="240" w:lineRule="auto"/>
              <w:jc w:val="center"/>
              <w:rPr>
                <w:rFonts w:cs="Times New Roman"/>
                <w:color w:val="000000"/>
                <w:sz w:val="20"/>
                <w:szCs w:val="20"/>
              </w:rPr>
            </w:pPr>
            <w:r>
              <w:rPr>
                <w:rFonts w:cs="Times New Roman"/>
                <w:color w:val="000000"/>
                <w:sz w:val="20"/>
                <w:szCs w:val="20"/>
              </w:rPr>
              <w:t>nėra</w:t>
            </w:r>
          </w:p>
        </w:tc>
        <w:tc>
          <w:tcPr>
            <w:tcW w:w="1241" w:type="dxa"/>
            <w:shd w:val="clear" w:color="auto" w:fill="FFFFFF" w:themeFill="background1"/>
            <w:noWrap/>
            <w:vAlign w:val="center"/>
            <w:hideMark/>
          </w:tcPr>
          <w:p w:rsidR="00A77B49" w:rsidRPr="00814D13" w:rsidRDefault="00B15E23" w:rsidP="00AC29E0">
            <w:pPr>
              <w:spacing w:line="240" w:lineRule="auto"/>
              <w:jc w:val="center"/>
              <w:rPr>
                <w:rFonts w:cs="Times New Roman"/>
                <w:color w:val="000000"/>
                <w:sz w:val="20"/>
                <w:szCs w:val="20"/>
              </w:rPr>
            </w:pPr>
            <w:r>
              <w:rPr>
                <w:rFonts w:cs="Times New Roman"/>
                <w:color w:val="000000"/>
                <w:sz w:val="20"/>
                <w:szCs w:val="20"/>
              </w:rPr>
              <w:t>nėra</w:t>
            </w:r>
          </w:p>
        </w:tc>
      </w:tr>
    </w:tbl>
    <w:p w:rsidR="00A77B49" w:rsidRPr="00814D13" w:rsidRDefault="00A77B49" w:rsidP="00A77B49">
      <w:pPr>
        <w:rPr>
          <w:rFonts w:cs="Times New Roman"/>
          <w:szCs w:val="24"/>
        </w:rPr>
      </w:pPr>
    </w:p>
    <w:p w:rsidR="00A77B49" w:rsidRDefault="00AC29E0" w:rsidP="00A77B49">
      <w:pPr>
        <w:rPr>
          <w:rFonts w:cs="Times New Roman"/>
          <w:szCs w:val="24"/>
        </w:rPr>
      </w:pPr>
      <w:r>
        <w:rPr>
          <w:rFonts w:cs="Times New Roman"/>
          <w:szCs w:val="24"/>
        </w:rPr>
        <w:tab/>
      </w:r>
      <w:r w:rsidR="00A77B49" w:rsidRPr="00814D13">
        <w:rPr>
          <w:rFonts w:cs="Times New Roman"/>
          <w:szCs w:val="24"/>
        </w:rPr>
        <w:t>Lietuva yra prisijungusi prie atmosferos taršai mažinti skirtų Jungtinių Tautų konvencijų ir įgyvendina ES reikalavimus, skirtus aplinkos sektoriaus oro kokybei reguliuoti. Esant tam tikram oro, vandens, maisto ar dirvožemio užterštumui galima susirgti lėtinėmis neinfekcinėmis ligomis, apsinuodyti ar pati</w:t>
      </w:r>
      <w:r>
        <w:rPr>
          <w:rFonts w:cs="Times New Roman"/>
          <w:szCs w:val="24"/>
        </w:rPr>
        <w:t xml:space="preserve">rti kitų sveikatos sutrikdymų. </w:t>
      </w:r>
    </w:p>
    <w:p w:rsidR="001A1F25" w:rsidRPr="00814D13" w:rsidRDefault="001A1F25"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AC29E0">
        <w:tc>
          <w:tcPr>
            <w:tcW w:w="9854" w:type="dxa"/>
            <w:gridSpan w:val="7"/>
            <w:shd w:val="clear" w:color="auto" w:fill="E5B8B7" w:themeFill="accent2" w:themeFillTint="66"/>
            <w:vAlign w:val="center"/>
          </w:tcPr>
          <w:p w:rsidR="00A77B49" w:rsidRPr="00814D13" w:rsidRDefault="00A77B49" w:rsidP="00AC29E0">
            <w:pPr>
              <w:spacing w:line="240" w:lineRule="auto"/>
              <w:jc w:val="left"/>
              <w:rPr>
                <w:rFonts w:cs="Times New Roman"/>
                <w:b/>
                <w:szCs w:val="24"/>
              </w:rPr>
            </w:pPr>
            <w:r w:rsidRPr="00814D13">
              <w:rPr>
                <w:rFonts w:cs="Times New Roman"/>
                <w:b/>
                <w:szCs w:val="24"/>
              </w:rPr>
              <w:lastRenderedPageBreak/>
              <w:t>3 TIKSLAS. FORMUOTI SVEIKĄ GYVENSENĄ IR JOS KULTŪRĄ</w:t>
            </w:r>
          </w:p>
        </w:tc>
      </w:tr>
      <w:tr w:rsidR="00A77B49" w:rsidRPr="00814D13" w:rsidTr="00AC29E0">
        <w:trPr>
          <w:trHeight w:val="523"/>
        </w:trPr>
        <w:tc>
          <w:tcPr>
            <w:tcW w:w="9854" w:type="dxa"/>
            <w:gridSpan w:val="7"/>
            <w:shd w:val="clear" w:color="auto" w:fill="F2DBDB" w:themeFill="accent2" w:themeFillTint="33"/>
            <w:vAlign w:val="center"/>
          </w:tcPr>
          <w:p w:rsidR="00A77B49" w:rsidRPr="00814D13" w:rsidRDefault="00A77B49" w:rsidP="00AC29E0">
            <w:pPr>
              <w:spacing w:line="240" w:lineRule="auto"/>
              <w:jc w:val="left"/>
              <w:rPr>
                <w:rFonts w:cs="Times New Roman"/>
                <w:szCs w:val="24"/>
              </w:rPr>
            </w:pPr>
            <w:r w:rsidRPr="00814D13">
              <w:rPr>
                <w:rFonts w:cs="Times New Roman"/>
                <w:szCs w:val="24"/>
              </w:rPr>
              <w:t>3.1. Sumažinti alkoholinių gėrimų, tabako vartojimą, neteisėtą narkotinių ir psichotropinių medžiagų vartojimą ir prieinamumą</w:t>
            </w:r>
          </w:p>
        </w:tc>
      </w:tr>
      <w:tr w:rsidR="00A77B49" w:rsidRPr="00814D13" w:rsidTr="00AC29E0">
        <w:trPr>
          <w:trHeight w:val="416"/>
        </w:trPr>
        <w:tc>
          <w:tcPr>
            <w:tcW w:w="2660"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Rodiklis</w:t>
            </w:r>
          </w:p>
        </w:tc>
        <w:tc>
          <w:tcPr>
            <w:tcW w:w="1417"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Savivaldybės rodiklis</w:t>
            </w:r>
          </w:p>
          <w:p w:rsidR="00A77B49" w:rsidRPr="00814D13" w:rsidRDefault="00A77B49" w:rsidP="001A1F25">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Lietuvos rodiklis</w:t>
            </w:r>
          </w:p>
          <w:p w:rsidR="00A77B49" w:rsidRPr="00814D13" w:rsidRDefault="00A77B49" w:rsidP="001A1F25">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Minimali reikšmė</w:t>
            </w:r>
          </w:p>
          <w:p w:rsidR="00A77B49" w:rsidRPr="00814D13" w:rsidRDefault="00A77B49" w:rsidP="001A1F25">
            <w:pPr>
              <w:spacing w:line="240" w:lineRule="auto"/>
              <w:jc w:val="center"/>
              <w:rPr>
                <w:rFonts w:cs="Times New Roman"/>
                <w:sz w:val="20"/>
                <w:szCs w:val="20"/>
              </w:rPr>
            </w:pPr>
          </w:p>
        </w:tc>
        <w:tc>
          <w:tcPr>
            <w:tcW w:w="1134"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Maksimali reikšmė</w:t>
            </w:r>
          </w:p>
          <w:p w:rsidR="00A77B49" w:rsidRPr="00814D13" w:rsidRDefault="00A77B49" w:rsidP="001A1F25">
            <w:pPr>
              <w:spacing w:line="240" w:lineRule="auto"/>
              <w:jc w:val="center"/>
              <w:rPr>
                <w:rFonts w:cs="Times New Roman"/>
                <w:sz w:val="20"/>
                <w:szCs w:val="20"/>
              </w:rPr>
            </w:pPr>
          </w:p>
        </w:tc>
        <w:tc>
          <w:tcPr>
            <w:tcW w:w="1241"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Santykis:</w:t>
            </w:r>
          </w:p>
          <w:p w:rsidR="00A77B49" w:rsidRPr="00814D13" w:rsidRDefault="00A77B49" w:rsidP="001A1F25">
            <w:pPr>
              <w:spacing w:line="240" w:lineRule="auto"/>
              <w:jc w:val="center"/>
              <w:rPr>
                <w:rFonts w:cs="Times New Roman"/>
                <w:sz w:val="20"/>
                <w:szCs w:val="20"/>
              </w:rPr>
            </w:pPr>
            <w:r w:rsidRPr="00814D13">
              <w:rPr>
                <w:rFonts w:cs="Times New Roman"/>
                <w:sz w:val="20"/>
                <w:szCs w:val="20"/>
              </w:rPr>
              <w:t>savivaldybė/Lietuva</w:t>
            </w:r>
          </w:p>
          <w:p w:rsidR="00A77B49" w:rsidRPr="00814D13" w:rsidRDefault="00A77B49" w:rsidP="001A1F25">
            <w:pPr>
              <w:spacing w:line="240" w:lineRule="auto"/>
              <w:jc w:val="center"/>
              <w:rPr>
                <w:rFonts w:cs="Times New Roman"/>
                <w:sz w:val="20"/>
                <w:szCs w:val="20"/>
              </w:rPr>
            </w:pPr>
          </w:p>
        </w:tc>
      </w:tr>
      <w:tr w:rsidR="00A77B49" w:rsidRPr="00814D13" w:rsidTr="00AC29E0">
        <w:trPr>
          <w:trHeight w:val="315"/>
        </w:trPr>
        <w:tc>
          <w:tcPr>
            <w:tcW w:w="2660" w:type="dxa"/>
            <w:noWrap/>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dėl priežasčių, susijusių su narkotikų varto</w:t>
            </w:r>
            <w:r w:rsidR="00C83A68">
              <w:rPr>
                <w:rFonts w:eastAsia="Times New Roman" w:cs="Times New Roman"/>
                <w:color w:val="000000"/>
                <w:sz w:val="20"/>
                <w:szCs w:val="20"/>
                <w:lang w:eastAsia="lt-LT"/>
              </w:rPr>
              <w:t>jimu, rodiklis 100 000 gyv</w:t>
            </w:r>
            <w:r w:rsidRPr="00814D13">
              <w:rPr>
                <w:rFonts w:eastAsia="Times New Roman" w:cs="Times New Roman"/>
                <w:color w:val="000000"/>
                <w:sz w:val="20"/>
                <w:szCs w:val="20"/>
                <w:lang w:eastAsia="lt-LT"/>
              </w:rPr>
              <w:t>.</w:t>
            </w:r>
          </w:p>
        </w:tc>
        <w:tc>
          <w:tcPr>
            <w:tcW w:w="1417" w:type="dxa"/>
            <w:vMerge w:val="restart"/>
            <w:noWrap/>
            <w:vAlign w:val="center"/>
          </w:tcPr>
          <w:p w:rsidR="00A77B49" w:rsidRPr="00814D13" w:rsidRDefault="00A77B49" w:rsidP="00AC29E0">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5</w:t>
            </w:r>
          </w:p>
        </w:tc>
        <w:tc>
          <w:tcPr>
            <w:tcW w:w="1418"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3,3</w:t>
            </w:r>
          </w:p>
        </w:tc>
        <w:tc>
          <w:tcPr>
            <w:tcW w:w="992"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3,65</w:t>
            </w:r>
          </w:p>
        </w:tc>
        <w:tc>
          <w:tcPr>
            <w:tcW w:w="992"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16,53</w:t>
            </w:r>
          </w:p>
        </w:tc>
        <w:tc>
          <w:tcPr>
            <w:tcW w:w="1241" w:type="dxa"/>
            <w:shd w:val="clear" w:color="auto" w:fill="FFFF00"/>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0,9</w:t>
            </w:r>
          </w:p>
        </w:tc>
      </w:tr>
      <w:tr w:rsidR="00A77B49" w:rsidRPr="00814D13" w:rsidTr="00AC29E0">
        <w:trPr>
          <w:trHeight w:val="402"/>
        </w:trPr>
        <w:tc>
          <w:tcPr>
            <w:tcW w:w="2660" w:type="dxa"/>
            <w:hideMark/>
          </w:tcPr>
          <w:p w:rsidR="00A77B49" w:rsidRPr="00814D13" w:rsidRDefault="00C83A68"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 xml:space="preserve">Standartizuotas mirtingumo </w:t>
            </w:r>
            <w:r w:rsidR="00A77B49" w:rsidRPr="00814D13">
              <w:rPr>
                <w:rFonts w:eastAsia="Times New Roman" w:cs="Times New Roman"/>
                <w:color w:val="000000"/>
                <w:sz w:val="20"/>
                <w:szCs w:val="20"/>
                <w:lang w:eastAsia="lt-LT"/>
              </w:rPr>
              <w:t>dėl priežasčių, susijusių su narkotikų varto</w:t>
            </w:r>
            <w:r>
              <w:rPr>
                <w:rFonts w:eastAsia="Times New Roman" w:cs="Times New Roman"/>
                <w:color w:val="000000"/>
                <w:sz w:val="20"/>
                <w:szCs w:val="20"/>
                <w:lang w:eastAsia="lt-LT"/>
              </w:rPr>
              <w:t>jimu, rodiklis 100 000 gyv</w:t>
            </w:r>
            <w:r w:rsidR="00A77B49" w:rsidRPr="00814D13">
              <w:rPr>
                <w:rFonts w:eastAsia="Times New Roman" w:cs="Times New Roman"/>
                <w:color w:val="000000"/>
                <w:sz w:val="20"/>
                <w:szCs w:val="20"/>
                <w:lang w:eastAsia="lt-LT"/>
              </w:rPr>
              <w:t>.</w:t>
            </w:r>
          </w:p>
        </w:tc>
        <w:tc>
          <w:tcPr>
            <w:tcW w:w="1417" w:type="dxa"/>
            <w:vMerge/>
            <w:vAlign w:val="center"/>
            <w:hideMark/>
          </w:tcPr>
          <w:p w:rsidR="00A77B49" w:rsidRPr="00814D13" w:rsidRDefault="00A77B49" w:rsidP="00AC29E0">
            <w:pPr>
              <w:spacing w:line="240" w:lineRule="auto"/>
              <w:jc w:val="center"/>
              <w:rPr>
                <w:rFonts w:eastAsia="Times New Roman" w:cs="Times New Roman"/>
                <w:color w:val="000000"/>
                <w:sz w:val="20"/>
                <w:szCs w:val="20"/>
                <w:lang w:eastAsia="lt-LT"/>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3,24</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3,7</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15,6</w:t>
            </w:r>
          </w:p>
        </w:tc>
        <w:tc>
          <w:tcPr>
            <w:tcW w:w="1241" w:type="dxa"/>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0,88</w:t>
            </w:r>
          </w:p>
        </w:tc>
      </w:tr>
      <w:tr w:rsidR="00A77B49" w:rsidRPr="00814D13" w:rsidTr="00AC29E0">
        <w:trPr>
          <w:trHeight w:val="402"/>
        </w:trPr>
        <w:tc>
          <w:tcPr>
            <w:tcW w:w="2660" w:type="dxa"/>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dėl priežasčių, susijusių su alkoholio varto</w:t>
            </w:r>
            <w:r w:rsidR="00C83A68">
              <w:rPr>
                <w:rFonts w:eastAsia="Times New Roman" w:cs="Times New Roman"/>
                <w:color w:val="000000"/>
                <w:sz w:val="20"/>
                <w:szCs w:val="20"/>
                <w:lang w:eastAsia="lt-LT"/>
              </w:rPr>
              <w:t>jimu, rodiklis 100 000 gyv</w:t>
            </w:r>
            <w:r w:rsidRPr="00814D13">
              <w:rPr>
                <w:rFonts w:eastAsia="Times New Roman" w:cs="Times New Roman"/>
                <w:color w:val="000000"/>
                <w:sz w:val="20"/>
                <w:szCs w:val="20"/>
                <w:lang w:eastAsia="lt-LT"/>
              </w:rPr>
              <w:t>.</w:t>
            </w:r>
          </w:p>
        </w:tc>
        <w:tc>
          <w:tcPr>
            <w:tcW w:w="1417" w:type="dxa"/>
            <w:vMerge w:val="restart"/>
            <w:vAlign w:val="center"/>
            <w:hideMark/>
          </w:tcPr>
          <w:p w:rsidR="00A77B49" w:rsidRPr="00814D13" w:rsidRDefault="00A77B49" w:rsidP="00AC29E0">
            <w:pPr>
              <w:spacing w:line="240" w:lineRule="auto"/>
              <w:jc w:val="center"/>
              <w:rPr>
                <w:rFonts w:eastAsia="Times New Roman" w:cs="Times New Roman"/>
                <w:color w:val="000000"/>
                <w:sz w:val="20"/>
                <w:szCs w:val="20"/>
                <w:lang w:eastAsia="lt-LT"/>
              </w:rPr>
            </w:pPr>
            <w:r w:rsidRPr="00814D13">
              <w:rPr>
                <w:rFonts w:eastAsia="Times New Roman" w:cs="Times New Roman"/>
                <w:color w:val="000000"/>
                <w:sz w:val="20"/>
                <w:szCs w:val="20"/>
                <w:lang w:eastAsia="lt-LT"/>
              </w:rPr>
              <w:t>23</w:t>
            </w: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20,48</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25,85</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7,9</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65,41</w:t>
            </w:r>
          </w:p>
        </w:tc>
        <w:tc>
          <w:tcPr>
            <w:tcW w:w="1241" w:type="dxa"/>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0,79</w:t>
            </w:r>
          </w:p>
        </w:tc>
      </w:tr>
      <w:tr w:rsidR="00A77B49" w:rsidRPr="00814D13" w:rsidTr="00AC29E0">
        <w:trPr>
          <w:trHeight w:val="315"/>
        </w:trPr>
        <w:tc>
          <w:tcPr>
            <w:tcW w:w="2660" w:type="dxa"/>
            <w:noWrap/>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Standartizuotas mirtingumo dėl priežasčių, s</w:t>
            </w:r>
            <w:r w:rsidR="009B2252">
              <w:rPr>
                <w:rFonts w:eastAsia="Times New Roman" w:cs="Times New Roman"/>
                <w:color w:val="000000"/>
                <w:sz w:val="20"/>
                <w:szCs w:val="20"/>
                <w:lang w:eastAsia="lt-LT"/>
              </w:rPr>
              <w:t>usijusių su alkoholio vartojimu</w:t>
            </w:r>
            <w:r w:rsidR="00C83A68">
              <w:rPr>
                <w:rFonts w:eastAsia="Times New Roman" w:cs="Times New Roman"/>
                <w:color w:val="000000"/>
                <w:sz w:val="20"/>
                <w:szCs w:val="20"/>
                <w:lang w:eastAsia="lt-LT"/>
              </w:rPr>
              <w:t>, rodiklis 100 000 gyv</w:t>
            </w:r>
            <w:r w:rsidRPr="00814D13">
              <w:rPr>
                <w:rFonts w:eastAsia="Times New Roman" w:cs="Times New Roman"/>
                <w:color w:val="000000"/>
                <w:sz w:val="20"/>
                <w:szCs w:val="20"/>
                <w:lang w:eastAsia="lt-LT"/>
              </w:rPr>
              <w:t xml:space="preserve">. </w:t>
            </w:r>
          </w:p>
        </w:tc>
        <w:tc>
          <w:tcPr>
            <w:tcW w:w="1417" w:type="dxa"/>
            <w:vMerge/>
            <w:noWrap/>
            <w:vAlign w:val="center"/>
            <w:hideMark/>
          </w:tcPr>
          <w:p w:rsidR="00A77B49" w:rsidRPr="00814D13" w:rsidRDefault="00A77B49" w:rsidP="00AC29E0">
            <w:pPr>
              <w:spacing w:line="240" w:lineRule="auto"/>
              <w:jc w:val="center"/>
              <w:rPr>
                <w:rFonts w:eastAsia="Times New Roman" w:cs="Times New Roman"/>
                <w:color w:val="000000"/>
                <w:sz w:val="20"/>
                <w:szCs w:val="20"/>
                <w:lang w:eastAsia="lt-LT"/>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20,74</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25,7</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7,6</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61,5</w:t>
            </w:r>
          </w:p>
        </w:tc>
        <w:tc>
          <w:tcPr>
            <w:tcW w:w="1241" w:type="dxa"/>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0,8</w:t>
            </w:r>
          </w:p>
        </w:tc>
      </w:tr>
      <w:tr w:rsidR="00A77B49" w:rsidRPr="00814D13" w:rsidTr="00AC29E0">
        <w:trPr>
          <w:trHeight w:val="315"/>
        </w:trPr>
        <w:tc>
          <w:tcPr>
            <w:tcW w:w="2660" w:type="dxa"/>
            <w:noWrap/>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Nusikalstamos veikos, susijusios su disponavimu narkotinėmis medžiagomis ir jų kontrabanda (nusikaltimai)</w:t>
            </w:r>
            <w:r w:rsidR="001A1F25">
              <w:rPr>
                <w:rFonts w:eastAsia="Times New Roman" w:cs="Times New Roman"/>
                <w:color w:val="000000"/>
                <w:sz w:val="20"/>
                <w:szCs w:val="20"/>
                <w:lang w:eastAsia="lt-LT"/>
              </w:rPr>
              <w:t>.</w:t>
            </w:r>
          </w:p>
        </w:tc>
        <w:tc>
          <w:tcPr>
            <w:tcW w:w="1417" w:type="dxa"/>
            <w:noWrap/>
            <w:vAlign w:val="center"/>
            <w:hideMark/>
          </w:tcPr>
          <w:p w:rsidR="00A77B49" w:rsidRPr="00814D13" w:rsidRDefault="00A77B49" w:rsidP="00AC29E0">
            <w:pPr>
              <w:spacing w:line="240" w:lineRule="auto"/>
              <w:jc w:val="center"/>
              <w:rPr>
                <w:rFonts w:eastAsia="Times New Roman" w:cs="Times New Roman"/>
                <w:color w:val="000000"/>
                <w:sz w:val="20"/>
                <w:szCs w:val="20"/>
                <w:lang w:eastAsia="lt-LT"/>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40,97</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65,24</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234,9</w:t>
            </w:r>
          </w:p>
        </w:tc>
        <w:tc>
          <w:tcPr>
            <w:tcW w:w="1241" w:type="dxa"/>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0,6</w:t>
            </w:r>
          </w:p>
        </w:tc>
      </w:tr>
      <w:tr w:rsidR="00A77B49" w:rsidRPr="00814D13" w:rsidTr="00FC5A2A">
        <w:trPr>
          <w:trHeight w:val="315"/>
        </w:trPr>
        <w:tc>
          <w:tcPr>
            <w:tcW w:w="2660" w:type="dxa"/>
            <w:hideMark/>
          </w:tcPr>
          <w:p w:rsidR="00A77B49" w:rsidRPr="00814D13" w:rsidRDefault="00C83A68"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Gyventojų sk</w:t>
            </w:r>
            <w:r w:rsidR="00A77B49" w:rsidRPr="00814D13">
              <w:rPr>
                <w:rFonts w:eastAsia="Times New Roman" w:cs="Times New Roman"/>
                <w:color w:val="000000"/>
                <w:sz w:val="20"/>
                <w:szCs w:val="20"/>
                <w:lang w:eastAsia="lt-LT"/>
              </w:rPr>
              <w:t>, tenkantis vienai licencijai verstis mažmenine prekyba tabako gaminiais.</w:t>
            </w:r>
          </w:p>
        </w:tc>
        <w:tc>
          <w:tcPr>
            <w:tcW w:w="1417" w:type="dxa"/>
            <w:vAlign w:val="center"/>
            <w:hideMark/>
          </w:tcPr>
          <w:p w:rsidR="00A77B49" w:rsidRPr="00814D13" w:rsidRDefault="00A77B49" w:rsidP="00AC29E0">
            <w:pPr>
              <w:spacing w:line="240" w:lineRule="auto"/>
              <w:jc w:val="center"/>
              <w:rPr>
                <w:rFonts w:eastAsia="Times New Roman" w:cs="Times New Roman"/>
                <w:color w:val="FF0000"/>
                <w:sz w:val="20"/>
                <w:szCs w:val="20"/>
                <w:lang w:eastAsia="lt-LT"/>
              </w:rPr>
            </w:pPr>
          </w:p>
        </w:tc>
        <w:tc>
          <w:tcPr>
            <w:tcW w:w="1418"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160</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174</w:t>
            </w:r>
          </w:p>
        </w:tc>
        <w:tc>
          <w:tcPr>
            <w:tcW w:w="992"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124</w:t>
            </w:r>
          </w:p>
        </w:tc>
        <w:tc>
          <w:tcPr>
            <w:tcW w:w="1134" w:type="dxa"/>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319</w:t>
            </w:r>
          </w:p>
        </w:tc>
        <w:tc>
          <w:tcPr>
            <w:tcW w:w="1241" w:type="dxa"/>
            <w:tcBorders>
              <w:bottom w:val="single" w:sz="4" w:space="0" w:color="auto"/>
            </w:tcBorders>
            <w:shd w:val="clear" w:color="auto" w:fill="FFFF00"/>
            <w:noWrap/>
            <w:vAlign w:val="center"/>
            <w:hideMark/>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0,9</w:t>
            </w:r>
          </w:p>
        </w:tc>
      </w:tr>
      <w:tr w:rsidR="00A77B49" w:rsidRPr="00814D13" w:rsidTr="00FC5A2A">
        <w:trPr>
          <w:trHeight w:val="937"/>
        </w:trPr>
        <w:tc>
          <w:tcPr>
            <w:tcW w:w="2660" w:type="dxa"/>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Gyventojų </w:t>
            </w:r>
            <w:r w:rsidR="00C83A68">
              <w:rPr>
                <w:rFonts w:eastAsia="Times New Roman" w:cs="Times New Roman"/>
                <w:color w:val="000000"/>
                <w:sz w:val="20"/>
                <w:szCs w:val="20"/>
                <w:lang w:eastAsia="lt-LT"/>
              </w:rPr>
              <w:t>sk.</w:t>
            </w:r>
            <w:r w:rsidRPr="00814D13">
              <w:rPr>
                <w:rFonts w:eastAsia="Times New Roman" w:cs="Times New Roman"/>
                <w:color w:val="000000"/>
                <w:sz w:val="20"/>
                <w:szCs w:val="20"/>
                <w:lang w:eastAsia="lt-LT"/>
              </w:rPr>
              <w:t xml:space="preserve">, tenkantis vienai licencijai verstis mažmenine </w:t>
            </w:r>
            <w:r w:rsidR="00C83A68">
              <w:rPr>
                <w:rFonts w:eastAsia="Times New Roman" w:cs="Times New Roman"/>
                <w:color w:val="000000"/>
                <w:sz w:val="20"/>
                <w:szCs w:val="20"/>
                <w:lang w:eastAsia="lt-LT"/>
              </w:rPr>
              <w:t>prekyba alkoholiniais gėrimais.</w:t>
            </w:r>
          </w:p>
        </w:tc>
        <w:tc>
          <w:tcPr>
            <w:tcW w:w="1417" w:type="dxa"/>
            <w:vAlign w:val="center"/>
          </w:tcPr>
          <w:p w:rsidR="00A77B49" w:rsidRPr="00814D13" w:rsidRDefault="00A77B49" w:rsidP="00AC29E0">
            <w:pPr>
              <w:spacing w:line="240" w:lineRule="auto"/>
              <w:jc w:val="center"/>
              <w:rPr>
                <w:rFonts w:eastAsia="Times New Roman" w:cs="Times New Roman"/>
                <w:color w:val="FF0000"/>
                <w:sz w:val="20"/>
                <w:szCs w:val="20"/>
                <w:lang w:eastAsia="lt-LT"/>
              </w:rPr>
            </w:pPr>
          </w:p>
        </w:tc>
        <w:tc>
          <w:tcPr>
            <w:tcW w:w="1418"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131</w:t>
            </w:r>
          </w:p>
        </w:tc>
        <w:tc>
          <w:tcPr>
            <w:tcW w:w="992"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150</w:t>
            </w:r>
          </w:p>
        </w:tc>
        <w:tc>
          <w:tcPr>
            <w:tcW w:w="992"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84</w:t>
            </w:r>
          </w:p>
        </w:tc>
        <w:tc>
          <w:tcPr>
            <w:tcW w:w="1134" w:type="dxa"/>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283</w:t>
            </w:r>
          </w:p>
        </w:tc>
        <w:tc>
          <w:tcPr>
            <w:tcW w:w="1241" w:type="dxa"/>
            <w:shd w:val="clear" w:color="auto" w:fill="FF5050"/>
            <w:noWrap/>
            <w:vAlign w:val="center"/>
          </w:tcPr>
          <w:p w:rsidR="00A77B49" w:rsidRPr="00814D13" w:rsidRDefault="00A77B49" w:rsidP="00AC29E0">
            <w:pPr>
              <w:spacing w:line="240" w:lineRule="auto"/>
              <w:jc w:val="center"/>
              <w:rPr>
                <w:rFonts w:cs="Times New Roman"/>
                <w:color w:val="000000"/>
                <w:sz w:val="20"/>
                <w:szCs w:val="20"/>
              </w:rPr>
            </w:pPr>
            <w:r w:rsidRPr="00814D13">
              <w:rPr>
                <w:rFonts w:cs="Times New Roman"/>
                <w:color w:val="000000"/>
                <w:sz w:val="20"/>
                <w:szCs w:val="20"/>
              </w:rPr>
              <w:t>0,9</w:t>
            </w:r>
          </w:p>
        </w:tc>
      </w:tr>
    </w:tbl>
    <w:p w:rsidR="00A77B49" w:rsidRPr="00814D13" w:rsidRDefault="00A77B49" w:rsidP="00A77B49">
      <w:pPr>
        <w:rPr>
          <w:rFonts w:cs="Times New Roman"/>
          <w:szCs w:val="24"/>
        </w:rPr>
      </w:pPr>
    </w:p>
    <w:p w:rsidR="00A77B49" w:rsidRPr="00814D13" w:rsidRDefault="00AC29E0" w:rsidP="00A77B49">
      <w:pPr>
        <w:rPr>
          <w:rFonts w:cs="Times New Roman"/>
          <w:szCs w:val="24"/>
        </w:rPr>
      </w:pPr>
      <w:r>
        <w:rPr>
          <w:rFonts w:cs="Times New Roman"/>
          <w:szCs w:val="24"/>
        </w:rPr>
        <w:tab/>
      </w:r>
      <w:r w:rsidR="00A77B49" w:rsidRPr="00814D13">
        <w:rPr>
          <w:rFonts w:cs="Times New Roman"/>
          <w:szCs w:val="24"/>
        </w:rPr>
        <w:t>Pasaulio sveikatos organizacijos teigimu, 50 proc. žmogaus sveikatos priklauso nuo jo gyvensenos. Gyvenseną sudaro </w:t>
      </w:r>
      <w:r w:rsidR="00A77B49" w:rsidRPr="00814D13">
        <w:rPr>
          <w:rFonts w:cs="Times New Roman"/>
          <w:bCs/>
          <w:szCs w:val="24"/>
        </w:rPr>
        <w:t>mitybos, fizinio aktyvumo, alkoholio bei tabako vartojimo ir kiti įpročiai, taip pat požiūris į save ir kitus</w:t>
      </w:r>
      <w:r w:rsidR="00A77B49" w:rsidRPr="00814D13">
        <w:rPr>
          <w:rFonts w:cs="Times New Roman"/>
          <w:szCs w:val="24"/>
        </w:rPr>
        <w:t>. Visa tai sąveikauja tarpusavyje ir stiprina arba žaloja sveikatą. </w:t>
      </w:r>
      <w:r w:rsidR="00A77B49" w:rsidRPr="00814D13">
        <w:rPr>
          <w:rFonts w:cs="Times New Roman"/>
          <w:bCs/>
          <w:szCs w:val="24"/>
        </w:rPr>
        <w:t xml:space="preserve">Gyvensenai įtakos turi socialinės, ekonominės, gyvenimo </w:t>
      </w:r>
      <w:r w:rsidR="00214403">
        <w:rPr>
          <w:rFonts w:cs="Times New Roman"/>
          <w:bCs/>
          <w:szCs w:val="24"/>
        </w:rPr>
        <w:t>ir</w:t>
      </w:r>
      <w:r w:rsidR="00A77B49" w:rsidRPr="00814D13">
        <w:rPr>
          <w:rFonts w:cs="Times New Roman"/>
          <w:bCs/>
          <w:szCs w:val="24"/>
        </w:rPr>
        <w:t xml:space="preserve"> darbo sąlygos</w:t>
      </w:r>
      <w:r w:rsidR="00A77B49" w:rsidRPr="00814D13">
        <w:rPr>
          <w:rFonts w:cs="Times New Roman"/>
          <w:szCs w:val="24"/>
        </w:rPr>
        <w:t xml:space="preserve">.  Visas sveikatos problemas galima spręsti įgyvendinant veiksmingą prevencinę veiklą ir propaguojant sveiką gyvenseną, šalinant svarbiausius prastą sveikatą lemiančius veiksnius, nuo kurių priklauso sergamumas ir ankstyva mirtis. </w:t>
      </w:r>
    </w:p>
    <w:p w:rsidR="00A77B49" w:rsidRPr="00814D13" w:rsidRDefault="00AC29E0" w:rsidP="00A77B49">
      <w:pPr>
        <w:rPr>
          <w:rFonts w:cs="Times New Roman"/>
          <w:szCs w:val="24"/>
        </w:rPr>
      </w:pPr>
      <w:r>
        <w:rPr>
          <w:rFonts w:cs="Times New Roman"/>
          <w:szCs w:val="24"/>
        </w:rPr>
        <w:tab/>
      </w:r>
      <w:r w:rsidR="00A77B49" w:rsidRPr="00814D13">
        <w:rPr>
          <w:rFonts w:cs="Times New Roman"/>
          <w:szCs w:val="24"/>
        </w:rPr>
        <w:t xml:space="preserve">Tyrimai ir statistika rodo, kad alkoholis – trečias pagal svarbą Europoje žalos sveikatai ir pirmalaikės mirties rizikos veiksnys po didelio kraujospūdžio ir rūkymo, dažnai svarbesnis už didelį cholesterolio kiekį ir antsvorį. Taip pat didžioji dalis išorinių priežasčių sukeltų mirčių yra laikomos mirtimis, iš dalies nulemtomis perteklinio alkoholinių gėrimų vartojimo. Alkoholio vartojimas sukelia psichikos ir elgesio sutrikimus, epilepsinius sindromus, polineuropatijas, miopatijas, skrandžio, kepenų bei kasos ligas, atsitiktinius ir tyčinius apsinuodijimus, vaisiaus ir naujagimio patologijas </w:t>
      </w:r>
      <w:r w:rsidR="00214403">
        <w:rPr>
          <w:rFonts w:cs="Times New Roman"/>
          <w:szCs w:val="24"/>
        </w:rPr>
        <w:t>bei</w:t>
      </w:r>
      <w:r w:rsidR="00A77B49" w:rsidRPr="00814D13">
        <w:rPr>
          <w:rFonts w:cs="Times New Roman"/>
          <w:szCs w:val="24"/>
        </w:rPr>
        <w:t xml:space="preserve"> kitus sveikatos sutrikimus.</w:t>
      </w:r>
      <w:r w:rsidR="00C83A68">
        <w:rPr>
          <w:rFonts w:cs="Times New Roman"/>
          <w:szCs w:val="24"/>
        </w:rPr>
        <w:t xml:space="preserve"> </w:t>
      </w:r>
    </w:p>
    <w:p w:rsidR="00A77B49" w:rsidRPr="00814D13" w:rsidRDefault="00AC29E0" w:rsidP="00A77B49">
      <w:pPr>
        <w:rPr>
          <w:rFonts w:cs="Times New Roman"/>
          <w:szCs w:val="24"/>
        </w:rPr>
      </w:pPr>
      <w:r>
        <w:rPr>
          <w:rFonts w:cs="Times New Roman"/>
          <w:szCs w:val="24"/>
        </w:rPr>
        <w:lastRenderedPageBreak/>
        <w:tab/>
      </w:r>
      <w:r w:rsidR="00A77B49" w:rsidRPr="00814D13">
        <w:rPr>
          <w:rFonts w:cs="Times New Roman"/>
          <w:szCs w:val="24"/>
        </w:rPr>
        <w:t>Dėl su alkoholio vartojimu susijusių priežasčių (Pagal TLK kodus E24.4, F10, G31.2, G40.5, G62.1, G72.1, I42.6, K29.2, K70, K85.2, K86.0, P04.3, X45, X65, Y15) 2014 m. Kauno mieste mirė 23 asmenys. Nors mirtingumo dėl priežasčių, susijusių su alkoholio vartojimu, rodiklis 100 000 gyventojų yra 21 proc. mažesnis už Lietuvos vidurkį, tačiau vis</w:t>
      </w:r>
      <w:r w:rsidR="00214403">
        <w:rPr>
          <w:rFonts w:cs="Times New Roman"/>
          <w:szCs w:val="24"/>
        </w:rPr>
        <w:t>ų</w:t>
      </w:r>
      <w:r w:rsidR="00A77B49" w:rsidRPr="00814D13">
        <w:rPr>
          <w:rFonts w:cs="Times New Roman"/>
          <w:szCs w:val="24"/>
        </w:rPr>
        <w:t xml:space="preserve"> ši</w:t>
      </w:r>
      <w:r w:rsidR="00214403">
        <w:rPr>
          <w:rFonts w:cs="Times New Roman"/>
          <w:szCs w:val="24"/>
        </w:rPr>
        <w:t>ų</w:t>
      </w:r>
      <w:r w:rsidR="00A77B49" w:rsidRPr="00814D13">
        <w:rPr>
          <w:rFonts w:cs="Times New Roman"/>
          <w:szCs w:val="24"/>
        </w:rPr>
        <w:t xml:space="preserve"> mir</w:t>
      </w:r>
      <w:r w:rsidR="00214403">
        <w:rPr>
          <w:rFonts w:cs="Times New Roman"/>
          <w:szCs w:val="24"/>
        </w:rPr>
        <w:t>čių</w:t>
      </w:r>
      <w:r w:rsidR="00A77B49" w:rsidRPr="00814D13">
        <w:rPr>
          <w:rFonts w:cs="Times New Roman"/>
          <w:szCs w:val="24"/>
        </w:rPr>
        <w:t xml:space="preserve"> </w:t>
      </w:r>
      <w:r w:rsidR="00214403">
        <w:rPr>
          <w:rFonts w:cs="Times New Roman"/>
          <w:szCs w:val="24"/>
        </w:rPr>
        <w:t>galėjo nebūti</w:t>
      </w:r>
      <w:r w:rsidR="00A77B49" w:rsidRPr="00814D13">
        <w:rPr>
          <w:rFonts w:cs="Times New Roman"/>
          <w:szCs w:val="24"/>
        </w:rPr>
        <w:t xml:space="preserve">. </w:t>
      </w:r>
    </w:p>
    <w:p w:rsidR="00A77B49" w:rsidRPr="00814D13" w:rsidRDefault="00A77B49" w:rsidP="00A77B49">
      <w:pPr>
        <w:rPr>
          <w:rFonts w:cs="Times New Roman"/>
          <w:szCs w:val="24"/>
        </w:rPr>
      </w:pPr>
      <w:r w:rsidRPr="00814D13">
        <w:rPr>
          <w:rFonts w:cs="Times New Roman"/>
          <w:szCs w:val="24"/>
        </w:rPr>
        <w:t>Standartizuoto mirtingumo dėl apsinuodijimo alkoholiu (X45) 100 000 gyv. rodiklis Kauno miesto savivaldybėje 2005</w:t>
      </w:r>
      <w:r w:rsidR="00214403">
        <w:rPr>
          <w:rFonts w:cs="Times New Roman"/>
          <w:szCs w:val="24"/>
        </w:rPr>
        <w:t>–</w:t>
      </w:r>
      <w:r w:rsidRPr="00814D13">
        <w:rPr>
          <w:rFonts w:cs="Times New Roman"/>
          <w:szCs w:val="24"/>
        </w:rPr>
        <w:t xml:space="preserve">2011 m. laikotarpiu buvo didesnis nei Lietuvos, tačiau nuo 2012 m. susilygino </w:t>
      </w:r>
      <w:r w:rsidR="00EB3147">
        <w:rPr>
          <w:rFonts w:cs="Times New Roman"/>
          <w:szCs w:val="24"/>
        </w:rPr>
        <w:t>ir skyrėsi ne</w:t>
      </w:r>
      <w:r w:rsidR="00214403">
        <w:rPr>
          <w:rFonts w:cs="Times New Roman"/>
          <w:szCs w:val="24"/>
        </w:rPr>
        <w:t>daug</w:t>
      </w:r>
      <w:r w:rsidRPr="00814D13">
        <w:rPr>
          <w:rFonts w:cs="Times New Roman"/>
          <w:szCs w:val="24"/>
        </w:rPr>
        <w:t xml:space="preserve"> (1 pav.).  2014 m. šis rodiklis jau buvo beveik tris kartus mažesnis nei 2005 m.  </w:t>
      </w:r>
    </w:p>
    <w:p w:rsidR="00A77B49" w:rsidRPr="00814D13" w:rsidRDefault="00A77B49" w:rsidP="00E5393A">
      <w:pPr>
        <w:spacing w:line="240" w:lineRule="auto"/>
        <w:jc w:val="center"/>
        <w:rPr>
          <w:rFonts w:cs="Times New Roman"/>
          <w:szCs w:val="24"/>
        </w:rPr>
      </w:pPr>
      <w:r w:rsidRPr="00814D13">
        <w:rPr>
          <w:noProof/>
          <w:lang w:eastAsia="lt-LT"/>
        </w:rPr>
        <w:drawing>
          <wp:inline distT="0" distB="0" distL="0" distR="0" wp14:anchorId="2057330B" wp14:editId="4C4E009E">
            <wp:extent cx="4611757" cy="2035534"/>
            <wp:effectExtent l="0" t="0" r="0" b="317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7B49" w:rsidRPr="00814D13" w:rsidRDefault="008912C0" w:rsidP="00A77B49">
      <w:pPr>
        <w:spacing w:line="240" w:lineRule="auto"/>
        <w:rPr>
          <w:rFonts w:cs="Times New Roman"/>
        </w:rPr>
      </w:pPr>
      <w:r>
        <w:rPr>
          <w:rFonts w:cs="Times New Roman"/>
        </w:rPr>
        <w:t xml:space="preserve">1 </w:t>
      </w:r>
      <w:r w:rsidR="00A77B49" w:rsidRPr="00814D13">
        <w:rPr>
          <w:rFonts w:cs="Times New Roman"/>
        </w:rPr>
        <w:t>pav. Standartizuotas mirtingumas dėl apsinuodijimo alkoholiu 100 000 gyv. Kauno miesto savivaldybėje ir Lietuvoje 2005</w:t>
      </w:r>
      <w:r w:rsidR="00214403">
        <w:rPr>
          <w:rFonts w:cs="Times New Roman"/>
        </w:rPr>
        <w:t>–</w:t>
      </w:r>
      <w:r w:rsidR="00A77B49" w:rsidRPr="00814D13">
        <w:rPr>
          <w:rFonts w:cs="Times New Roman"/>
        </w:rPr>
        <w:t xml:space="preserve">2014 m. </w:t>
      </w:r>
    </w:p>
    <w:p w:rsidR="00A77B49" w:rsidRPr="00814D13" w:rsidRDefault="00A77B49" w:rsidP="00A77B49">
      <w:pPr>
        <w:spacing w:line="240" w:lineRule="auto"/>
        <w:rPr>
          <w:rFonts w:cs="Times New Roman"/>
          <w:i/>
        </w:rPr>
      </w:pPr>
      <w:r w:rsidRPr="00814D13">
        <w:rPr>
          <w:rFonts w:cs="Times New Roman"/>
          <w:i/>
        </w:rPr>
        <w:t xml:space="preserve">Šaltinis: Higienos instituto </w:t>
      </w:r>
      <w:r w:rsidR="00214403">
        <w:rPr>
          <w:rFonts w:cs="Times New Roman"/>
          <w:i/>
        </w:rPr>
        <w:t>S</w:t>
      </w:r>
      <w:r w:rsidRPr="00814D13">
        <w:rPr>
          <w:rFonts w:cs="Times New Roman"/>
          <w:i/>
        </w:rPr>
        <w:t>veikatos informacijos centras</w:t>
      </w:r>
    </w:p>
    <w:p w:rsidR="00A77B49" w:rsidRPr="00814D13" w:rsidRDefault="00A77B49" w:rsidP="00A77B49">
      <w:pPr>
        <w:rPr>
          <w:rFonts w:cs="Times New Roman"/>
          <w:szCs w:val="24"/>
        </w:rPr>
      </w:pP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Vertinant alkoholio ir tabako gaminių prieinamumą</w:t>
      </w:r>
      <w:r w:rsidR="00214403">
        <w:rPr>
          <w:rFonts w:cs="Times New Roman"/>
          <w:szCs w:val="24"/>
        </w:rPr>
        <w:t>,</w:t>
      </w:r>
      <w:r w:rsidR="00A77B49" w:rsidRPr="00814D13">
        <w:rPr>
          <w:rFonts w:cs="Times New Roman"/>
          <w:szCs w:val="24"/>
        </w:rPr>
        <w:t xml:space="preserve"> svarbu atsižvelgti į tai, ki</w:t>
      </w:r>
      <w:r w:rsidR="00EB3147">
        <w:rPr>
          <w:rFonts w:cs="Times New Roman"/>
          <w:szCs w:val="24"/>
        </w:rPr>
        <w:t>ek gyventojų tenka vienai licenc</w:t>
      </w:r>
      <w:r w:rsidR="00A77B49" w:rsidRPr="00814D13">
        <w:rPr>
          <w:rFonts w:cs="Times New Roman"/>
          <w:szCs w:val="24"/>
        </w:rPr>
        <w:t>ijai verstis mažmenine</w:t>
      </w:r>
      <w:r w:rsidR="00EB3147">
        <w:rPr>
          <w:rFonts w:cs="Times New Roman"/>
          <w:szCs w:val="24"/>
        </w:rPr>
        <w:t xml:space="preserve"> prekyba</w:t>
      </w:r>
      <w:r w:rsidR="00A77B49" w:rsidRPr="00814D13">
        <w:rPr>
          <w:rFonts w:cs="Times New Roman"/>
          <w:szCs w:val="24"/>
        </w:rPr>
        <w:t xml:space="preserve"> alkoholio ar tabako gaminiais. Kau</w:t>
      </w:r>
      <w:r w:rsidR="00EB3147">
        <w:rPr>
          <w:rFonts w:cs="Times New Roman"/>
          <w:szCs w:val="24"/>
        </w:rPr>
        <w:t xml:space="preserve">no mieste  2014 m. </w:t>
      </w:r>
      <w:r w:rsidR="00214403">
        <w:rPr>
          <w:rFonts w:cs="Times New Roman"/>
          <w:szCs w:val="24"/>
        </w:rPr>
        <w:t>v</w:t>
      </w:r>
      <w:r w:rsidR="00EB3147">
        <w:rPr>
          <w:rFonts w:cs="Times New Roman"/>
          <w:szCs w:val="24"/>
        </w:rPr>
        <w:t>ienai licenc</w:t>
      </w:r>
      <w:r w:rsidR="00A77B49" w:rsidRPr="00814D13">
        <w:rPr>
          <w:rFonts w:cs="Times New Roman"/>
          <w:szCs w:val="24"/>
        </w:rPr>
        <w:t>ijai verstis mažmenine prekyba tabako gaminiais teko 160 gyventojų (Lietuvos vi</w:t>
      </w:r>
      <w:r w:rsidR="00EB3147">
        <w:rPr>
          <w:rFonts w:cs="Times New Roman"/>
          <w:szCs w:val="24"/>
        </w:rPr>
        <w:t>durkis – 174 gyventojai). Licenc</w:t>
      </w:r>
      <w:r w:rsidR="00A77B49" w:rsidRPr="00814D13">
        <w:rPr>
          <w:rFonts w:cs="Times New Roman"/>
          <w:szCs w:val="24"/>
        </w:rPr>
        <w:t>ijų, leidžiančių verstis mažmenine prekyba alkoholio gaminiais</w:t>
      </w:r>
      <w:r w:rsidR="00214403">
        <w:rPr>
          <w:rFonts w:cs="Times New Roman"/>
          <w:szCs w:val="24"/>
        </w:rPr>
        <w:t>,</w:t>
      </w:r>
      <w:r w:rsidR="00A77B49" w:rsidRPr="00814D13">
        <w:rPr>
          <w:rFonts w:cs="Times New Roman"/>
          <w:szCs w:val="24"/>
        </w:rPr>
        <w:t xml:space="preserve"> Kauno miesto savivaldybėje buvo išduota daugiau, nei skirtų verstis prekyba tabako gaminiais. 20</w:t>
      </w:r>
      <w:r w:rsidR="00EB3147">
        <w:rPr>
          <w:rFonts w:cs="Times New Roman"/>
          <w:szCs w:val="24"/>
        </w:rPr>
        <w:t>14 m. vienai licenc</w:t>
      </w:r>
      <w:r w:rsidR="00A77B49" w:rsidRPr="00814D13">
        <w:rPr>
          <w:rFonts w:cs="Times New Roman"/>
          <w:szCs w:val="24"/>
        </w:rPr>
        <w:t>ijai verstis mažmenine prekyba a</w:t>
      </w:r>
      <w:r w:rsidR="00EB3147">
        <w:rPr>
          <w:rFonts w:cs="Times New Roman"/>
          <w:szCs w:val="24"/>
        </w:rPr>
        <w:t>l</w:t>
      </w:r>
      <w:r w:rsidR="00A77B49" w:rsidRPr="00814D13">
        <w:rPr>
          <w:rFonts w:cs="Times New Roman"/>
          <w:szCs w:val="24"/>
        </w:rPr>
        <w:t>koholio gaminiais teko 131 gyventojas.</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Neteisėtas narkotikų ir psichotropinių medžiagų vartojimas turi įtakos psichikos ir elgesio sutrikimams, apsinuodijimams, užkrečiamųjų ligų ir įgyto imuninio nepakankamumo sindromo (ŽIV ir AIDS) plitimui, nusikalstamumo, traumų ir savižudybių skaičiaus didėjimui ir su tuo susijusiam mirtingumui. 2014 m. nusikalstamų veikų, susijusių su disponavimu narkotinėmis medžiagomis ir jų kontrabanda</w:t>
      </w:r>
      <w:r w:rsidR="00214403">
        <w:rPr>
          <w:rFonts w:cs="Times New Roman"/>
          <w:szCs w:val="24"/>
        </w:rPr>
        <w:t>,</w:t>
      </w:r>
      <w:r w:rsidR="00A77B49" w:rsidRPr="00814D13">
        <w:rPr>
          <w:rFonts w:cs="Times New Roman"/>
          <w:szCs w:val="24"/>
        </w:rPr>
        <w:t xml:space="preserve"> rodiklis Kauno mieste buvo 40 proc. mažesnis nei Lietuvos vidurkis. Standartizuotas mirtingumas dėl priežasčių, susijusių su narkotikų vartojimu</w:t>
      </w:r>
      <w:r w:rsidR="00133EE7">
        <w:rPr>
          <w:rFonts w:cs="Times New Roman"/>
          <w:szCs w:val="24"/>
        </w:rPr>
        <w:t>,</w:t>
      </w:r>
      <w:r w:rsidR="00A77B49" w:rsidRPr="00814D13">
        <w:rPr>
          <w:rFonts w:cs="Times New Roman"/>
          <w:szCs w:val="24"/>
        </w:rPr>
        <w:t xml:space="preserve"> Kauno miesto savivaldybėje buvo </w:t>
      </w:r>
      <w:r w:rsidR="0066716F">
        <w:rPr>
          <w:rFonts w:cs="Times New Roman"/>
          <w:szCs w:val="24"/>
        </w:rPr>
        <w:t xml:space="preserve">          </w:t>
      </w:r>
      <w:r w:rsidR="00A77B49" w:rsidRPr="00814D13">
        <w:rPr>
          <w:rFonts w:cs="Times New Roman"/>
          <w:szCs w:val="24"/>
        </w:rPr>
        <w:t xml:space="preserve">6 kartus mažesnis nei mirtingumas, sąlygotas alkoholio vartojimo. 2014 m. dėl narkotikų vartojimo sąlygotų priežasčių mirė 5 asmenys (mirtingumo rodiklis – 3,3/100 000 gyv.). </w:t>
      </w:r>
      <w:r w:rsidR="00A77B49" w:rsidRPr="0066716F">
        <w:rPr>
          <w:rFonts w:cs="Times New Roman"/>
          <w:spacing w:val="-4"/>
          <w:szCs w:val="24"/>
        </w:rPr>
        <w:t>Visi mirusieji – 18</w:t>
      </w:r>
      <w:r w:rsidR="00133EE7" w:rsidRPr="0066716F">
        <w:rPr>
          <w:rFonts w:cs="Times New Roman"/>
          <w:spacing w:val="-4"/>
          <w:szCs w:val="24"/>
        </w:rPr>
        <w:t>–</w:t>
      </w:r>
      <w:r w:rsidR="00A77B49" w:rsidRPr="0066716F">
        <w:rPr>
          <w:rFonts w:cs="Times New Roman"/>
          <w:spacing w:val="-4"/>
          <w:szCs w:val="24"/>
        </w:rPr>
        <w:t>44 m.</w:t>
      </w:r>
      <w:r w:rsidR="00A77B49" w:rsidRPr="00814D13">
        <w:rPr>
          <w:rFonts w:cs="Times New Roman"/>
          <w:szCs w:val="24"/>
        </w:rPr>
        <w:t xml:space="preserve"> amžiaus asmenys.</w:t>
      </w:r>
    </w:p>
    <w:p w:rsidR="00A77B49" w:rsidRDefault="00A77B49" w:rsidP="00A77B49">
      <w:pPr>
        <w:rPr>
          <w:rFonts w:cs="Times New Roman"/>
          <w:szCs w:val="24"/>
        </w:rPr>
      </w:pPr>
    </w:p>
    <w:p w:rsidR="00C83A68" w:rsidRPr="00814D13" w:rsidRDefault="00C83A68"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E5393A">
        <w:trPr>
          <w:trHeight w:val="523"/>
        </w:trPr>
        <w:tc>
          <w:tcPr>
            <w:tcW w:w="9854" w:type="dxa"/>
            <w:gridSpan w:val="7"/>
            <w:shd w:val="clear" w:color="auto" w:fill="F2DBDB" w:themeFill="accent2" w:themeFillTint="33"/>
            <w:vAlign w:val="center"/>
          </w:tcPr>
          <w:p w:rsidR="00A77B49" w:rsidRPr="00814D13" w:rsidRDefault="00A77B49" w:rsidP="00E5393A">
            <w:pPr>
              <w:jc w:val="left"/>
              <w:rPr>
                <w:rFonts w:cs="Times New Roman"/>
                <w:szCs w:val="24"/>
              </w:rPr>
            </w:pPr>
            <w:r w:rsidRPr="00814D13">
              <w:rPr>
                <w:rFonts w:cs="Times New Roman"/>
                <w:szCs w:val="24"/>
              </w:rPr>
              <w:lastRenderedPageBreak/>
              <w:t>3.2. Skatinti sveikos mitybos įpročius</w:t>
            </w:r>
          </w:p>
        </w:tc>
      </w:tr>
      <w:tr w:rsidR="00A77B49" w:rsidRPr="00814D13" w:rsidTr="00FC5A2A">
        <w:trPr>
          <w:trHeight w:val="416"/>
        </w:trPr>
        <w:tc>
          <w:tcPr>
            <w:tcW w:w="2660"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Rodiklis</w:t>
            </w:r>
          </w:p>
        </w:tc>
        <w:tc>
          <w:tcPr>
            <w:tcW w:w="1417"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Savivaldybės rodiklis</w:t>
            </w:r>
          </w:p>
          <w:p w:rsidR="00A77B49" w:rsidRPr="00814D13" w:rsidRDefault="00A77B49" w:rsidP="001A1F25">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Lietuvos rodiklis</w:t>
            </w:r>
          </w:p>
          <w:p w:rsidR="00A77B49" w:rsidRPr="00814D13" w:rsidRDefault="00A77B49" w:rsidP="001A1F25">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Minimali reikšmė</w:t>
            </w:r>
          </w:p>
          <w:p w:rsidR="00A77B49" w:rsidRPr="00814D13" w:rsidRDefault="00A77B49" w:rsidP="001A1F25">
            <w:pPr>
              <w:spacing w:line="240" w:lineRule="auto"/>
              <w:jc w:val="center"/>
              <w:rPr>
                <w:rFonts w:cs="Times New Roman"/>
                <w:sz w:val="20"/>
                <w:szCs w:val="20"/>
              </w:rPr>
            </w:pPr>
          </w:p>
        </w:tc>
        <w:tc>
          <w:tcPr>
            <w:tcW w:w="1134" w:type="dxa"/>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Maksimali reikšmė</w:t>
            </w:r>
          </w:p>
          <w:p w:rsidR="00A77B49" w:rsidRPr="00814D13" w:rsidRDefault="00A77B49" w:rsidP="001A1F25">
            <w:pPr>
              <w:spacing w:line="240" w:lineRule="auto"/>
              <w:jc w:val="center"/>
              <w:rPr>
                <w:rFonts w:cs="Times New Roman"/>
                <w:sz w:val="20"/>
                <w:szCs w:val="20"/>
              </w:rPr>
            </w:pPr>
          </w:p>
        </w:tc>
        <w:tc>
          <w:tcPr>
            <w:tcW w:w="1241" w:type="dxa"/>
            <w:tcBorders>
              <w:bottom w:val="single" w:sz="4" w:space="0" w:color="auto"/>
            </w:tcBorders>
            <w:shd w:val="clear" w:color="auto" w:fill="F2DBDB" w:themeFill="accent2" w:themeFillTint="33"/>
            <w:vAlign w:val="center"/>
          </w:tcPr>
          <w:p w:rsidR="00A77B49" w:rsidRPr="00814D13" w:rsidRDefault="00A77B49" w:rsidP="001A1F25">
            <w:pPr>
              <w:spacing w:line="240" w:lineRule="auto"/>
              <w:jc w:val="center"/>
              <w:rPr>
                <w:rFonts w:cs="Times New Roman"/>
                <w:sz w:val="20"/>
                <w:szCs w:val="20"/>
              </w:rPr>
            </w:pPr>
            <w:r w:rsidRPr="00814D13">
              <w:rPr>
                <w:rFonts w:cs="Times New Roman"/>
                <w:sz w:val="20"/>
                <w:szCs w:val="20"/>
              </w:rPr>
              <w:t>Santykis:</w:t>
            </w:r>
          </w:p>
          <w:p w:rsidR="00A77B49" w:rsidRPr="00814D13" w:rsidRDefault="00A77B49" w:rsidP="001A1F25">
            <w:pPr>
              <w:spacing w:line="240" w:lineRule="auto"/>
              <w:jc w:val="center"/>
              <w:rPr>
                <w:rFonts w:cs="Times New Roman"/>
                <w:sz w:val="20"/>
                <w:szCs w:val="20"/>
              </w:rPr>
            </w:pPr>
            <w:r w:rsidRPr="00814D13">
              <w:rPr>
                <w:rFonts w:cs="Times New Roman"/>
                <w:sz w:val="20"/>
                <w:szCs w:val="20"/>
              </w:rPr>
              <w:t>savivaldybė/Lietuva</w:t>
            </w:r>
          </w:p>
          <w:p w:rsidR="00A77B49" w:rsidRPr="00814D13" w:rsidRDefault="00A77B49" w:rsidP="001A1F25">
            <w:pPr>
              <w:spacing w:line="240" w:lineRule="auto"/>
              <w:jc w:val="center"/>
              <w:rPr>
                <w:rFonts w:cs="Times New Roman"/>
                <w:sz w:val="20"/>
                <w:szCs w:val="20"/>
              </w:rPr>
            </w:pP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Kūdikių, išimtinai žindytų iki 6 mėn. amžiaus, dalis (proc.)</w:t>
            </w:r>
          </w:p>
        </w:tc>
        <w:tc>
          <w:tcPr>
            <w:tcW w:w="1417" w:type="dxa"/>
            <w:noWrap/>
            <w:vAlign w:val="center"/>
          </w:tcPr>
          <w:p w:rsidR="00A77B49" w:rsidRPr="00814D13" w:rsidRDefault="00A77B49" w:rsidP="00E5393A">
            <w:pPr>
              <w:jc w:val="center"/>
              <w:rPr>
                <w:rFonts w:eastAsia="Times New Roman" w:cs="Times New Roman"/>
                <w:color w:val="000000"/>
                <w:sz w:val="20"/>
                <w:szCs w:val="20"/>
                <w:lang w:eastAsia="lt-LT"/>
              </w:rPr>
            </w:pPr>
          </w:p>
        </w:tc>
        <w:tc>
          <w:tcPr>
            <w:tcW w:w="1418" w:type="dxa"/>
            <w:noWrap/>
            <w:vAlign w:val="center"/>
          </w:tcPr>
          <w:p w:rsidR="00A77B49" w:rsidRPr="00814D13" w:rsidRDefault="00A77B49" w:rsidP="00E5393A">
            <w:pPr>
              <w:jc w:val="center"/>
              <w:rPr>
                <w:rFonts w:cs="Times New Roman"/>
                <w:color w:val="000000"/>
                <w:sz w:val="20"/>
                <w:szCs w:val="20"/>
              </w:rPr>
            </w:pPr>
            <w:r w:rsidRPr="00814D13">
              <w:rPr>
                <w:rFonts w:cs="Times New Roman"/>
                <w:color w:val="000000"/>
                <w:sz w:val="20"/>
                <w:szCs w:val="20"/>
              </w:rPr>
              <w:t>37,82</w:t>
            </w:r>
          </w:p>
        </w:tc>
        <w:tc>
          <w:tcPr>
            <w:tcW w:w="992" w:type="dxa"/>
            <w:noWrap/>
            <w:vAlign w:val="center"/>
          </w:tcPr>
          <w:p w:rsidR="00A77B49" w:rsidRPr="00814D13" w:rsidRDefault="00A77B49" w:rsidP="00E5393A">
            <w:pPr>
              <w:jc w:val="center"/>
              <w:rPr>
                <w:rFonts w:cs="Times New Roman"/>
                <w:color w:val="000000"/>
                <w:sz w:val="20"/>
                <w:szCs w:val="20"/>
              </w:rPr>
            </w:pPr>
            <w:r w:rsidRPr="00814D13">
              <w:rPr>
                <w:rFonts w:cs="Times New Roman"/>
                <w:color w:val="000000"/>
                <w:sz w:val="20"/>
                <w:szCs w:val="20"/>
              </w:rPr>
              <w:t>31,27</w:t>
            </w:r>
          </w:p>
        </w:tc>
        <w:tc>
          <w:tcPr>
            <w:tcW w:w="992" w:type="dxa"/>
            <w:noWrap/>
            <w:vAlign w:val="center"/>
          </w:tcPr>
          <w:p w:rsidR="00A77B49" w:rsidRPr="00814D13" w:rsidRDefault="00A77B49" w:rsidP="00E5393A">
            <w:pPr>
              <w:jc w:val="center"/>
              <w:rPr>
                <w:rFonts w:cs="Times New Roman"/>
                <w:color w:val="000000"/>
                <w:sz w:val="20"/>
                <w:szCs w:val="20"/>
              </w:rPr>
            </w:pPr>
            <w:r w:rsidRPr="00814D13">
              <w:rPr>
                <w:rFonts w:cs="Times New Roman"/>
                <w:color w:val="000000"/>
                <w:sz w:val="20"/>
                <w:szCs w:val="20"/>
              </w:rPr>
              <w:t>9,2</w:t>
            </w:r>
          </w:p>
        </w:tc>
        <w:tc>
          <w:tcPr>
            <w:tcW w:w="1134" w:type="dxa"/>
            <w:noWrap/>
            <w:vAlign w:val="center"/>
          </w:tcPr>
          <w:p w:rsidR="00A77B49" w:rsidRPr="00814D13" w:rsidRDefault="00A77B49" w:rsidP="00E5393A">
            <w:pPr>
              <w:jc w:val="center"/>
              <w:rPr>
                <w:rFonts w:cs="Times New Roman"/>
                <w:color w:val="000000"/>
                <w:sz w:val="20"/>
                <w:szCs w:val="20"/>
              </w:rPr>
            </w:pPr>
            <w:r w:rsidRPr="00814D13">
              <w:rPr>
                <w:rFonts w:cs="Times New Roman"/>
                <w:color w:val="000000"/>
                <w:sz w:val="20"/>
                <w:szCs w:val="20"/>
              </w:rPr>
              <w:t>44,9</w:t>
            </w:r>
          </w:p>
        </w:tc>
        <w:tc>
          <w:tcPr>
            <w:tcW w:w="1241" w:type="dxa"/>
            <w:shd w:val="clear" w:color="auto" w:fill="92D050"/>
            <w:noWrap/>
            <w:vAlign w:val="center"/>
          </w:tcPr>
          <w:p w:rsidR="00A77B49" w:rsidRPr="00814D13" w:rsidRDefault="00A77B49" w:rsidP="00E5393A">
            <w:pPr>
              <w:jc w:val="center"/>
              <w:rPr>
                <w:rFonts w:cs="Times New Roman"/>
                <w:color w:val="000000"/>
                <w:sz w:val="20"/>
                <w:szCs w:val="20"/>
              </w:rPr>
            </w:pPr>
            <w:r w:rsidRPr="00814D13">
              <w:rPr>
                <w:rFonts w:cs="Times New Roman"/>
                <w:color w:val="000000"/>
                <w:sz w:val="20"/>
                <w:szCs w:val="20"/>
              </w:rPr>
              <w:t>1,2</w:t>
            </w:r>
          </w:p>
        </w:tc>
      </w:tr>
    </w:tbl>
    <w:p w:rsidR="00E5393A" w:rsidRDefault="00E5393A" w:rsidP="00A77B49">
      <w:pPr>
        <w:rPr>
          <w:rFonts w:cs="Times New Roman"/>
          <w:szCs w:val="24"/>
        </w:rPr>
      </w:pP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Pasaulio sveikatos organizacija rekomenduoja kūdikius iki 6 mėn. maitinti vien motinos pienu. Maitinimas krūtimi naudingas ne tik kūdikiui (aprūpina visomis reikiamomis maistinėmis medžiagomis, vandeniu, antikūniais, hormonais ir antioksidantais, saugo nuo virškinimo sutrikimų, ligų), bet ir motinai. Vaikų, per 2014 metus sulaukusių vienerių metų amžiaus, skaičius Kauno mieste buvo 3 054.  Beveik 38 procentai jų iki 6 mėn. amžiaus buvo maitin</w:t>
      </w:r>
      <w:r w:rsidR="00EB3147">
        <w:rPr>
          <w:rFonts w:cs="Times New Roman"/>
          <w:szCs w:val="24"/>
        </w:rPr>
        <w:t xml:space="preserve">ami išimtinai tik motinos pienu. </w:t>
      </w:r>
      <w:r w:rsidR="00A77B49" w:rsidRPr="00814D13">
        <w:rPr>
          <w:rFonts w:cs="Times New Roman"/>
          <w:szCs w:val="24"/>
        </w:rPr>
        <w:t xml:space="preserve">Kūdikių, maitintų motinos pienu, dalis Kauno mieste buvo didesnė nei daugelyje kitų šalies savivaldybių. </w:t>
      </w:r>
    </w:p>
    <w:p w:rsidR="00DD66BD" w:rsidRDefault="00E5393A" w:rsidP="00E5393A">
      <w:pPr>
        <w:rPr>
          <w:rFonts w:cs="Times New Roman"/>
          <w:szCs w:val="24"/>
        </w:rPr>
      </w:pPr>
      <w:r>
        <w:rPr>
          <w:rFonts w:cs="Times New Roman"/>
          <w:szCs w:val="24"/>
        </w:rPr>
        <w:tab/>
      </w:r>
      <w:r w:rsidR="00A77B49" w:rsidRPr="00814D13">
        <w:rPr>
          <w:rFonts w:cs="Times New Roman"/>
          <w:szCs w:val="24"/>
        </w:rPr>
        <w:t>Suaugusių gyventojų mitybos tyrimų duomenimis, Lietuvoje beveik 18 proc. vyrų ir 20 proc. moterų yra nutukę, o antsvorį turi daugiau kaip 45 proc. vyrų ir daugiau kaip 34 proc. moterų. Nors Lietuvos gyventojų mitybos įpročiai kinta teigiama linkme – vartojama daugiau vaisių ir daržovių, mažiau gyvulinės kilmės riebalų, daugiau aliejaus, suaugusiųjų mityba vis dar nesubalansuota. Kauno mieste, kaip ir kitos</w:t>
      </w:r>
      <w:r w:rsidR="00EB3147">
        <w:rPr>
          <w:rFonts w:cs="Times New Roman"/>
          <w:szCs w:val="24"/>
        </w:rPr>
        <w:t>e šalies savivaldybėse, iki šiol</w:t>
      </w:r>
      <w:r w:rsidR="00A77B49" w:rsidRPr="00814D13">
        <w:rPr>
          <w:rFonts w:cs="Times New Roman"/>
          <w:szCs w:val="24"/>
        </w:rPr>
        <w:t xml:space="preserve"> nebuvo atlikti </w:t>
      </w:r>
      <w:r w:rsidR="00133EE7">
        <w:rPr>
          <w:rFonts w:cs="Times New Roman"/>
          <w:szCs w:val="24"/>
        </w:rPr>
        <w:t>bendri</w:t>
      </w:r>
      <w:r w:rsidR="00A77B49" w:rsidRPr="00814D13">
        <w:rPr>
          <w:rFonts w:cs="Times New Roman"/>
          <w:szCs w:val="24"/>
        </w:rPr>
        <w:t xml:space="preserve"> gyvensenos tyrimai, leidžiantys palyginti gyvensenos ir mitybos įpročius tarp skirtingų savivaldybių, tačiau šiuos tyrimus planuojama pradėti nuo 2016 m</w:t>
      </w:r>
      <w:r w:rsidR="001A1F25">
        <w:rPr>
          <w:rFonts w:cs="Times New Roman"/>
          <w:szCs w:val="24"/>
        </w:rPr>
        <w:t>etų</w:t>
      </w:r>
      <w:r w:rsidR="00A77B49" w:rsidRPr="00814D13">
        <w:rPr>
          <w:rFonts w:cs="Times New Roman"/>
          <w:szCs w:val="24"/>
        </w:rPr>
        <w:t xml:space="preserve">. </w:t>
      </w:r>
    </w:p>
    <w:tbl>
      <w:tblPr>
        <w:tblStyle w:val="Lentelstinklelis"/>
        <w:tblpPr w:leftFromText="180" w:rightFromText="180" w:vertAnchor="text" w:horzAnchor="margin" w:tblpY="191"/>
        <w:tblW w:w="0" w:type="auto"/>
        <w:tblLayout w:type="fixed"/>
        <w:tblLook w:val="04A0" w:firstRow="1" w:lastRow="0" w:firstColumn="1" w:lastColumn="0" w:noHBand="0" w:noVBand="1"/>
      </w:tblPr>
      <w:tblGrid>
        <w:gridCol w:w="2660"/>
        <w:gridCol w:w="1417"/>
        <w:gridCol w:w="1418"/>
        <w:gridCol w:w="992"/>
        <w:gridCol w:w="992"/>
        <w:gridCol w:w="1134"/>
        <w:gridCol w:w="1241"/>
      </w:tblGrid>
      <w:tr w:rsidR="00DD66BD" w:rsidRPr="00814D13" w:rsidTr="00DD66BD">
        <w:tc>
          <w:tcPr>
            <w:tcW w:w="9854" w:type="dxa"/>
            <w:gridSpan w:val="7"/>
            <w:shd w:val="clear" w:color="auto" w:fill="E5B8B7" w:themeFill="accent2" w:themeFillTint="66"/>
            <w:vAlign w:val="center"/>
          </w:tcPr>
          <w:p w:rsidR="00DD66BD" w:rsidRPr="00814D13" w:rsidRDefault="00DD66BD" w:rsidP="00DD66BD">
            <w:pPr>
              <w:spacing w:line="240" w:lineRule="auto"/>
              <w:jc w:val="left"/>
              <w:rPr>
                <w:rFonts w:cs="Times New Roman"/>
                <w:b/>
                <w:szCs w:val="24"/>
              </w:rPr>
            </w:pPr>
            <w:r w:rsidRPr="00814D13">
              <w:rPr>
                <w:rFonts w:cs="Times New Roman"/>
                <w:b/>
                <w:szCs w:val="24"/>
              </w:rPr>
              <w:t>4 TIKSLAS. UŽTIKRINTI KOKYBIŠKĄ IR EFEKTYVIĄ SVEIKATOS PRIEŽIŪRĄ, ORIENTUOTĄ Į GYVENTOJŲ POREIKIUS</w:t>
            </w:r>
          </w:p>
        </w:tc>
      </w:tr>
      <w:tr w:rsidR="00DD66BD" w:rsidRPr="00814D13" w:rsidTr="00DD66BD">
        <w:trPr>
          <w:trHeight w:val="523"/>
        </w:trPr>
        <w:tc>
          <w:tcPr>
            <w:tcW w:w="9854" w:type="dxa"/>
            <w:gridSpan w:val="7"/>
            <w:shd w:val="clear" w:color="auto" w:fill="F2DBDB" w:themeFill="accent2" w:themeFillTint="33"/>
            <w:vAlign w:val="center"/>
          </w:tcPr>
          <w:p w:rsidR="00DD66BD" w:rsidRPr="00814D13" w:rsidRDefault="00DD66BD" w:rsidP="00DD66BD">
            <w:pPr>
              <w:spacing w:line="240" w:lineRule="auto"/>
              <w:jc w:val="left"/>
              <w:rPr>
                <w:rFonts w:cs="Times New Roman"/>
                <w:szCs w:val="24"/>
              </w:rPr>
            </w:pPr>
            <w:r w:rsidRPr="00814D13">
              <w:rPr>
                <w:rFonts w:cs="Times New Roman"/>
                <w:szCs w:val="24"/>
              </w:rPr>
              <w:t>4.1. Užtikrinti sveikatos sistemos tvarumą ir kokybę, plėtojant sveikatos technologijas, kurių efektyvumas pagrįstas mokslo įrodymais</w:t>
            </w:r>
          </w:p>
        </w:tc>
      </w:tr>
      <w:tr w:rsidR="00DD66BD" w:rsidRPr="00814D13" w:rsidTr="00DD66BD">
        <w:trPr>
          <w:trHeight w:val="416"/>
        </w:trPr>
        <w:tc>
          <w:tcPr>
            <w:tcW w:w="2660"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Rodiklis</w:t>
            </w:r>
          </w:p>
        </w:tc>
        <w:tc>
          <w:tcPr>
            <w:tcW w:w="1417"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Savivaldybės rodiklis</w:t>
            </w:r>
          </w:p>
          <w:p w:rsidR="00DD66BD" w:rsidRPr="00814D13" w:rsidRDefault="00DD66BD" w:rsidP="00DD66BD">
            <w:pPr>
              <w:spacing w:line="240" w:lineRule="auto"/>
              <w:jc w:val="center"/>
              <w:rPr>
                <w:rFonts w:cs="Times New Roman"/>
                <w:sz w:val="20"/>
                <w:szCs w:val="20"/>
              </w:rPr>
            </w:pPr>
          </w:p>
        </w:tc>
        <w:tc>
          <w:tcPr>
            <w:tcW w:w="992"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Lietuvos rodiklis</w:t>
            </w:r>
          </w:p>
          <w:p w:rsidR="00DD66BD" w:rsidRPr="00814D13" w:rsidRDefault="00DD66BD" w:rsidP="00DD66BD">
            <w:pPr>
              <w:spacing w:line="240" w:lineRule="auto"/>
              <w:jc w:val="center"/>
              <w:rPr>
                <w:rFonts w:cs="Times New Roman"/>
                <w:sz w:val="20"/>
                <w:szCs w:val="20"/>
              </w:rPr>
            </w:pPr>
          </w:p>
        </w:tc>
        <w:tc>
          <w:tcPr>
            <w:tcW w:w="992"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Minimali reikšmė</w:t>
            </w:r>
          </w:p>
          <w:p w:rsidR="00DD66BD" w:rsidRPr="00814D13" w:rsidRDefault="00DD66BD" w:rsidP="00DD66BD">
            <w:pPr>
              <w:spacing w:line="240" w:lineRule="auto"/>
              <w:jc w:val="center"/>
              <w:rPr>
                <w:rFonts w:cs="Times New Roman"/>
                <w:sz w:val="20"/>
                <w:szCs w:val="20"/>
              </w:rPr>
            </w:pPr>
          </w:p>
        </w:tc>
        <w:tc>
          <w:tcPr>
            <w:tcW w:w="1134"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Maksimali reikšmė</w:t>
            </w:r>
          </w:p>
          <w:p w:rsidR="00DD66BD" w:rsidRPr="00814D13" w:rsidRDefault="00DD66BD" w:rsidP="00DD66BD">
            <w:pPr>
              <w:spacing w:line="240" w:lineRule="auto"/>
              <w:jc w:val="center"/>
              <w:rPr>
                <w:rFonts w:cs="Times New Roman"/>
                <w:sz w:val="20"/>
                <w:szCs w:val="20"/>
              </w:rPr>
            </w:pPr>
          </w:p>
        </w:tc>
        <w:tc>
          <w:tcPr>
            <w:tcW w:w="1241" w:type="dxa"/>
            <w:shd w:val="clear" w:color="auto" w:fill="F2DBDB" w:themeFill="accent2" w:themeFillTint="33"/>
            <w:vAlign w:val="center"/>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Santykis:</w:t>
            </w:r>
          </w:p>
          <w:p w:rsidR="00DD66BD" w:rsidRPr="00814D13" w:rsidRDefault="00DD66BD" w:rsidP="00DD66BD">
            <w:pPr>
              <w:spacing w:line="240" w:lineRule="auto"/>
              <w:jc w:val="center"/>
              <w:rPr>
                <w:rFonts w:cs="Times New Roman"/>
                <w:sz w:val="20"/>
                <w:szCs w:val="20"/>
              </w:rPr>
            </w:pPr>
            <w:r w:rsidRPr="00814D13">
              <w:rPr>
                <w:rFonts w:cs="Times New Roman"/>
                <w:sz w:val="20"/>
                <w:szCs w:val="20"/>
              </w:rPr>
              <w:t>savivaldybė/Lietuva</w:t>
            </w:r>
          </w:p>
          <w:p w:rsidR="00DD66BD" w:rsidRPr="00814D13" w:rsidRDefault="00DD66BD" w:rsidP="00DD66BD">
            <w:pPr>
              <w:spacing w:line="240" w:lineRule="auto"/>
              <w:jc w:val="center"/>
              <w:rPr>
                <w:rFonts w:cs="Times New Roman"/>
                <w:sz w:val="20"/>
                <w:szCs w:val="20"/>
              </w:rPr>
            </w:pPr>
          </w:p>
        </w:tc>
      </w:tr>
      <w:tr w:rsidR="00DD66BD" w:rsidRPr="00814D13" w:rsidTr="00DD66BD">
        <w:trPr>
          <w:trHeight w:val="315"/>
        </w:trPr>
        <w:tc>
          <w:tcPr>
            <w:tcW w:w="2660" w:type="dxa"/>
            <w:noWrap/>
            <w:hideMark/>
          </w:tcPr>
          <w:p w:rsidR="00DD66BD" w:rsidRPr="00814D13" w:rsidRDefault="00DD66BD"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Išvengiamų hospital</w:t>
            </w:r>
            <w:r w:rsidR="00C83A68">
              <w:rPr>
                <w:rFonts w:eastAsia="Times New Roman" w:cs="Times New Roman"/>
                <w:color w:val="000000"/>
                <w:sz w:val="20"/>
                <w:szCs w:val="20"/>
                <w:lang w:eastAsia="lt-LT"/>
              </w:rPr>
              <w:t>izacijų sk. 1 000 gyv</w:t>
            </w:r>
            <w:r w:rsidRPr="00814D13">
              <w:rPr>
                <w:rFonts w:eastAsia="Times New Roman" w:cs="Times New Roman"/>
                <w:color w:val="000000"/>
                <w:sz w:val="20"/>
                <w:szCs w:val="20"/>
                <w:lang w:eastAsia="lt-LT"/>
              </w:rPr>
              <w:t>.</w:t>
            </w:r>
          </w:p>
        </w:tc>
        <w:tc>
          <w:tcPr>
            <w:tcW w:w="1417" w:type="dxa"/>
            <w:noWrap/>
            <w:vAlign w:val="center"/>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9982</w:t>
            </w:r>
          </w:p>
        </w:tc>
        <w:tc>
          <w:tcPr>
            <w:tcW w:w="1418" w:type="dxa"/>
            <w:noWrap/>
            <w:vAlign w:val="center"/>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32,98</w:t>
            </w:r>
          </w:p>
        </w:tc>
        <w:tc>
          <w:tcPr>
            <w:tcW w:w="992" w:type="dxa"/>
            <w:noWrap/>
            <w:vAlign w:val="center"/>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33,38</w:t>
            </w:r>
          </w:p>
        </w:tc>
        <w:tc>
          <w:tcPr>
            <w:tcW w:w="992" w:type="dxa"/>
            <w:noWrap/>
            <w:vAlign w:val="center"/>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19</w:t>
            </w:r>
          </w:p>
        </w:tc>
        <w:tc>
          <w:tcPr>
            <w:tcW w:w="1134" w:type="dxa"/>
            <w:noWrap/>
            <w:vAlign w:val="center"/>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56,2</w:t>
            </w:r>
          </w:p>
        </w:tc>
        <w:tc>
          <w:tcPr>
            <w:tcW w:w="1241" w:type="dxa"/>
            <w:shd w:val="clear" w:color="auto" w:fill="FFFF00"/>
            <w:noWrap/>
            <w:vAlign w:val="center"/>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1</w:t>
            </w:r>
          </w:p>
        </w:tc>
      </w:tr>
      <w:tr w:rsidR="00DD66BD" w:rsidRPr="00814D13" w:rsidTr="00DD66BD">
        <w:trPr>
          <w:trHeight w:val="402"/>
        </w:trPr>
        <w:tc>
          <w:tcPr>
            <w:tcW w:w="2660" w:type="dxa"/>
            <w:hideMark/>
          </w:tcPr>
          <w:p w:rsidR="00DD66BD" w:rsidRPr="00814D13" w:rsidRDefault="00DD66BD"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Išvengiamų hospitalizacijų dėl diabeto ir jo kompl</w:t>
            </w:r>
            <w:r w:rsidR="00C83A68">
              <w:rPr>
                <w:rFonts w:eastAsia="Times New Roman" w:cs="Times New Roman"/>
                <w:color w:val="000000"/>
                <w:sz w:val="20"/>
                <w:szCs w:val="20"/>
                <w:lang w:eastAsia="lt-LT"/>
              </w:rPr>
              <w:t>ikacijų sk. 1 000 gyv</w:t>
            </w:r>
            <w:r w:rsidRPr="00814D13">
              <w:rPr>
                <w:rFonts w:eastAsia="Times New Roman" w:cs="Times New Roman"/>
                <w:color w:val="000000"/>
                <w:sz w:val="20"/>
                <w:szCs w:val="20"/>
                <w:lang w:eastAsia="lt-LT"/>
              </w:rPr>
              <w:t>.</w:t>
            </w:r>
          </w:p>
        </w:tc>
        <w:tc>
          <w:tcPr>
            <w:tcW w:w="1417" w:type="dxa"/>
            <w:vAlign w:val="center"/>
            <w:hideMark/>
          </w:tcPr>
          <w:p w:rsidR="00DD66BD" w:rsidRPr="00814D13" w:rsidRDefault="00DD66BD" w:rsidP="00DD66BD">
            <w:pPr>
              <w:spacing w:line="240" w:lineRule="auto"/>
              <w:jc w:val="center"/>
              <w:rPr>
                <w:rFonts w:cs="Times New Roman"/>
                <w:color w:val="000000"/>
                <w:sz w:val="20"/>
                <w:szCs w:val="20"/>
              </w:rPr>
            </w:pPr>
            <w:r w:rsidRPr="00814D13">
              <w:rPr>
                <w:rFonts w:cs="Times New Roman"/>
                <w:color w:val="000000"/>
                <w:sz w:val="20"/>
                <w:szCs w:val="20"/>
              </w:rPr>
              <w:t>1884</w:t>
            </w:r>
          </w:p>
        </w:tc>
        <w:tc>
          <w:tcPr>
            <w:tcW w:w="1418" w:type="dxa"/>
            <w:noWrap/>
            <w:vAlign w:val="center"/>
            <w:hideMark/>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7,52</w:t>
            </w:r>
          </w:p>
        </w:tc>
        <w:tc>
          <w:tcPr>
            <w:tcW w:w="992" w:type="dxa"/>
            <w:noWrap/>
            <w:vAlign w:val="center"/>
            <w:hideMark/>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5,6</w:t>
            </w:r>
          </w:p>
        </w:tc>
        <w:tc>
          <w:tcPr>
            <w:tcW w:w="992" w:type="dxa"/>
            <w:noWrap/>
            <w:vAlign w:val="center"/>
            <w:hideMark/>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3,5</w:t>
            </w:r>
          </w:p>
        </w:tc>
        <w:tc>
          <w:tcPr>
            <w:tcW w:w="1134" w:type="dxa"/>
            <w:noWrap/>
            <w:vAlign w:val="center"/>
            <w:hideMark/>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8,7</w:t>
            </w:r>
          </w:p>
        </w:tc>
        <w:tc>
          <w:tcPr>
            <w:tcW w:w="1241" w:type="dxa"/>
            <w:shd w:val="clear" w:color="auto" w:fill="FFFF00"/>
            <w:noWrap/>
            <w:vAlign w:val="center"/>
            <w:hideMark/>
          </w:tcPr>
          <w:p w:rsidR="00DD66BD" w:rsidRPr="00814D13" w:rsidRDefault="00DD66BD" w:rsidP="00DD66BD">
            <w:pPr>
              <w:spacing w:line="240" w:lineRule="auto"/>
              <w:jc w:val="center"/>
              <w:rPr>
                <w:rFonts w:cs="Times New Roman"/>
                <w:sz w:val="20"/>
                <w:szCs w:val="20"/>
              </w:rPr>
            </w:pPr>
            <w:r w:rsidRPr="00814D13">
              <w:rPr>
                <w:rFonts w:cs="Times New Roman"/>
                <w:sz w:val="20"/>
                <w:szCs w:val="20"/>
              </w:rPr>
              <w:t>1,1</w:t>
            </w:r>
          </w:p>
        </w:tc>
      </w:tr>
    </w:tbl>
    <w:p w:rsidR="00A77B49" w:rsidRPr="00814D13" w:rsidRDefault="00A77B49" w:rsidP="00A77B49">
      <w:pPr>
        <w:rPr>
          <w:rFonts w:cs="Times New Roman"/>
          <w:szCs w:val="24"/>
        </w:rPr>
      </w:pP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Išvengiama hospitalizacija – tai hospitalizacija, kurios galima išvengti imantis prevencinių priemonių ir (ar) laiku teikiant reikiamą ambulatorinę priežiūrą. Išvengiamų hospitalizacijų rodiklis skaičiuojamas netiesiogiai vertinant ambulatorinių sveikatos priežiūros paslaugų prieinamumą ir kokybę. Tyrimų duomenimis, dalies hospitalizacijų būtų galima išvengti, jei būtų užtikrinta ambulatorinės sveikatos priežiūros veiklos kokybė bei jos prieinamumas. Išvengus brangaus stacionarinio gydymo, būtų sutaupoma nemažai lėšų. 2014 m. išven</w:t>
      </w:r>
      <w:r w:rsidR="0066716F">
        <w:rPr>
          <w:rFonts w:cs="Times New Roman"/>
          <w:szCs w:val="24"/>
        </w:rPr>
        <w:t>giamų hospitalizacijų skaičiaus</w:t>
      </w:r>
      <w:r w:rsidR="0066716F">
        <w:rPr>
          <w:rFonts w:cs="Times New Roman"/>
          <w:szCs w:val="24"/>
        </w:rPr>
        <w:br/>
      </w:r>
      <w:r w:rsidR="00A77B49" w:rsidRPr="00814D13">
        <w:rPr>
          <w:rFonts w:cs="Times New Roman"/>
          <w:szCs w:val="24"/>
        </w:rPr>
        <w:lastRenderedPageBreak/>
        <w:t>1 000 gyventojų rodiklis Lietuvoje ir</w:t>
      </w:r>
      <w:r w:rsidR="001A1F25">
        <w:rPr>
          <w:rFonts w:cs="Times New Roman"/>
          <w:szCs w:val="24"/>
        </w:rPr>
        <w:t xml:space="preserve"> Kauno mieste skyrėsi ne</w:t>
      </w:r>
      <w:r w:rsidR="00133EE7">
        <w:rPr>
          <w:rFonts w:cs="Times New Roman"/>
          <w:szCs w:val="24"/>
        </w:rPr>
        <w:t>daug</w:t>
      </w:r>
      <w:r w:rsidR="001A1F25">
        <w:rPr>
          <w:rFonts w:cs="Times New Roman"/>
          <w:szCs w:val="24"/>
        </w:rPr>
        <w:t xml:space="preserve"> –</w:t>
      </w:r>
      <w:r w:rsidR="00A77B49" w:rsidRPr="00814D13">
        <w:rPr>
          <w:rFonts w:cs="Times New Roman"/>
          <w:szCs w:val="24"/>
        </w:rPr>
        <w:t xml:space="preserve"> iš viso Lietuvoje buvo galima išvengti 97 872 (33,4/1 000 gyv.) hospitalizacijų, Kauno mieste – 9 982 (33/1 000 gyv.). </w:t>
      </w:r>
    </w:p>
    <w:p w:rsidR="00A77B49" w:rsidRDefault="00E5393A" w:rsidP="00A77B49">
      <w:pPr>
        <w:rPr>
          <w:rFonts w:cs="Times New Roman"/>
          <w:szCs w:val="24"/>
        </w:rPr>
      </w:pPr>
      <w:r>
        <w:rPr>
          <w:rFonts w:cs="Times New Roman"/>
          <w:szCs w:val="24"/>
        </w:rPr>
        <w:tab/>
      </w:r>
      <w:r w:rsidR="00A77B49" w:rsidRPr="00814D13">
        <w:rPr>
          <w:rFonts w:cs="Times New Roman"/>
          <w:szCs w:val="24"/>
        </w:rPr>
        <w:t>Išvengiamų hospitalizacijų dėl diabeto ir jo komplikacijų rodiklis Kauno miesto sav. 2014 m. buv</w:t>
      </w:r>
      <w:r w:rsidR="00133EE7">
        <w:rPr>
          <w:rFonts w:cs="Times New Roman"/>
          <w:szCs w:val="24"/>
        </w:rPr>
        <w:t>o 10 proc. didesnis</w:t>
      </w:r>
      <w:r w:rsidR="00A77B49" w:rsidRPr="00814D13">
        <w:rPr>
          <w:rFonts w:cs="Times New Roman"/>
          <w:szCs w:val="24"/>
        </w:rPr>
        <w:t xml:space="preserve"> nei Lietuvos vidurkis (7,52/1 000 gyv.). Šis rodiklis buvo didžiausias</w:t>
      </w:r>
      <w:r w:rsidR="0066716F">
        <w:rPr>
          <w:rFonts w:cs="Times New Roman"/>
          <w:szCs w:val="24"/>
        </w:rPr>
        <w:br/>
      </w:r>
      <w:r w:rsidR="00A77B49" w:rsidRPr="00814D13">
        <w:rPr>
          <w:rFonts w:cs="Times New Roman"/>
          <w:szCs w:val="24"/>
        </w:rPr>
        <w:t>65 metų amžiaus ir vyresnių žmonių grupėje – 19,35/1 000 gyv. (18-64 metų amžiaus žmonių grupė</w:t>
      </w:r>
      <w:r w:rsidR="00C83A68">
        <w:rPr>
          <w:rFonts w:cs="Times New Roman"/>
          <w:szCs w:val="24"/>
        </w:rPr>
        <w:t xml:space="preserve">je jis buvo 2,57/ 1 000 gyv.). </w:t>
      </w:r>
    </w:p>
    <w:p w:rsidR="00C83A68" w:rsidRPr="00814D13" w:rsidRDefault="00C83A68"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E5393A">
        <w:trPr>
          <w:trHeight w:val="523"/>
        </w:trPr>
        <w:tc>
          <w:tcPr>
            <w:tcW w:w="9854" w:type="dxa"/>
            <w:gridSpan w:val="7"/>
            <w:shd w:val="clear" w:color="auto" w:fill="F2DBDB" w:themeFill="accent2" w:themeFillTint="33"/>
            <w:vAlign w:val="center"/>
          </w:tcPr>
          <w:p w:rsidR="00A77B49" w:rsidRPr="00814D13" w:rsidRDefault="00A77B49" w:rsidP="00E5393A">
            <w:pPr>
              <w:spacing w:line="240" w:lineRule="auto"/>
              <w:jc w:val="left"/>
              <w:rPr>
                <w:rFonts w:cs="Times New Roman"/>
                <w:szCs w:val="24"/>
              </w:rPr>
            </w:pPr>
            <w:r w:rsidRPr="00814D13">
              <w:rPr>
                <w:rFonts w:cs="Times New Roman"/>
                <w:szCs w:val="24"/>
              </w:rPr>
              <w:t>4.2. Plėtoti sveikatos infrastruktūrą ir gerinti sveikatos priežiūros paslaugų kokybę, saugą, prieinamumą ir į pacientą</w:t>
            </w:r>
            <w:r w:rsidR="001A1F25">
              <w:rPr>
                <w:rFonts w:cs="Times New Roman"/>
                <w:szCs w:val="24"/>
              </w:rPr>
              <w:t xml:space="preserve"> orientuotą sveikatos priežiūrą</w:t>
            </w:r>
          </w:p>
        </w:tc>
      </w:tr>
      <w:tr w:rsidR="00A77B49" w:rsidRPr="00814D13" w:rsidTr="00FC5A2A">
        <w:trPr>
          <w:trHeight w:val="416"/>
        </w:trPr>
        <w:tc>
          <w:tcPr>
            <w:tcW w:w="2660"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Savivaldybės rodiklis</w:t>
            </w:r>
          </w:p>
          <w:p w:rsidR="00A77B49" w:rsidRPr="00814D13" w:rsidRDefault="00A77B49" w:rsidP="00E5393A">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Lietuvos rodiklis</w:t>
            </w:r>
          </w:p>
          <w:p w:rsidR="00A77B49" w:rsidRPr="00814D13" w:rsidRDefault="00A77B49" w:rsidP="00E5393A">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Minimali reikšmė</w:t>
            </w:r>
          </w:p>
          <w:p w:rsidR="00A77B49" w:rsidRPr="00814D13" w:rsidRDefault="00A77B49" w:rsidP="00E5393A">
            <w:pPr>
              <w:spacing w:line="240" w:lineRule="auto"/>
              <w:jc w:val="center"/>
              <w:rPr>
                <w:rFonts w:cs="Times New Roman"/>
                <w:sz w:val="20"/>
                <w:szCs w:val="20"/>
              </w:rPr>
            </w:pPr>
          </w:p>
        </w:tc>
        <w:tc>
          <w:tcPr>
            <w:tcW w:w="1134"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Maksimali reikšmė</w:t>
            </w:r>
          </w:p>
          <w:p w:rsidR="00A77B49" w:rsidRPr="00814D13" w:rsidRDefault="00A77B49" w:rsidP="00E5393A">
            <w:pPr>
              <w:spacing w:line="240" w:lineRule="auto"/>
              <w:jc w:val="center"/>
              <w:rPr>
                <w:rFonts w:cs="Times New Roman"/>
                <w:sz w:val="20"/>
                <w:szCs w:val="20"/>
              </w:rPr>
            </w:pPr>
          </w:p>
        </w:tc>
        <w:tc>
          <w:tcPr>
            <w:tcW w:w="1241" w:type="dxa"/>
            <w:tcBorders>
              <w:bottom w:val="single" w:sz="4" w:space="0" w:color="auto"/>
            </w:tcBorders>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Santykis:</w:t>
            </w:r>
          </w:p>
          <w:p w:rsidR="00A77B49" w:rsidRPr="00814D13" w:rsidRDefault="00A77B49" w:rsidP="00E5393A">
            <w:pPr>
              <w:spacing w:line="240" w:lineRule="auto"/>
              <w:jc w:val="center"/>
              <w:rPr>
                <w:rFonts w:cs="Times New Roman"/>
                <w:sz w:val="20"/>
                <w:szCs w:val="20"/>
              </w:rPr>
            </w:pPr>
            <w:r w:rsidRPr="00814D13">
              <w:rPr>
                <w:rFonts w:cs="Times New Roman"/>
                <w:sz w:val="20"/>
                <w:szCs w:val="20"/>
              </w:rPr>
              <w:t>savivaldybė/Lietuva</w:t>
            </w:r>
          </w:p>
          <w:p w:rsidR="00A77B49" w:rsidRPr="00814D13" w:rsidRDefault="00A77B49" w:rsidP="00E5393A">
            <w:pPr>
              <w:spacing w:line="240" w:lineRule="auto"/>
              <w:jc w:val="center"/>
              <w:rPr>
                <w:rFonts w:cs="Times New Roman"/>
                <w:sz w:val="20"/>
                <w:szCs w:val="20"/>
              </w:rPr>
            </w:pPr>
          </w:p>
        </w:tc>
      </w:tr>
      <w:tr w:rsidR="00A77B49" w:rsidRPr="00814D13" w:rsidTr="00FC5A2A">
        <w:trPr>
          <w:trHeight w:val="315"/>
        </w:trPr>
        <w:tc>
          <w:tcPr>
            <w:tcW w:w="2660" w:type="dxa"/>
            <w:noWrap/>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Slaugytojų, tenk</w:t>
            </w:r>
            <w:r w:rsidR="00D36C95">
              <w:rPr>
                <w:rFonts w:eastAsia="Times New Roman" w:cs="Times New Roman"/>
                <w:color w:val="000000"/>
                <w:sz w:val="20"/>
                <w:szCs w:val="20"/>
                <w:lang w:eastAsia="lt-LT"/>
              </w:rPr>
              <w:t>ančių vienam gydytojui, sk</w:t>
            </w:r>
            <w:r w:rsidRPr="00814D13">
              <w:rPr>
                <w:rFonts w:eastAsia="Times New Roman" w:cs="Times New Roman"/>
                <w:color w:val="000000"/>
                <w:sz w:val="20"/>
                <w:szCs w:val="20"/>
                <w:lang w:eastAsia="lt-LT"/>
              </w:rPr>
              <w:t>.</w:t>
            </w:r>
          </w:p>
        </w:tc>
        <w:tc>
          <w:tcPr>
            <w:tcW w:w="1417" w:type="dxa"/>
            <w:noWrap/>
            <w:vAlign w:val="center"/>
            <w:hideMark/>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1,7</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2,14</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1,4</w:t>
            </w:r>
          </w:p>
        </w:tc>
        <w:tc>
          <w:tcPr>
            <w:tcW w:w="1134"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4,3</w:t>
            </w:r>
          </w:p>
        </w:tc>
        <w:tc>
          <w:tcPr>
            <w:tcW w:w="1241" w:type="dxa"/>
            <w:tcBorders>
              <w:bottom w:val="single" w:sz="4" w:space="0" w:color="auto"/>
            </w:tcBorders>
            <w:shd w:val="clear" w:color="auto" w:fill="FF5050"/>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0,8</w:t>
            </w:r>
          </w:p>
        </w:tc>
      </w:tr>
      <w:tr w:rsidR="00A77B49" w:rsidRPr="00814D13" w:rsidTr="00FC5A2A">
        <w:trPr>
          <w:trHeight w:val="402"/>
        </w:trPr>
        <w:tc>
          <w:tcPr>
            <w:tcW w:w="2660" w:type="dxa"/>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Šeimos medicinos paslau</w:t>
            </w:r>
            <w:r w:rsidR="00D36C95">
              <w:rPr>
                <w:rFonts w:eastAsia="Times New Roman" w:cs="Times New Roman"/>
                <w:color w:val="000000"/>
                <w:sz w:val="20"/>
                <w:szCs w:val="20"/>
                <w:lang w:eastAsia="lt-LT"/>
              </w:rPr>
              <w:t>gas teikiančių gydytojų sk. 10 000 gyv</w:t>
            </w:r>
            <w:r w:rsidRPr="00814D13">
              <w:rPr>
                <w:rFonts w:eastAsia="Times New Roman" w:cs="Times New Roman"/>
                <w:color w:val="000000"/>
                <w:sz w:val="20"/>
                <w:szCs w:val="20"/>
                <w:lang w:eastAsia="lt-LT"/>
              </w:rPr>
              <w:t>.</w:t>
            </w:r>
          </w:p>
        </w:tc>
        <w:tc>
          <w:tcPr>
            <w:tcW w:w="1417" w:type="dxa"/>
            <w:vAlign w:val="center"/>
            <w:hideMark/>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8,6</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6,81</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2,4</w:t>
            </w:r>
          </w:p>
        </w:tc>
        <w:tc>
          <w:tcPr>
            <w:tcW w:w="1134"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21,5</w:t>
            </w:r>
          </w:p>
        </w:tc>
        <w:tc>
          <w:tcPr>
            <w:tcW w:w="1241" w:type="dxa"/>
            <w:shd w:val="clear" w:color="auto" w:fill="92D050"/>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1,3</w:t>
            </w:r>
          </w:p>
        </w:tc>
      </w:tr>
      <w:tr w:rsidR="00A77B49" w:rsidRPr="00814D13" w:rsidTr="00FC5A2A">
        <w:trPr>
          <w:trHeight w:val="402"/>
        </w:trPr>
        <w:tc>
          <w:tcPr>
            <w:tcW w:w="2660" w:type="dxa"/>
            <w:hideMark/>
          </w:tcPr>
          <w:p w:rsidR="00A77B49" w:rsidRPr="00814D13" w:rsidRDefault="00D36C95"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Apsilankymų pas gydytojus sk., tenkantis vienam gyv</w:t>
            </w:r>
            <w:r w:rsidR="001A1F25">
              <w:rPr>
                <w:rFonts w:eastAsia="Times New Roman" w:cs="Times New Roman"/>
                <w:color w:val="000000"/>
                <w:sz w:val="20"/>
                <w:szCs w:val="20"/>
                <w:lang w:eastAsia="lt-LT"/>
              </w:rPr>
              <w:t>.</w:t>
            </w:r>
          </w:p>
        </w:tc>
        <w:tc>
          <w:tcPr>
            <w:tcW w:w="1417" w:type="dxa"/>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2719524</w:t>
            </w:r>
          </w:p>
        </w:tc>
        <w:tc>
          <w:tcPr>
            <w:tcW w:w="1418"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8,03</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5,9</w:t>
            </w:r>
          </w:p>
        </w:tc>
        <w:tc>
          <w:tcPr>
            <w:tcW w:w="1134"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10,1</w:t>
            </w:r>
          </w:p>
        </w:tc>
        <w:tc>
          <w:tcPr>
            <w:tcW w:w="1241" w:type="dxa"/>
            <w:shd w:val="clear" w:color="auto" w:fill="92D050"/>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1,1</w:t>
            </w:r>
          </w:p>
        </w:tc>
      </w:tr>
      <w:tr w:rsidR="00A77B49" w:rsidRPr="00814D13" w:rsidTr="00E5393A">
        <w:trPr>
          <w:trHeight w:val="315"/>
        </w:trPr>
        <w:tc>
          <w:tcPr>
            <w:tcW w:w="2660" w:type="dxa"/>
            <w:noWrap/>
            <w:hideMark/>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Sergamumas vaistams atspar</w:t>
            </w:r>
            <w:r w:rsidR="00D36C95">
              <w:rPr>
                <w:rFonts w:eastAsia="Times New Roman" w:cs="Times New Roman"/>
                <w:color w:val="000000"/>
                <w:sz w:val="20"/>
                <w:szCs w:val="20"/>
                <w:lang w:eastAsia="lt-LT"/>
              </w:rPr>
              <w:t>ia tuberkulioze 10 000 gyv</w:t>
            </w:r>
            <w:r w:rsidRPr="00814D13">
              <w:rPr>
                <w:rFonts w:eastAsia="Times New Roman" w:cs="Times New Roman"/>
                <w:color w:val="000000"/>
                <w:sz w:val="20"/>
                <w:szCs w:val="20"/>
                <w:lang w:eastAsia="lt-LT"/>
              </w:rPr>
              <w:t>.</w:t>
            </w:r>
          </w:p>
        </w:tc>
        <w:tc>
          <w:tcPr>
            <w:tcW w:w="1417"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33</w:t>
            </w:r>
          </w:p>
        </w:tc>
        <w:tc>
          <w:tcPr>
            <w:tcW w:w="1418"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3,63</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4,4</w:t>
            </w:r>
          </w:p>
        </w:tc>
        <w:tc>
          <w:tcPr>
            <w:tcW w:w="992"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14,3</w:t>
            </w:r>
          </w:p>
        </w:tc>
        <w:tc>
          <w:tcPr>
            <w:tcW w:w="1241" w:type="dxa"/>
            <w:shd w:val="clear" w:color="auto" w:fill="FFFF00"/>
            <w:noWrap/>
            <w:vAlign w:val="center"/>
            <w:hideMark/>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0,8</w:t>
            </w:r>
          </w:p>
        </w:tc>
      </w:tr>
      <w:tr w:rsidR="00A77B49" w:rsidRPr="00814D13" w:rsidTr="00E5393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Sergamumas ŽIV ir lytiškai plintančiomis ligomis (B20-B24, A50-A64) 1</w:t>
            </w:r>
            <w:r w:rsidR="00D36C95">
              <w:rPr>
                <w:rFonts w:eastAsia="Times New Roman" w:cs="Times New Roman"/>
                <w:color w:val="000000"/>
                <w:sz w:val="20"/>
                <w:szCs w:val="20"/>
                <w:lang w:eastAsia="lt-LT"/>
              </w:rPr>
              <w:t>0 000 gyv</w:t>
            </w:r>
            <w:r w:rsidR="001A1F25">
              <w:rPr>
                <w:rFonts w:eastAsia="Times New Roman" w:cs="Times New Roman"/>
                <w:color w:val="000000"/>
                <w:sz w:val="20"/>
                <w:szCs w:val="20"/>
                <w:lang w:eastAsia="lt-LT"/>
              </w:rPr>
              <w:t>.</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101</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3,34</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3,45</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8,4</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bl>
    <w:p w:rsidR="00A77B49" w:rsidRPr="00814D13" w:rsidRDefault="00A77B49" w:rsidP="00A77B49">
      <w:pPr>
        <w:rPr>
          <w:rFonts w:cs="Times New Roman"/>
          <w:szCs w:val="24"/>
        </w:rPr>
      </w:pP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 xml:space="preserve">Sveikata turi būti vertinama kaip svarbus šalies ekonomikos augimo veiksnys, tam būtinas glaudus tarpžinybinis bendradarbiavimas sprendžiant visuomenės sveikatos klausimus. Siekiant mažinti sveikatos priežiūros paslaugų kokybės ir prieinamumo skirtumus šalyje, sudaryti galimybes gauti paslaugas arčiau gyvenamosios vietos, reikia gerinti pirminės sveikatos priežiūros įstaigų infrastruktūrą, dar labiau stiprinti specializuotą ambulatorinę pagalbą, reabilitaciją ir skubią pagalbą. </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Šiuo metu gydyto</w:t>
      </w:r>
      <w:r w:rsidR="00022DF5">
        <w:rPr>
          <w:rFonts w:cs="Times New Roman"/>
          <w:szCs w:val="24"/>
        </w:rPr>
        <w:t>jai šalyje yra pasiskirstę labai</w:t>
      </w:r>
      <w:r w:rsidR="00A77B49" w:rsidRPr="00814D13">
        <w:rPr>
          <w:rFonts w:cs="Times New Roman"/>
          <w:szCs w:val="24"/>
        </w:rPr>
        <w:t xml:space="preserve"> netolygiai – miestuose su</w:t>
      </w:r>
      <w:r w:rsidR="0062782D">
        <w:rPr>
          <w:rFonts w:cs="Times New Roman"/>
          <w:szCs w:val="24"/>
        </w:rPr>
        <w:t>sitelkusi didžioji visų gydytojų</w:t>
      </w:r>
      <w:r w:rsidR="00A77B49" w:rsidRPr="00814D13">
        <w:rPr>
          <w:rFonts w:cs="Times New Roman"/>
          <w:szCs w:val="24"/>
        </w:rPr>
        <w:t xml:space="preserve"> dalis – daugiau kaip 71 proc., o rajonuose suteikiama 60 proc. visų rajonų gyventojams reikalingų sveikatos priežiūros paslaugų. Dalis asmenų, turinčių teisę teikti sveikatos priežiūros paslaugas, verčiasi kita nei sveikatos priežiūros veikla – iki 7 proc. asmenų, įgijusių gydytojo kvalifikaciją, neteikia sveikatos priežiūros paslaugų. </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Vertinant sveikatos priežiūros paslaugų priein</w:t>
      </w:r>
      <w:r w:rsidR="00022DF5">
        <w:rPr>
          <w:rFonts w:cs="Times New Roman"/>
          <w:szCs w:val="24"/>
        </w:rPr>
        <w:t>amumą ir jų efektyvumą</w:t>
      </w:r>
      <w:r w:rsidR="00133EE7">
        <w:rPr>
          <w:rFonts w:cs="Times New Roman"/>
          <w:szCs w:val="24"/>
        </w:rPr>
        <w:t>,</w:t>
      </w:r>
      <w:r w:rsidR="00022DF5">
        <w:rPr>
          <w:rFonts w:cs="Times New Roman"/>
          <w:szCs w:val="24"/>
        </w:rPr>
        <w:t xml:space="preserve"> labai</w:t>
      </w:r>
      <w:r w:rsidR="00A77B49" w:rsidRPr="00814D13">
        <w:rPr>
          <w:rFonts w:cs="Times New Roman"/>
          <w:szCs w:val="24"/>
        </w:rPr>
        <w:t xml:space="preserve"> svarbus yra slaugytojų, tenkančių vienam gydytojui, skaičius. Lietuvos slaugytojų ir gydytojų santykis yra mažesnis nei Europos Sąjungos vidurkis (ES),  t.</w:t>
      </w:r>
      <w:r w:rsidR="00133EE7">
        <w:rPr>
          <w:rFonts w:cs="Times New Roman"/>
          <w:szCs w:val="24"/>
        </w:rPr>
        <w:t xml:space="preserve"> </w:t>
      </w:r>
      <w:r w:rsidR="00A77B49" w:rsidRPr="00814D13">
        <w:rPr>
          <w:rFonts w:cs="Times New Roman"/>
          <w:szCs w:val="24"/>
        </w:rPr>
        <w:t>y. slaugytojų</w:t>
      </w:r>
      <w:r w:rsidR="00133EE7">
        <w:rPr>
          <w:rFonts w:cs="Times New Roman"/>
          <w:szCs w:val="24"/>
        </w:rPr>
        <w:t>,</w:t>
      </w:r>
      <w:r w:rsidR="00A77B49" w:rsidRPr="00814D13">
        <w:rPr>
          <w:rFonts w:cs="Times New Roman"/>
          <w:szCs w:val="24"/>
        </w:rPr>
        <w:t xml:space="preserve"> palyginus su šeimos gydytojais</w:t>
      </w:r>
      <w:r w:rsidR="00133EE7">
        <w:rPr>
          <w:rFonts w:cs="Times New Roman"/>
          <w:szCs w:val="24"/>
        </w:rPr>
        <w:t>,</w:t>
      </w:r>
      <w:r w:rsidR="00A77B49" w:rsidRPr="00814D13">
        <w:rPr>
          <w:rFonts w:cs="Times New Roman"/>
          <w:szCs w:val="24"/>
        </w:rPr>
        <w:t xml:space="preserve"> ES yra daugiau nei Lietuvoje. 2014 m. Kauno miesto savivaldybėje praktikuojančių slaugytojų, tenkančių vienam gydytojui</w:t>
      </w:r>
      <w:r w:rsidR="00133EE7">
        <w:rPr>
          <w:rFonts w:cs="Times New Roman"/>
          <w:szCs w:val="24"/>
        </w:rPr>
        <w:t>,</w:t>
      </w:r>
      <w:r w:rsidR="00A77B49" w:rsidRPr="00814D13">
        <w:rPr>
          <w:rFonts w:cs="Times New Roman"/>
          <w:szCs w:val="24"/>
        </w:rPr>
        <w:t xml:space="preserve"> skaičius buvo 20 proc. mažesnis nei vidutiniškai Lietuvoje. Tuo tarpu praktikuojančių šeimos gydytojų skaičius 100 000 gyventojų Kauno mieste buvo 30 proc. didesnis nei </w:t>
      </w:r>
      <w:r w:rsidR="00A77B49" w:rsidRPr="00814D13">
        <w:rPr>
          <w:rFonts w:cs="Times New Roman"/>
          <w:szCs w:val="24"/>
        </w:rPr>
        <w:lastRenderedPageBreak/>
        <w:t>vidutiniškai Lietuvoje. Verta atkreipti dėmesį į tai, kad praktikuojančių slaugytojų skaičius 100 000 gyventojų Kauno mieste tendencingai didėja, tačiau 2001</w:t>
      </w:r>
      <w:r w:rsidR="00133EE7">
        <w:rPr>
          <w:rFonts w:cs="Times New Roman"/>
          <w:szCs w:val="24"/>
        </w:rPr>
        <w:t>–</w:t>
      </w:r>
      <w:r w:rsidR="00A77B49" w:rsidRPr="00814D13">
        <w:rPr>
          <w:rFonts w:cs="Times New Roman"/>
          <w:szCs w:val="24"/>
        </w:rPr>
        <w:t>2013 m. laikotarpiu kasmet didėjo ir prak</w:t>
      </w:r>
      <w:r w:rsidR="00022DF5">
        <w:rPr>
          <w:rFonts w:cs="Times New Roman"/>
          <w:szCs w:val="24"/>
        </w:rPr>
        <w:t>tikuojančių gydytojų skaičius</w:t>
      </w:r>
      <w:r w:rsidR="00133EE7">
        <w:rPr>
          <w:rFonts w:cs="Times New Roman"/>
          <w:szCs w:val="24"/>
        </w:rPr>
        <w:t xml:space="preserve">  </w:t>
      </w:r>
      <w:r w:rsidR="00022DF5">
        <w:rPr>
          <w:rFonts w:cs="Times New Roman"/>
          <w:szCs w:val="24"/>
        </w:rPr>
        <w:t>(</w:t>
      </w:r>
      <w:r w:rsidR="00A77B49" w:rsidRPr="00814D13">
        <w:rPr>
          <w:rFonts w:cs="Times New Roman"/>
          <w:szCs w:val="24"/>
        </w:rPr>
        <w:t xml:space="preserve">2014 m. </w:t>
      </w:r>
      <w:r w:rsidR="00022DF5">
        <w:rPr>
          <w:rFonts w:cs="Times New Roman"/>
          <w:szCs w:val="24"/>
        </w:rPr>
        <w:t>vėl</w:t>
      </w:r>
      <w:r w:rsidR="00A77B49" w:rsidRPr="00814D13">
        <w:rPr>
          <w:rFonts w:cs="Times New Roman"/>
          <w:szCs w:val="24"/>
        </w:rPr>
        <w:t xml:space="preserve"> šiek tiek sumažėjo</w:t>
      </w:r>
      <w:r w:rsidR="00022DF5">
        <w:rPr>
          <w:rFonts w:cs="Times New Roman"/>
          <w:szCs w:val="24"/>
        </w:rPr>
        <w:t>)</w:t>
      </w:r>
      <w:r w:rsidR="00A77B49" w:rsidRPr="00814D13">
        <w:rPr>
          <w:rFonts w:cs="Times New Roman"/>
          <w:szCs w:val="24"/>
        </w:rPr>
        <w:t xml:space="preserve">. </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Apsilankymų pas gydytojus skaičius, tenkantis vienam gyventojui</w:t>
      </w:r>
      <w:r w:rsidR="00133EE7">
        <w:rPr>
          <w:rFonts w:cs="Times New Roman"/>
          <w:szCs w:val="24"/>
        </w:rPr>
        <w:t>,</w:t>
      </w:r>
      <w:r w:rsidR="00A77B49" w:rsidRPr="00814D13">
        <w:rPr>
          <w:rFonts w:cs="Times New Roman"/>
          <w:szCs w:val="24"/>
        </w:rPr>
        <w:t xml:space="preserve"> Kauno mi</w:t>
      </w:r>
      <w:r w:rsidR="00133EE7">
        <w:rPr>
          <w:rFonts w:cs="Times New Roman"/>
          <w:szCs w:val="24"/>
        </w:rPr>
        <w:t>este buvo didesnis</w:t>
      </w:r>
      <w:r w:rsidR="00A77B49" w:rsidRPr="00814D13">
        <w:rPr>
          <w:rFonts w:cs="Times New Roman"/>
          <w:szCs w:val="24"/>
        </w:rPr>
        <w:t xml:space="preserve"> nei Lietuvos rodiklis – vienas gyventojas per 2014 metus</w:t>
      </w:r>
      <w:r w:rsidR="0066716F">
        <w:rPr>
          <w:rFonts w:cs="Times New Roman"/>
          <w:szCs w:val="24"/>
        </w:rPr>
        <w:t xml:space="preserve"> pas gydytoją apsilankė maždaug</w:t>
      </w:r>
      <w:r w:rsidR="0066716F">
        <w:rPr>
          <w:rFonts w:cs="Times New Roman"/>
          <w:szCs w:val="24"/>
        </w:rPr>
        <w:br/>
      </w:r>
      <w:r w:rsidR="00A77B49" w:rsidRPr="00814D13">
        <w:rPr>
          <w:rFonts w:cs="Times New Roman"/>
          <w:szCs w:val="24"/>
        </w:rPr>
        <w:t xml:space="preserve">9 kartus (vidutiniškai Lietuvoje – 8 kartus). </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Svarbus sveikatos priežiūros kokybę atspindintis rodiklis – vaistams atsparios tuberkuliozės atvejų skaičius. Dauginio atsparumo vaistams tuberkulioze 2014 metais Kauno mieste sirgo 33 asmenys, sergamumo 100 000 gyventojų rodiklis buvo 20 proc. mažesnis nei Lietuvos vidurkis. Tuo tarpu sergamumas ŽIV ir lytiškai plintančiomis ligomis Kauno mieste buvo panašus kaip Lietuvoje – 2014 m. šiomis ligomis Kauno mieste sirgo 101 gyventojas.</w:t>
      </w:r>
    </w:p>
    <w:p w:rsidR="00A77B49" w:rsidRPr="00814D13" w:rsidRDefault="00A77B49"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E5393A">
        <w:trPr>
          <w:trHeight w:val="523"/>
        </w:trPr>
        <w:tc>
          <w:tcPr>
            <w:tcW w:w="9854" w:type="dxa"/>
            <w:gridSpan w:val="7"/>
            <w:shd w:val="clear" w:color="auto" w:fill="F2DBDB" w:themeFill="accent2" w:themeFillTint="33"/>
            <w:vAlign w:val="center"/>
          </w:tcPr>
          <w:p w:rsidR="00A77B49" w:rsidRPr="00814D13" w:rsidRDefault="00A77B49" w:rsidP="00E5393A">
            <w:pPr>
              <w:spacing w:line="240" w:lineRule="auto"/>
              <w:jc w:val="left"/>
              <w:rPr>
                <w:rFonts w:cs="Times New Roman"/>
                <w:szCs w:val="24"/>
              </w:rPr>
            </w:pPr>
            <w:r w:rsidRPr="00814D13">
              <w:rPr>
                <w:rFonts w:cs="Times New Roman"/>
                <w:szCs w:val="24"/>
              </w:rPr>
              <w:t>4.3. Pagerinti motinos ir vaiko sveikatą</w:t>
            </w:r>
          </w:p>
        </w:tc>
      </w:tr>
      <w:tr w:rsidR="00A77B49" w:rsidRPr="00814D13" w:rsidTr="00E5393A">
        <w:trPr>
          <w:trHeight w:val="416"/>
        </w:trPr>
        <w:tc>
          <w:tcPr>
            <w:tcW w:w="2660"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Savivaldybės rodiklis</w:t>
            </w:r>
          </w:p>
          <w:p w:rsidR="00A77B49" w:rsidRPr="00814D13" w:rsidRDefault="00A77B49" w:rsidP="00E5393A">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Lietuvos rodiklis</w:t>
            </w:r>
          </w:p>
          <w:p w:rsidR="00A77B49" w:rsidRPr="00814D13" w:rsidRDefault="00A77B49" w:rsidP="00E5393A">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Minimali reikšmė</w:t>
            </w:r>
          </w:p>
          <w:p w:rsidR="00A77B49" w:rsidRPr="00814D13" w:rsidRDefault="00A77B49" w:rsidP="00E5393A">
            <w:pPr>
              <w:spacing w:line="240" w:lineRule="auto"/>
              <w:jc w:val="center"/>
              <w:rPr>
                <w:rFonts w:cs="Times New Roman"/>
                <w:sz w:val="20"/>
                <w:szCs w:val="20"/>
              </w:rPr>
            </w:pPr>
          </w:p>
        </w:tc>
        <w:tc>
          <w:tcPr>
            <w:tcW w:w="1134"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Maksimali reikšmė</w:t>
            </w:r>
          </w:p>
          <w:p w:rsidR="00A77B49" w:rsidRPr="00814D13" w:rsidRDefault="00A77B49" w:rsidP="00E5393A">
            <w:pPr>
              <w:spacing w:line="240" w:lineRule="auto"/>
              <w:jc w:val="center"/>
              <w:rPr>
                <w:rFonts w:cs="Times New Roman"/>
                <w:sz w:val="20"/>
                <w:szCs w:val="20"/>
              </w:rPr>
            </w:pPr>
          </w:p>
        </w:tc>
        <w:tc>
          <w:tcPr>
            <w:tcW w:w="1241"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Santykis:</w:t>
            </w:r>
          </w:p>
          <w:p w:rsidR="00A77B49" w:rsidRPr="00814D13" w:rsidRDefault="00A77B49" w:rsidP="00E5393A">
            <w:pPr>
              <w:spacing w:line="240" w:lineRule="auto"/>
              <w:jc w:val="center"/>
              <w:rPr>
                <w:rFonts w:cs="Times New Roman"/>
                <w:sz w:val="20"/>
                <w:szCs w:val="20"/>
              </w:rPr>
            </w:pPr>
            <w:r w:rsidRPr="00814D13">
              <w:rPr>
                <w:rFonts w:cs="Times New Roman"/>
                <w:sz w:val="20"/>
                <w:szCs w:val="20"/>
              </w:rPr>
              <w:t>savivaldybė/Lietuva</w:t>
            </w:r>
          </w:p>
          <w:p w:rsidR="00A77B49" w:rsidRPr="00814D13" w:rsidRDefault="00A77B49" w:rsidP="00E5393A">
            <w:pPr>
              <w:spacing w:line="240" w:lineRule="auto"/>
              <w:jc w:val="center"/>
              <w:rPr>
                <w:rFonts w:cs="Times New Roman"/>
                <w:sz w:val="20"/>
                <w:szCs w:val="20"/>
              </w:rPr>
            </w:pPr>
          </w:p>
        </w:tc>
      </w:tr>
      <w:tr w:rsidR="00A77B49" w:rsidRPr="00814D13" w:rsidTr="00E5393A">
        <w:trPr>
          <w:trHeight w:val="402"/>
        </w:trPr>
        <w:tc>
          <w:tcPr>
            <w:tcW w:w="2660" w:type="dxa"/>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Kūdikių (vaikų iki 1 m. amžiaus) mirtingumas 1 000 gyvų gimusių kūdikių.</w:t>
            </w:r>
          </w:p>
        </w:tc>
        <w:tc>
          <w:tcPr>
            <w:tcW w:w="1417" w:type="dxa"/>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12</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3,8</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16</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r w:rsidR="00A77B49" w:rsidRPr="00814D13" w:rsidTr="00E5393A">
        <w:trPr>
          <w:trHeight w:val="402"/>
        </w:trPr>
        <w:tc>
          <w:tcPr>
            <w:tcW w:w="2660" w:type="dxa"/>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2 metų amžiaus vaikų MMR1 (tymų, epideminio parotito, raudonukės vakcina, 1 dozė)</w:t>
            </w:r>
            <w:r w:rsidR="001A1F25">
              <w:rPr>
                <w:rFonts w:eastAsia="Times New Roman" w:cs="Times New Roman"/>
                <w:color w:val="000000"/>
                <w:sz w:val="20"/>
                <w:szCs w:val="20"/>
                <w:lang w:eastAsia="lt-LT"/>
              </w:rPr>
              <w:t>.</w:t>
            </w:r>
          </w:p>
        </w:tc>
        <w:tc>
          <w:tcPr>
            <w:tcW w:w="1417" w:type="dxa"/>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3733</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92,42</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93,36</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85,3</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100</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r w:rsidR="00A77B49" w:rsidRPr="00814D13" w:rsidTr="00E5393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1 metų amžiaus vaikų DTP3 (difterijos, stabligės, kokliušo vakcina, 3 dozės) skiepijimo apimtys.</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3670</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91,83</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92,9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81</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99,4</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r w:rsidR="00A77B49" w:rsidRPr="00814D13" w:rsidTr="00E5393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Tikslinės populiacijos dalis (proc.), dalyvavusi vaikų krūminių dantų dengimo silantinėmis medžiagomis programoje.</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15,89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20,94</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5,2</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76,4</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0,8</w:t>
            </w:r>
          </w:p>
        </w:tc>
      </w:tr>
      <w:tr w:rsidR="00A77B49" w:rsidRPr="00814D13" w:rsidTr="00E5393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Mokinių dantų ėduonies intensyvumo indeksas</w:t>
            </w:r>
            <w:r w:rsidR="001A1F25">
              <w:rPr>
                <w:rFonts w:eastAsia="Times New Roman" w:cs="Times New Roman"/>
                <w:color w:val="000000"/>
                <w:sz w:val="20"/>
                <w:szCs w:val="20"/>
                <w:lang w:eastAsia="lt-LT"/>
              </w:rPr>
              <w:t>.</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3,85</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3,41</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1,2</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8,1</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1,1</w:t>
            </w:r>
          </w:p>
        </w:tc>
      </w:tr>
      <w:tr w:rsidR="00A77B49" w:rsidRPr="00814D13" w:rsidTr="00E5393A">
        <w:trPr>
          <w:trHeight w:val="315"/>
        </w:trPr>
        <w:tc>
          <w:tcPr>
            <w:tcW w:w="2660" w:type="dxa"/>
            <w:noWrap/>
          </w:tcPr>
          <w:p w:rsidR="00A77B49" w:rsidRPr="00814D13" w:rsidRDefault="008912C0"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Paauglių (15–17</w:t>
            </w:r>
            <w:r w:rsidR="00D36C95">
              <w:rPr>
                <w:rFonts w:eastAsia="Times New Roman" w:cs="Times New Roman"/>
                <w:color w:val="000000"/>
                <w:sz w:val="20"/>
                <w:szCs w:val="20"/>
                <w:lang w:eastAsia="lt-LT"/>
              </w:rPr>
              <w:t xml:space="preserve"> </w:t>
            </w:r>
            <w:r w:rsidR="00A77B49" w:rsidRPr="00814D13">
              <w:rPr>
                <w:rFonts w:eastAsia="Times New Roman" w:cs="Times New Roman"/>
                <w:color w:val="000000"/>
                <w:sz w:val="20"/>
                <w:szCs w:val="20"/>
                <w:lang w:eastAsia="lt-LT"/>
              </w:rPr>
              <w:t xml:space="preserve">m.) </w:t>
            </w:r>
            <w:r w:rsidR="00A77B49" w:rsidRPr="00814D13">
              <w:rPr>
                <w:rFonts w:eastAsia="Times New Roman" w:cs="Times New Roman"/>
                <w:sz w:val="20"/>
                <w:szCs w:val="20"/>
                <w:lang w:eastAsia="lt-LT"/>
              </w:rPr>
              <w:t>gimdymų skaičius 1</w:t>
            </w:r>
            <w:r w:rsidR="00133EE7">
              <w:rPr>
                <w:rFonts w:eastAsia="Times New Roman" w:cs="Times New Roman"/>
                <w:sz w:val="20"/>
                <w:szCs w:val="20"/>
                <w:lang w:eastAsia="lt-LT"/>
              </w:rPr>
              <w:t xml:space="preserve"> </w:t>
            </w:r>
            <w:r w:rsidR="00A77B49" w:rsidRPr="00814D13">
              <w:rPr>
                <w:rFonts w:eastAsia="Times New Roman" w:cs="Times New Roman"/>
                <w:sz w:val="20"/>
                <w:szCs w:val="20"/>
                <w:lang w:eastAsia="lt-LT"/>
              </w:rPr>
              <w:t xml:space="preserve">000 </w:t>
            </w:r>
            <w:r w:rsidR="00D36C95">
              <w:rPr>
                <w:rFonts w:eastAsia="Times New Roman" w:cs="Times New Roman"/>
                <w:color w:val="000000"/>
                <w:sz w:val="20"/>
                <w:szCs w:val="20"/>
                <w:lang w:eastAsia="lt-LT"/>
              </w:rPr>
              <w:t>gyv</w:t>
            </w:r>
            <w:r w:rsidR="00A77B49" w:rsidRPr="00814D13">
              <w:rPr>
                <w:rFonts w:eastAsia="Times New Roman" w:cs="Times New Roman"/>
                <w:color w:val="000000"/>
                <w:sz w:val="20"/>
                <w:szCs w:val="20"/>
                <w:lang w:eastAsia="lt-LT"/>
              </w:rPr>
              <w:t>.</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25</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5,57</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5,85</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15,5</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bl>
    <w:p w:rsidR="00E5393A" w:rsidRDefault="00E5393A" w:rsidP="00A77B49">
      <w:pPr>
        <w:rPr>
          <w:rFonts w:cs="Times New Roman"/>
          <w:szCs w:val="24"/>
        </w:rPr>
      </w:pP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Vienas iš svarbiausių valstybės uždavinių yra stiprinti motinos ir vaiko sveikatą. Tyrimais įrodyta, kad gera vaiko sveikata lemia gerą asmens sveikatą vėlesniais gyvenimo tarpsniais. Motinos ir vaiko sveikatą atspindintys rodikliai nedaug skyrėsi nuo Lietuvos vidurkio. 2014 m. Kauno miesto savivaldybėje mirė 12 kūdikių. Nors mirtingumo 1 000 gyvų kūdikių rodiklis neviršijo Lietuvos vidurkio, verta atkreipti dėmesį, kad ji</w:t>
      </w:r>
      <w:r w:rsidR="00133EE7">
        <w:rPr>
          <w:rFonts w:cs="Times New Roman"/>
          <w:szCs w:val="24"/>
        </w:rPr>
        <w:t>s</w:t>
      </w:r>
      <w:r w:rsidR="00A77B49" w:rsidRPr="00814D13">
        <w:rPr>
          <w:rFonts w:cs="Times New Roman"/>
          <w:szCs w:val="24"/>
        </w:rPr>
        <w:t xml:space="preserve"> buvo beveik tris kartus didesnis nei 2013 metais ir didžiausias per 2011</w:t>
      </w:r>
      <w:r w:rsidR="00133EE7">
        <w:rPr>
          <w:rFonts w:cs="Times New Roman"/>
          <w:szCs w:val="24"/>
        </w:rPr>
        <w:t>–</w:t>
      </w:r>
      <w:r w:rsidR="00A77B49" w:rsidRPr="00814D13">
        <w:rPr>
          <w:rFonts w:cs="Times New Roman"/>
          <w:szCs w:val="24"/>
        </w:rPr>
        <w:t xml:space="preserve">2014 metus. </w:t>
      </w:r>
    </w:p>
    <w:p w:rsidR="00A77B49" w:rsidRPr="00814D13" w:rsidRDefault="00E5393A" w:rsidP="00A77B49">
      <w:pPr>
        <w:rPr>
          <w:rFonts w:cs="Times New Roman"/>
          <w:szCs w:val="24"/>
        </w:rPr>
      </w:pPr>
      <w:r>
        <w:rPr>
          <w:rFonts w:cs="Times New Roman"/>
          <w:szCs w:val="24"/>
        </w:rPr>
        <w:lastRenderedPageBreak/>
        <w:tab/>
      </w:r>
      <w:r w:rsidR="00A77B49" w:rsidRPr="00814D13">
        <w:rPr>
          <w:rFonts w:cs="Times New Roman"/>
          <w:szCs w:val="24"/>
        </w:rPr>
        <w:t xml:space="preserve">Vaikų skiepijimo rodikliai Kauno mieste buvo panašūs kaip visoje Lietuvoje – maždaug </w:t>
      </w:r>
      <w:r w:rsidR="0066716F">
        <w:rPr>
          <w:rFonts w:cs="Times New Roman"/>
          <w:szCs w:val="24"/>
        </w:rPr>
        <w:br/>
      </w:r>
      <w:r w:rsidR="00A77B49" w:rsidRPr="00814D13">
        <w:rPr>
          <w:rFonts w:cs="Times New Roman"/>
          <w:szCs w:val="24"/>
        </w:rPr>
        <w:t xml:space="preserve">92 proc. vaikų (iki 1 metų ir 2 metų amžiaus) buvo paskiepyti MMR1 (tymų, epideminio parotito ir raudoniukės) ir DTP3 (difterijos, stabligės, kokliušo) vakcinomis. </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Vaikams nuo 6 iki 14 m. amžiaus skirta Vaikų krūminių dantų dengimo silantinėmis medžiagomis programa. 2014 m. Kauno mieste 15,9 proc. 6</w:t>
      </w:r>
      <w:r w:rsidR="00133EE7">
        <w:rPr>
          <w:rFonts w:cs="Times New Roman"/>
          <w:szCs w:val="24"/>
        </w:rPr>
        <w:t>–</w:t>
      </w:r>
      <w:r w:rsidR="00A77B49" w:rsidRPr="00814D13">
        <w:rPr>
          <w:rFonts w:cs="Times New Roman"/>
          <w:szCs w:val="24"/>
        </w:rPr>
        <w:t xml:space="preserve">14 m. amžiaus vaikų buvo atliktas krūminių dantų dengimas silantinėmis medžiagomis. Šis rodiklis buvo 20 proc. mažesnis nei Lietuvos vidurkis. </w:t>
      </w:r>
      <w:r w:rsidR="001A1F25">
        <w:rPr>
          <w:rFonts w:cs="Times New Roman"/>
          <w:szCs w:val="24"/>
        </w:rPr>
        <w:t>Atsižvelgiant į tai</w:t>
      </w:r>
      <w:r w:rsidR="00A77B49" w:rsidRPr="00814D13">
        <w:rPr>
          <w:rFonts w:cs="Times New Roman"/>
          <w:szCs w:val="24"/>
        </w:rPr>
        <w:t>, kad Kauno mieste yra didelis skaičius įstaigų, sudariusių sutartis su teritorinėmis ligonių kasomis dėl šių paslaugų finansavimo</w:t>
      </w:r>
      <w:r w:rsidR="00133EE7">
        <w:rPr>
          <w:rFonts w:cs="Times New Roman"/>
          <w:szCs w:val="24"/>
        </w:rPr>
        <w:t>,</w:t>
      </w:r>
      <w:r w:rsidR="00A77B49" w:rsidRPr="00814D13">
        <w:rPr>
          <w:rFonts w:cs="Times New Roman"/>
          <w:szCs w:val="24"/>
        </w:rPr>
        <w:t xml:space="preserve"> ir jų gavimas yra nesudėtingas, dalyvavimo šioje profilaktinėje programoje rodiklis Kauno mieste yra ganėtinai mažas. </w:t>
      </w: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Kiekvienais metais moksleiviai turi profila</w:t>
      </w:r>
      <w:r w:rsidR="001A1F25">
        <w:rPr>
          <w:rFonts w:cs="Times New Roman"/>
          <w:szCs w:val="24"/>
        </w:rPr>
        <w:t>ktiškai apsilankyti pas gydytoją</w:t>
      </w:r>
      <w:r w:rsidR="00A77B49" w:rsidRPr="00814D13">
        <w:rPr>
          <w:rFonts w:cs="Times New Roman"/>
          <w:szCs w:val="24"/>
        </w:rPr>
        <w:t xml:space="preserve"> odontologą  ir pristatyti į mokyklas pažymą apie dantų būklę. Ji vertinama pasitelkus KPI indeksą – dantų ėduonies intensyvumo rodiklį, kuris rodo, kiek ėduonies pažeistų dantų tenka vienam gyventojui. Paskaičiavus </w:t>
      </w:r>
      <w:r w:rsidR="00A77B49" w:rsidRPr="0066716F">
        <w:rPr>
          <w:rFonts w:cs="Times New Roman"/>
          <w:spacing w:val="-4"/>
          <w:szCs w:val="24"/>
        </w:rPr>
        <w:t>Kauno miesto mokinių pieninių ir nuolatinių dantų ėduonies intensyvumo indeksą</w:t>
      </w:r>
      <w:r w:rsidR="00133EE7" w:rsidRPr="0066716F">
        <w:rPr>
          <w:rFonts w:cs="Times New Roman"/>
          <w:spacing w:val="-4"/>
          <w:szCs w:val="24"/>
        </w:rPr>
        <w:t>,</w:t>
      </w:r>
      <w:r w:rsidR="00A77B49" w:rsidRPr="0066716F">
        <w:rPr>
          <w:rFonts w:cs="Times New Roman"/>
          <w:spacing w:val="-4"/>
          <w:szCs w:val="24"/>
        </w:rPr>
        <w:t xml:space="preserve"> gauta, kad Kauno miesto vaikų KPI yra vidutinis – 3,85 (Pagal PSO: labai žemas&lt;1,2; žemas – 1,2</w:t>
      </w:r>
      <w:r w:rsidR="00133EE7" w:rsidRPr="0066716F">
        <w:rPr>
          <w:rFonts w:cs="Times New Roman"/>
          <w:spacing w:val="-4"/>
          <w:szCs w:val="24"/>
        </w:rPr>
        <w:t>–</w:t>
      </w:r>
      <w:r w:rsidR="00A77B49" w:rsidRPr="0066716F">
        <w:rPr>
          <w:rFonts w:cs="Times New Roman"/>
          <w:spacing w:val="-4"/>
          <w:szCs w:val="24"/>
        </w:rPr>
        <w:t>2,6; vidutinis – 2,7</w:t>
      </w:r>
      <w:r w:rsidR="00133EE7" w:rsidRPr="0066716F">
        <w:rPr>
          <w:rFonts w:cs="Times New Roman"/>
          <w:spacing w:val="-4"/>
          <w:szCs w:val="24"/>
        </w:rPr>
        <w:t>–</w:t>
      </w:r>
      <w:r w:rsidR="00A77B49" w:rsidRPr="0066716F">
        <w:rPr>
          <w:rFonts w:cs="Times New Roman"/>
          <w:spacing w:val="-4"/>
          <w:szCs w:val="24"/>
        </w:rPr>
        <w:t>4,4</w:t>
      </w:r>
      <w:r w:rsidR="00A77B49" w:rsidRPr="00814D13">
        <w:rPr>
          <w:rFonts w:cs="Times New Roman"/>
          <w:szCs w:val="24"/>
        </w:rPr>
        <w:t>; aukštas 4,5</w:t>
      </w:r>
      <w:r w:rsidR="00133EE7">
        <w:rPr>
          <w:rFonts w:cs="Times New Roman"/>
          <w:szCs w:val="24"/>
        </w:rPr>
        <w:t>–</w:t>
      </w:r>
      <w:r w:rsidR="00A77B49" w:rsidRPr="00814D13">
        <w:rPr>
          <w:rFonts w:cs="Times New Roman"/>
          <w:szCs w:val="24"/>
        </w:rPr>
        <w:t xml:space="preserve">6,5; labai aukštas &gt;6,5). </w:t>
      </w:r>
    </w:p>
    <w:p w:rsidR="00A77B49" w:rsidRDefault="00E5393A" w:rsidP="00A77B49">
      <w:pPr>
        <w:rPr>
          <w:rFonts w:cs="Times New Roman"/>
          <w:szCs w:val="24"/>
        </w:rPr>
      </w:pPr>
      <w:r>
        <w:rPr>
          <w:rFonts w:cs="Times New Roman"/>
          <w:szCs w:val="24"/>
        </w:rPr>
        <w:tab/>
      </w:r>
      <w:r w:rsidR="00A77B49" w:rsidRPr="00814D13">
        <w:rPr>
          <w:rFonts w:cs="Times New Roman"/>
          <w:szCs w:val="24"/>
        </w:rPr>
        <w:t>Jaunimas – svarbi visuomenės dalis, kuriai reikalingas ypatingas dėmesys. Lietuvoje, palygint su ES, gimdymų skaičius 15</w:t>
      </w:r>
      <w:r w:rsidR="002822B2">
        <w:rPr>
          <w:rFonts w:cs="Times New Roman"/>
          <w:szCs w:val="24"/>
        </w:rPr>
        <w:t>–</w:t>
      </w:r>
      <w:r w:rsidR="00A77B49" w:rsidRPr="00814D13">
        <w:rPr>
          <w:rFonts w:cs="Times New Roman"/>
          <w:szCs w:val="24"/>
        </w:rPr>
        <w:t>17 metų amžiaus paauglių grupėje yra didelis. Kauno mieste 2014 m. buvo 25 tokio amžiaus gimdyvės. Paauglių (15</w:t>
      </w:r>
      <w:r w:rsidR="002822B2">
        <w:rPr>
          <w:rFonts w:cs="Times New Roman"/>
          <w:szCs w:val="24"/>
        </w:rPr>
        <w:t>–</w:t>
      </w:r>
      <w:r w:rsidR="00A77B49" w:rsidRPr="00814D13">
        <w:rPr>
          <w:rFonts w:cs="Times New Roman"/>
          <w:szCs w:val="24"/>
        </w:rPr>
        <w:t xml:space="preserve">17 m.) gimdymų skaičiaus 1 000 gyv. rodiklis Kauno mieste buvo 5,57/1 000 gyv. ir </w:t>
      </w:r>
      <w:r w:rsidR="00DC3C16">
        <w:rPr>
          <w:rFonts w:cs="Times New Roman"/>
          <w:szCs w:val="24"/>
        </w:rPr>
        <w:t xml:space="preserve">beveik nesiskyrė nuo Lietuvos. </w:t>
      </w:r>
    </w:p>
    <w:p w:rsidR="00DC3C16" w:rsidRPr="00814D13" w:rsidRDefault="00DC3C16" w:rsidP="00A77B49">
      <w:pPr>
        <w:rPr>
          <w:rFonts w:cs="Times New Roman"/>
          <w:szCs w:val="24"/>
        </w:rPr>
      </w:pPr>
    </w:p>
    <w:tbl>
      <w:tblPr>
        <w:tblStyle w:val="Lentelstinklelis"/>
        <w:tblW w:w="0" w:type="auto"/>
        <w:tblLayout w:type="fixed"/>
        <w:tblLook w:val="04A0" w:firstRow="1" w:lastRow="0" w:firstColumn="1" w:lastColumn="0" w:noHBand="0" w:noVBand="1"/>
      </w:tblPr>
      <w:tblGrid>
        <w:gridCol w:w="2660"/>
        <w:gridCol w:w="1417"/>
        <w:gridCol w:w="1418"/>
        <w:gridCol w:w="992"/>
        <w:gridCol w:w="992"/>
        <w:gridCol w:w="1134"/>
        <w:gridCol w:w="1241"/>
      </w:tblGrid>
      <w:tr w:rsidR="00A77B49" w:rsidRPr="00814D13" w:rsidTr="00E5393A">
        <w:trPr>
          <w:trHeight w:val="523"/>
        </w:trPr>
        <w:tc>
          <w:tcPr>
            <w:tcW w:w="9854" w:type="dxa"/>
            <w:gridSpan w:val="7"/>
            <w:shd w:val="clear" w:color="auto" w:fill="F2DBDB" w:themeFill="accent2" w:themeFillTint="33"/>
            <w:vAlign w:val="center"/>
          </w:tcPr>
          <w:p w:rsidR="00A77B49" w:rsidRPr="00814D13" w:rsidRDefault="00A77B49" w:rsidP="00E5393A">
            <w:pPr>
              <w:spacing w:line="240" w:lineRule="auto"/>
              <w:jc w:val="left"/>
              <w:rPr>
                <w:rFonts w:cs="Times New Roman"/>
                <w:szCs w:val="24"/>
              </w:rPr>
            </w:pPr>
            <w:r w:rsidRPr="00814D13">
              <w:rPr>
                <w:rFonts w:cs="Times New Roman"/>
                <w:szCs w:val="24"/>
              </w:rPr>
              <w:t>4.4. Stiprinti lėtinių neinfekcinių ligų prevenciją ir kontrolę</w:t>
            </w:r>
          </w:p>
        </w:tc>
      </w:tr>
      <w:tr w:rsidR="00A77B49" w:rsidRPr="00814D13" w:rsidTr="00DC3C16">
        <w:trPr>
          <w:trHeight w:val="706"/>
        </w:trPr>
        <w:tc>
          <w:tcPr>
            <w:tcW w:w="2660"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Rodiklis</w:t>
            </w:r>
          </w:p>
        </w:tc>
        <w:tc>
          <w:tcPr>
            <w:tcW w:w="1417" w:type="dxa"/>
            <w:tcBorders>
              <w:bottom w:val="single" w:sz="4" w:space="0" w:color="auto"/>
            </w:tcBorders>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Atvejų skaičius savivaldybėje</w:t>
            </w:r>
          </w:p>
        </w:tc>
        <w:tc>
          <w:tcPr>
            <w:tcW w:w="1418"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Savivaldybės rodiklis</w:t>
            </w:r>
          </w:p>
          <w:p w:rsidR="00A77B49" w:rsidRPr="00814D13" w:rsidRDefault="00A77B49" w:rsidP="00E5393A">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Lietuvos rodiklis</w:t>
            </w:r>
          </w:p>
          <w:p w:rsidR="00A77B49" w:rsidRPr="00814D13" w:rsidRDefault="00A77B49" w:rsidP="00E5393A">
            <w:pPr>
              <w:spacing w:line="240" w:lineRule="auto"/>
              <w:jc w:val="center"/>
              <w:rPr>
                <w:rFonts w:cs="Times New Roman"/>
                <w:sz w:val="20"/>
                <w:szCs w:val="20"/>
              </w:rPr>
            </w:pPr>
          </w:p>
        </w:tc>
        <w:tc>
          <w:tcPr>
            <w:tcW w:w="992"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Minimali reikšmė</w:t>
            </w:r>
          </w:p>
          <w:p w:rsidR="00A77B49" w:rsidRPr="00814D13" w:rsidRDefault="00A77B49" w:rsidP="00E5393A">
            <w:pPr>
              <w:spacing w:line="240" w:lineRule="auto"/>
              <w:jc w:val="center"/>
              <w:rPr>
                <w:rFonts w:cs="Times New Roman"/>
                <w:sz w:val="20"/>
                <w:szCs w:val="20"/>
              </w:rPr>
            </w:pPr>
          </w:p>
        </w:tc>
        <w:tc>
          <w:tcPr>
            <w:tcW w:w="1134"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Maksimali reikšmė</w:t>
            </w:r>
          </w:p>
          <w:p w:rsidR="00A77B49" w:rsidRPr="00814D13" w:rsidRDefault="00A77B49" w:rsidP="00E5393A">
            <w:pPr>
              <w:spacing w:line="240" w:lineRule="auto"/>
              <w:jc w:val="center"/>
              <w:rPr>
                <w:rFonts w:cs="Times New Roman"/>
                <w:sz w:val="20"/>
                <w:szCs w:val="20"/>
              </w:rPr>
            </w:pPr>
          </w:p>
        </w:tc>
        <w:tc>
          <w:tcPr>
            <w:tcW w:w="1241" w:type="dxa"/>
            <w:shd w:val="clear" w:color="auto" w:fill="F2DBDB" w:themeFill="accent2" w:themeFillTint="33"/>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Santykis:</w:t>
            </w:r>
          </w:p>
          <w:p w:rsidR="00A77B49" w:rsidRPr="00814D13" w:rsidRDefault="00A77B49" w:rsidP="00E5393A">
            <w:pPr>
              <w:spacing w:line="240" w:lineRule="auto"/>
              <w:jc w:val="center"/>
              <w:rPr>
                <w:rFonts w:cs="Times New Roman"/>
                <w:sz w:val="20"/>
                <w:szCs w:val="20"/>
              </w:rPr>
            </w:pPr>
            <w:r w:rsidRPr="00814D13">
              <w:rPr>
                <w:rFonts w:cs="Times New Roman"/>
                <w:sz w:val="20"/>
                <w:szCs w:val="20"/>
              </w:rPr>
              <w:t>savivaldybė/Lietuva</w:t>
            </w:r>
          </w:p>
          <w:p w:rsidR="00A77B49" w:rsidRPr="00814D13" w:rsidRDefault="00A77B49" w:rsidP="00E5393A">
            <w:pPr>
              <w:spacing w:line="240" w:lineRule="auto"/>
              <w:jc w:val="center"/>
              <w:rPr>
                <w:rFonts w:cs="Times New Roman"/>
                <w:sz w:val="20"/>
                <w:szCs w:val="20"/>
              </w:rPr>
            </w:pPr>
          </w:p>
        </w:tc>
      </w:tr>
      <w:tr w:rsidR="00A77B49" w:rsidRPr="00814D13" w:rsidTr="00E5393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nuo kraujotakos sistemos ligų rodi</w:t>
            </w:r>
            <w:r w:rsidR="00C83A68">
              <w:rPr>
                <w:rFonts w:eastAsia="Times New Roman" w:cs="Times New Roman"/>
                <w:color w:val="000000"/>
                <w:sz w:val="20"/>
                <w:szCs w:val="20"/>
                <w:lang w:eastAsia="lt-LT"/>
              </w:rPr>
              <w:t>klis (I00-I99) 100 000 gyv</w:t>
            </w:r>
            <w:r w:rsidRPr="00814D13">
              <w:rPr>
                <w:rFonts w:eastAsia="Times New Roman" w:cs="Times New Roman"/>
                <w:color w:val="000000"/>
                <w:sz w:val="20"/>
                <w:szCs w:val="20"/>
                <w:lang w:eastAsia="lt-LT"/>
              </w:rPr>
              <w:t>.</w:t>
            </w:r>
          </w:p>
        </w:tc>
        <w:tc>
          <w:tcPr>
            <w:tcW w:w="1417" w:type="dxa"/>
            <w:vMerge w:val="restart"/>
            <w:noWrap/>
            <w:vAlign w:val="center"/>
          </w:tcPr>
          <w:p w:rsidR="00A77B49" w:rsidRPr="00814D13" w:rsidRDefault="00A77B49" w:rsidP="00022DF5">
            <w:pPr>
              <w:spacing w:line="240" w:lineRule="auto"/>
              <w:jc w:val="center"/>
              <w:rPr>
                <w:rFonts w:cs="Times New Roman"/>
                <w:color w:val="000000"/>
                <w:sz w:val="20"/>
                <w:szCs w:val="20"/>
              </w:rPr>
            </w:pPr>
            <w:r w:rsidRPr="00022DF5">
              <w:rPr>
                <w:rFonts w:cs="Times New Roman"/>
                <w:sz w:val="20"/>
                <w:szCs w:val="20"/>
              </w:rPr>
              <w:t xml:space="preserve">2153 </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711,3</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768,12</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572,28</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1264,65</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0,9</w:t>
            </w:r>
          </w:p>
        </w:tc>
      </w:tr>
      <w:tr w:rsidR="00A77B49" w:rsidRPr="00814D13" w:rsidTr="00E5393A">
        <w:trPr>
          <w:trHeight w:val="402"/>
        </w:trPr>
        <w:tc>
          <w:tcPr>
            <w:tcW w:w="2660" w:type="dxa"/>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Standartizuotas mirtingumo nuo kraujotakos </w:t>
            </w:r>
          </w:p>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sistemos ligų rodiklis </w:t>
            </w:r>
            <w:r w:rsidR="00C83A68">
              <w:rPr>
                <w:rFonts w:eastAsia="Times New Roman" w:cs="Times New Roman"/>
                <w:color w:val="000000"/>
                <w:sz w:val="20"/>
                <w:szCs w:val="20"/>
                <w:lang w:eastAsia="lt-LT"/>
              </w:rPr>
              <w:t>(I00-I99) 100 000 gyv</w:t>
            </w:r>
            <w:r w:rsidRPr="00814D13">
              <w:rPr>
                <w:rFonts w:eastAsia="Times New Roman" w:cs="Times New Roman"/>
                <w:color w:val="000000"/>
                <w:sz w:val="20"/>
                <w:szCs w:val="20"/>
                <w:lang w:eastAsia="lt-LT"/>
              </w:rPr>
              <w:t>.</w:t>
            </w:r>
          </w:p>
        </w:tc>
        <w:tc>
          <w:tcPr>
            <w:tcW w:w="1417" w:type="dxa"/>
            <w:vMerge/>
            <w:vAlign w:val="center"/>
          </w:tcPr>
          <w:p w:rsidR="00A77B49" w:rsidRPr="00814D13" w:rsidRDefault="00A77B49" w:rsidP="00E5393A">
            <w:pPr>
              <w:spacing w:line="240" w:lineRule="auto"/>
              <w:jc w:val="center"/>
              <w:rPr>
                <w:rFonts w:cs="Times New Roman"/>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704,27</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804,06</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684,4</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1094,26</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0,9</w:t>
            </w:r>
          </w:p>
        </w:tc>
      </w:tr>
      <w:tr w:rsidR="00A77B49" w:rsidRPr="00814D13" w:rsidTr="00E5393A">
        <w:trPr>
          <w:trHeight w:val="402"/>
        </w:trPr>
        <w:tc>
          <w:tcPr>
            <w:tcW w:w="2660" w:type="dxa"/>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Mirtingumas nuo piktybinių navikų rodi</w:t>
            </w:r>
            <w:r w:rsidR="00C83A68">
              <w:rPr>
                <w:rFonts w:eastAsia="Times New Roman" w:cs="Times New Roman"/>
                <w:color w:val="000000"/>
                <w:sz w:val="20"/>
                <w:szCs w:val="20"/>
                <w:lang w:eastAsia="lt-LT"/>
              </w:rPr>
              <w:t>klis (C00-C97) 100 000 gyv</w:t>
            </w:r>
            <w:r w:rsidRPr="00814D13">
              <w:rPr>
                <w:rFonts w:eastAsia="Times New Roman" w:cs="Times New Roman"/>
                <w:color w:val="000000"/>
                <w:sz w:val="20"/>
                <w:szCs w:val="20"/>
                <w:lang w:eastAsia="lt-LT"/>
              </w:rPr>
              <w:t>.</w:t>
            </w:r>
          </w:p>
        </w:tc>
        <w:tc>
          <w:tcPr>
            <w:tcW w:w="1417" w:type="dxa"/>
            <w:vMerge w:val="restart"/>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827</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273,22</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273,77</w:t>
            </w:r>
          </w:p>
        </w:tc>
        <w:tc>
          <w:tcPr>
            <w:tcW w:w="992" w:type="dxa"/>
            <w:noWrap/>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214,2</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379,12</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Standartizuotas mi</w:t>
            </w:r>
            <w:r w:rsidR="00DC3C16">
              <w:rPr>
                <w:rFonts w:eastAsia="Times New Roman" w:cs="Times New Roman"/>
                <w:color w:val="000000"/>
                <w:sz w:val="20"/>
                <w:szCs w:val="20"/>
                <w:lang w:eastAsia="lt-LT"/>
              </w:rPr>
              <w:t xml:space="preserve">rtingumo nuo piktybinių navikų rodiklis (C00-C97) 100 </w:t>
            </w:r>
            <w:r w:rsidR="00C83A68">
              <w:rPr>
                <w:rFonts w:eastAsia="Times New Roman" w:cs="Times New Roman"/>
                <w:color w:val="000000"/>
                <w:sz w:val="20"/>
                <w:szCs w:val="20"/>
                <w:lang w:eastAsia="lt-LT"/>
              </w:rPr>
              <w:t>000 gyv</w:t>
            </w:r>
            <w:r w:rsidRPr="00814D13">
              <w:rPr>
                <w:rFonts w:eastAsia="Times New Roman" w:cs="Times New Roman"/>
                <w:color w:val="000000"/>
                <w:sz w:val="20"/>
                <w:szCs w:val="20"/>
                <w:lang w:eastAsia="lt-LT"/>
              </w:rPr>
              <w:t>.</w:t>
            </w:r>
          </w:p>
        </w:tc>
        <w:tc>
          <w:tcPr>
            <w:tcW w:w="1417" w:type="dxa"/>
            <w:vMerge/>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266,59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278,19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216,4</w:t>
            </w:r>
          </w:p>
        </w:tc>
        <w:tc>
          <w:tcPr>
            <w:tcW w:w="1134" w:type="dxa"/>
            <w:noWrap/>
            <w:vAlign w:val="center"/>
          </w:tcPr>
          <w:p w:rsidR="00A77B49" w:rsidRPr="00814D13" w:rsidRDefault="00A77B49" w:rsidP="00E5393A">
            <w:pPr>
              <w:spacing w:line="240" w:lineRule="auto"/>
              <w:jc w:val="center"/>
              <w:rPr>
                <w:rFonts w:cs="Times New Roman"/>
                <w:sz w:val="20"/>
                <w:szCs w:val="20"/>
              </w:rPr>
            </w:pPr>
            <w:r w:rsidRPr="00814D13">
              <w:rPr>
                <w:rFonts w:cs="Times New Roman"/>
                <w:sz w:val="20"/>
                <w:szCs w:val="20"/>
              </w:rPr>
              <w:t>322,5</w:t>
            </w:r>
          </w:p>
        </w:tc>
        <w:tc>
          <w:tcPr>
            <w:tcW w:w="1241" w:type="dxa"/>
            <w:tcBorders>
              <w:bottom w:val="single" w:sz="4" w:space="0" w:color="auto"/>
            </w:tcBorders>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w:t>
            </w:r>
          </w:p>
        </w:tc>
      </w:tr>
      <w:tr w:rsidR="00A77B49" w:rsidRPr="00814D13" w:rsidTr="00FC5A2A">
        <w:trPr>
          <w:trHeight w:val="315"/>
        </w:trPr>
        <w:tc>
          <w:tcPr>
            <w:tcW w:w="2660" w:type="dxa"/>
            <w:noWrap/>
          </w:tcPr>
          <w:p w:rsidR="00A77B49" w:rsidRPr="00814D13" w:rsidRDefault="00DC3C16" w:rsidP="00B22DFB">
            <w:pPr>
              <w:spacing w:line="240" w:lineRule="auto"/>
              <w:jc w:val="left"/>
              <w:rPr>
                <w:rFonts w:eastAsia="Times New Roman" w:cs="Times New Roman"/>
                <w:color w:val="000000"/>
                <w:sz w:val="20"/>
                <w:szCs w:val="20"/>
                <w:lang w:eastAsia="lt-LT"/>
              </w:rPr>
            </w:pPr>
            <w:r>
              <w:rPr>
                <w:rFonts w:eastAsia="Times New Roman" w:cs="Times New Roman"/>
                <w:color w:val="000000"/>
                <w:sz w:val="20"/>
                <w:szCs w:val="20"/>
                <w:lang w:eastAsia="lt-LT"/>
              </w:rPr>
              <w:t>Mirtingumas</w:t>
            </w:r>
            <w:r w:rsidR="001745E4">
              <w:rPr>
                <w:rFonts w:eastAsia="Times New Roman" w:cs="Times New Roman"/>
                <w:color w:val="000000"/>
                <w:sz w:val="20"/>
                <w:szCs w:val="20"/>
                <w:lang w:eastAsia="lt-LT"/>
              </w:rPr>
              <w:t xml:space="preserve"> </w:t>
            </w:r>
            <w:r>
              <w:rPr>
                <w:rFonts w:eastAsia="Times New Roman" w:cs="Times New Roman"/>
                <w:color w:val="000000"/>
                <w:sz w:val="20"/>
                <w:szCs w:val="20"/>
                <w:lang w:eastAsia="lt-LT"/>
              </w:rPr>
              <w:t xml:space="preserve">nuo cerebrovaskulinių </w:t>
            </w:r>
            <w:r w:rsidR="00C83A68">
              <w:rPr>
                <w:rFonts w:eastAsia="Times New Roman" w:cs="Times New Roman"/>
                <w:color w:val="000000"/>
                <w:sz w:val="20"/>
                <w:szCs w:val="20"/>
                <w:lang w:eastAsia="lt-LT"/>
              </w:rPr>
              <w:t>ligų</w:t>
            </w:r>
            <w:r w:rsidR="00A77B49" w:rsidRPr="00814D13">
              <w:rPr>
                <w:rFonts w:eastAsia="Times New Roman" w:cs="Times New Roman"/>
                <w:color w:val="000000"/>
                <w:sz w:val="20"/>
                <w:szCs w:val="20"/>
                <w:lang w:eastAsia="lt-LT"/>
              </w:rPr>
              <w:t xml:space="preserve"> rodi</w:t>
            </w:r>
            <w:r w:rsidR="00C83A68">
              <w:rPr>
                <w:rFonts w:eastAsia="Times New Roman" w:cs="Times New Roman"/>
                <w:color w:val="000000"/>
                <w:sz w:val="20"/>
                <w:szCs w:val="20"/>
                <w:lang w:eastAsia="lt-LT"/>
              </w:rPr>
              <w:t>klis (I60-I69) 100 000 gyv</w:t>
            </w:r>
            <w:r w:rsidR="00A77B49" w:rsidRPr="00814D13">
              <w:rPr>
                <w:rFonts w:eastAsia="Times New Roman" w:cs="Times New Roman"/>
                <w:color w:val="000000"/>
                <w:sz w:val="20"/>
                <w:szCs w:val="20"/>
                <w:lang w:eastAsia="lt-LT"/>
              </w:rPr>
              <w:t>.</w:t>
            </w:r>
          </w:p>
        </w:tc>
        <w:tc>
          <w:tcPr>
            <w:tcW w:w="1417" w:type="dxa"/>
            <w:vMerge w:val="restart"/>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408</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134,79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187,9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91,37</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481,21</w:t>
            </w:r>
          </w:p>
        </w:tc>
        <w:tc>
          <w:tcPr>
            <w:tcW w:w="1241" w:type="dxa"/>
            <w:shd w:val="clear" w:color="auto" w:fill="92D05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0,7</w:t>
            </w: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Standartizuotas mirtingumo nuo cerebrovaskulinių ligų  rodiklis (I60-I69) 100 000 </w:t>
            </w:r>
            <w:r w:rsidR="00C83A68">
              <w:rPr>
                <w:rFonts w:eastAsia="Times New Roman" w:cs="Times New Roman"/>
                <w:color w:val="000000"/>
                <w:sz w:val="20"/>
                <w:szCs w:val="20"/>
                <w:lang w:eastAsia="lt-LT"/>
              </w:rPr>
              <w:lastRenderedPageBreak/>
              <w:t>gyv</w:t>
            </w:r>
            <w:r w:rsidRPr="00814D13">
              <w:rPr>
                <w:rFonts w:eastAsia="Times New Roman" w:cs="Times New Roman"/>
                <w:color w:val="000000"/>
                <w:sz w:val="20"/>
                <w:szCs w:val="20"/>
                <w:lang w:eastAsia="lt-LT"/>
              </w:rPr>
              <w:t>.</w:t>
            </w:r>
          </w:p>
        </w:tc>
        <w:tc>
          <w:tcPr>
            <w:tcW w:w="1417" w:type="dxa"/>
            <w:vMerge/>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133,36</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196,1</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89,8</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430,53</w:t>
            </w:r>
          </w:p>
        </w:tc>
        <w:tc>
          <w:tcPr>
            <w:tcW w:w="1241" w:type="dxa"/>
            <w:tcBorders>
              <w:bottom w:val="single" w:sz="4" w:space="0" w:color="auto"/>
            </w:tcBorders>
            <w:shd w:val="clear" w:color="auto" w:fill="92D05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0,7</w:t>
            </w: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lastRenderedPageBreak/>
              <w:t>Sergamumas II tipo cukriniu diabetu (E11) 10</w:t>
            </w:r>
            <w:r w:rsidR="002822B2">
              <w:rPr>
                <w:rFonts w:eastAsia="Times New Roman" w:cs="Times New Roman"/>
                <w:color w:val="000000"/>
                <w:sz w:val="20"/>
                <w:szCs w:val="20"/>
                <w:lang w:eastAsia="lt-LT"/>
              </w:rPr>
              <w:t xml:space="preserve"> </w:t>
            </w:r>
            <w:r w:rsidR="00C83A68">
              <w:rPr>
                <w:rFonts w:eastAsia="Times New Roman" w:cs="Times New Roman"/>
                <w:color w:val="000000"/>
                <w:sz w:val="20"/>
                <w:szCs w:val="20"/>
                <w:lang w:eastAsia="lt-LT"/>
              </w:rPr>
              <w:t>000 gyv</w:t>
            </w:r>
            <w:r w:rsidRPr="00814D13">
              <w:rPr>
                <w:rFonts w:eastAsia="Times New Roman" w:cs="Times New Roman"/>
                <w:color w:val="000000"/>
                <w:sz w:val="20"/>
                <w:szCs w:val="20"/>
                <w:lang w:eastAsia="lt-LT"/>
              </w:rPr>
              <w:t>.</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2835</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68,9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43,69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13,8</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71,8</w:t>
            </w:r>
          </w:p>
        </w:tc>
        <w:tc>
          <w:tcPr>
            <w:tcW w:w="1241" w:type="dxa"/>
            <w:tcBorders>
              <w:bottom w:val="single" w:sz="4" w:space="0" w:color="auto"/>
            </w:tcBorders>
            <w:shd w:val="clear" w:color="auto" w:fill="FF505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1,6</w:t>
            </w: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Tikslinės populiacijos dalis (proc.), dalyvavusi atrankinės </w:t>
            </w:r>
            <w:r w:rsidR="002822B2">
              <w:rPr>
                <w:rFonts w:eastAsia="Times New Roman" w:cs="Times New Roman"/>
                <w:color w:val="000000"/>
                <w:sz w:val="20"/>
                <w:szCs w:val="20"/>
                <w:lang w:eastAsia="lt-LT"/>
              </w:rPr>
              <w:t>M</w:t>
            </w:r>
            <w:r w:rsidRPr="00814D13">
              <w:rPr>
                <w:rFonts w:eastAsia="Times New Roman" w:cs="Times New Roman"/>
                <w:color w:val="000000"/>
                <w:sz w:val="20"/>
                <w:szCs w:val="20"/>
                <w:lang w:eastAsia="lt-LT"/>
              </w:rPr>
              <w:t>amografinės patikros dėl krūties vėžio finansavimo programoje.</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52,04</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43,66</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12,2</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61,23</w:t>
            </w:r>
          </w:p>
        </w:tc>
        <w:tc>
          <w:tcPr>
            <w:tcW w:w="1241" w:type="dxa"/>
            <w:shd w:val="clear" w:color="auto" w:fill="92D05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1,2</w:t>
            </w: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Tikslinės populiacijos dalis (proc.), dalyvavusi </w:t>
            </w:r>
            <w:r w:rsidR="002822B2">
              <w:rPr>
                <w:rFonts w:eastAsia="Times New Roman" w:cs="Times New Roman"/>
                <w:color w:val="000000"/>
                <w:sz w:val="20"/>
                <w:szCs w:val="20"/>
                <w:lang w:eastAsia="lt-LT"/>
              </w:rPr>
              <w:t>G</w:t>
            </w:r>
            <w:r w:rsidRPr="00814D13">
              <w:rPr>
                <w:rFonts w:eastAsia="Times New Roman" w:cs="Times New Roman"/>
                <w:color w:val="000000"/>
                <w:sz w:val="20"/>
                <w:szCs w:val="20"/>
                <w:lang w:eastAsia="lt-LT"/>
              </w:rPr>
              <w:t>imdos kaklelio piktybinių navikų prevencinių priemonių, apmokamų iš Privalomojo sve</w:t>
            </w:r>
            <w:r w:rsidR="00C83A68">
              <w:rPr>
                <w:rFonts w:eastAsia="Times New Roman" w:cs="Times New Roman"/>
                <w:color w:val="000000"/>
                <w:sz w:val="20"/>
                <w:szCs w:val="20"/>
                <w:lang w:eastAsia="lt-LT"/>
              </w:rPr>
              <w:t xml:space="preserve">ikatos draudimo biudžeto lėšų, </w:t>
            </w:r>
            <w:r w:rsidRPr="00814D13">
              <w:rPr>
                <w:rFonts w:eastAsia="Times New Roman" w:cs="Times New Roman"/>
                <w:color w:val="000000"/>
                <w:sz w:val="20"/>
                <w:szCs w:val="20"/>
                <w:lang w:eastAsia="lt-LT"/>
              </w:rPr>
              <w:t>finansavimo programoje.</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14953</w:t>
            </w: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54,5</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49,56</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27,1</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74,89</w:t>
            </w:r>
          </w:p>
        </w:tc>
        <w:tc>
          <w:tcPr>
            <w:tcW w:w="1241" w:type="dxa"/>
            <w:shd w:val="clear" w:color="auto" w:fill="92D05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1,1</w:t>
            </w:r>
          </w:p>
        </w:tc>
      </w:tr>
      <w:tr w:rsidR="00A77B49" w:rsidRPr="00814D13" w:rsidTr="00FC5A2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Tikslinės populiacijos dalis (proc.), dalyvavusi </w:t>
            </w:r>
            <w:r w:rsidR="002822B2">
              <w:rPr>
                <w:rFonts w:eastAsia="Times New Roman" w:cs="Times New Roman"/>
                <w:color w:val="000000"/>
                <w:sz w:val="20"/>
                <w:szCs w:val="20"/>
                <w:lang w:eastAsia="lt-LT"/>
              </w:rPr>
              <w:t>S</w:t>
            </w:r>
            <w:r w:rsidRPr="00814D13">
              <w:rPr>
                <w:rFonts w:eastAsia="Times New Roman" w:cs="Times New Roman"/>
                <w:color w:val="000000"/>
                <w:sz w:val="20"/>
                <w:szCs w:val="20"/>
                <w:lang w:eastAsia="lt-LT"/>
              </w:rPr>
              <w:t>torosios žarnos vėžio ankstyvosios</w:t>
            </w:r>
            <w:r w:rsidR="00A85284">
              <w:rPr>
                <w:rFonts w:eastAsia="Times New Roman" w:cs="Times New Roman"/>
                <w:color w:val="000000"/>
                <w:sz w:val="20"/>
                <w:szCs w:val="20"/>
                <w:lang w:eastAsia="lt-LT"/>
              </w:rPr>
              <w:t xml:space="preserve"> diagnostikos prevencinėje programoje.</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26,5</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21,2</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5,3</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30</w:t>
            </w:r>
          </w:p>
        </w:tc>
        <w:tc>
          <w:tcPr>
            <w:tcW w:w="1241" w:type="dxa"/>
            <w:shd w:val="clear" w:color="auto" w:fill="92D05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1,2</w:t>
            </w:r>
          </w:p>
        </w:tc>
      </w:tr>
      <w:tr w:rsidR="00A77B49" w:rsidRPr="00814D13" w:rsidTr="00E5393A">
        <w:trPr>
          <w:trHeight w:val="315"/>
        </w:trPr>
        <w:tc>
          <w:tcPr>
            <w:tcW w:w="2660" w:type="dxa"/>
            <w:noWrap/>
          </w:tcPr>
          <w:p w:rsidR="00A77B49" w:rsidRPr="00814D13" w:rsidRDefault="00A77B49" w:rsidP="00B22DFB">
            <w:pPr>
              <w:spacing w:line="240" w:lineRule="auto"/>
              <w:jc w:val="left"/>
              <w:rPr>
                <w:rFonts w:eastAsia="Times New Roman" w:cs="Times New Roman"/>
                <w:color w:val="000000"/>
                <w:sz w:val="20"/>
                <w:szCs w:val="20"/>
                <w:lang w:eastAsia="lt-LT"/>
              </w:rPr>
            </w:pPr>
            <w:r w:rsidRPr="00814D13">
              <w:rPr>
                <w:rFonts w:eastAsia="Times New Roman" w:cs="Times New Roman"/>
                <w:color w:val="000000"/>
                <w:sz w:val="20"/>
                <w:szCs w:val="20"/>
                <w:lang w:eastAsia="lt-LT"/>
              </w:rPr>
              <w:t xml:space="preserve">Tikslinės populiacijos dalis (proc.), dalyvavusi </w:t>
            </w:r>
            <w:r w:rsidR="002822B2">
              <w:rPr>
                <w:rFonts w:eastAsia="Times New Roman" w:cs="Times New Roman"/>
                <w:color w:val="000000"/>
                <w:sz w:val="20"/>
                <w:szCs w:val="20"/>
                <w:lang w:eastAsia="lt-LT"/>
              </w:rPr>
              <w:t>A</w:t>
            </w:r>
            <w:r w:rsidRPr="00814D13">
              <w:rPr>
                <w:rFonts w:eastAsia="Times New Roman" w:cs="Times New Roman"/>
                <w:color w:val="000000"/>
                <w:sz w:val="20"/>
                <w:szCs w:val="20"/>
                <w:lang w:eastAsia="lt-LT"/>
              </w:rPr>
              <w:t>smenų, pris</w:t>
            </w:r>
            <w:r w:rsidR="00C83A68">
              <w:rPr>
                <w:rFonts w:eastAsia="Times New Roman" w:cs="Times New Roman"/>
                <w:color w:val="000000"/>
                <w:sz w:val="20"/>
                <w:szCs w:val="20"/>
                <w:lang w:eastAsia="lt-LT"/>
              </w:rPr>
              <w:t xml:space="preserve">kirtinų širdies ir kraujagyslių </w:t>
            </w:r>
            <w:r w:rsidRPr="00814D13">
              <w:rPr>
                <w:rFonts w:eastAsia="Times New Roman" w:cs="Times New Roman"/>
                <w:color w:val="000000"/>
                <w:sz w:val="20"/>
                <w:szCs w:val="20"/>
                <w:lang w:eastAsia="lt-LT"/>
              </w:rPr>
              <w:t>ligų didelės rizikos grupei, atrankos ir prevencijos priemonių finansavimo programoje.</w:t>
            </w:r>
          </w:p>
        </w:tc>
        <w:tc>
          <w:tcPr>
            <w:tcW w:w="1417" w:type="dxa"/>
            <w:noWrap/>
            <w:vAlign w:val="center"/>
          </w:tcPr>
          <w:p w:rsidR="00A77B49" w:rsidRPr="00814D13" w:rsidRDefault="00A77B49" w:rsidP="00E5393A">
            <w:pPr>
              <w:spacing w:line="240" w:lineRule="auto"/>
              <w:jc w:val="center"/>
              <w:rPr>
                <w:rFonts w:cs="Times New Roman"/>
                <w:color w:val="000000"/>
                <w:sz w:val="20"/>
                <w:szCs w:val="20"/>
              </w:rPr>
            </w:pPr>
          </w:p>
        </w:tc>
        <w:tc>
          <w:tcPr>
            <w:tcW w:w="1418"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31,39</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34,67</w:t>
            </w:r>
          </w:p>
        </w:tc>
        <w:tc>
          <w:tcPr>
            <w:tcW w:w="992"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7,6</w:t>
            </w:r>
          </w:p>
        </w:tc>
        <w:tc>
          <w:tcPr>
            <w:tcW w:w="1134" w:type="dxa"/>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51,86</w:t>
            </w:r>
          </w:p>
        </w:tc>
        <w:tc>
          <w:tcPr>
            <w:tcW w:w="1241" w:type="dxa"/>
            <w:shd w:val="clear" w:color="auto" w:fill="FFFF00"/>
            <w:noWrap/>
            <w:vAlign w:val="center"/>
          </w:tcPr>
          <w:p w:rsidR="00A77B49" w:rsidRPr="00814D13" w:rsidRDefault="00A77B49" w:rsidP="00E5393A">
            <w:pPr>
              <w:spacing w:line="240" w:lineRule="auto"/>
              <w:jc w:val="center"/>
              <w:rPr>
                <w:rFonts w:cs="Times New Roman"/>
                <w:color w:val="000000"/>
                <w:sz w:val="20"/>
                <w:szCs w:val="20"/>
              </w:rPr>
            </w:pPr>
            <w:r w:rsidRPr="00814D13">
              <w:rPr>
                <w:rFonts w:cs="Times New Roman"/>
                <w:color w:val="000000"/>
                <w:sz w:val="20"/>
                <w:szCs w:val="20"/>
              </w:rPr>
              <w:t>0,9</w:t>
            </w:r>
          </w:p>
        </w:tc>
      </w:tr>
    </w:tbl>
    <w:p w:rsidR="00A77B49" w:rsidRPr="00814D13" w:rsidRDefault="00A77B49" w:rsidP="00A77B49">
      <w:pPr>
        <w:rPr>
          <w:rFonts w:cs="Times New Roman"/>
          <w:szCs w:val="24"/>
        </w:rPr>
      </w:pPr>
    </w:p>
    <w:p w:rsidR="00A77B49" w:rsidRDefault="00E5393A" w:rsidP="00A77B49">
      <w:pPr>
        <w:rPr>
          <w:rFonts w:cs="Times New Roman"/>
          <w:szCs w:val="24"/>
        </w:rPr>
      </w:pPr>
      <w:r>
        <w:rPr>
          <w:rFonts w:cs="Times New Roman"/>
          <w:szCs w:val="24"/>
        </w:rPr>
        <w:tab/>
      </w:r>
      <w:r w:rsidR="00A77B49" w:rsidRPr="00814D13">
        <w:rPr>
          <w:rFonts w:cs="Times New Roman"/>
          <w:szCs w:val="24"/>
        </w:rPr>
        <w:t xml:space="preserve">Daugelio išsivysčiusių pasaulio šalių gyventojų didžiausia sveikatos problema yra lėtinės neinfekcinės ligos: širdies ir kraujagyslių ligos, onkologiniai susirgimai, lėtinės kvėpavimo sistemos ligos, nutukimas ir kitos – jos yra svarbiausia gyventojų mirties priežastis. Pagrindinės lėtinių neinfekcinių ligų priežastys yra susijusios su žmogaus elgesiu, taigi jų galima išvengti. Pagrindiniai šių ligų rizikos veiksniai – didelis kraujospūdis, rūkymas, padidėjęs gliukozės kiekis kraujyje, nesaugus lytinis elgesys, </w:t>
      </w:r>
      <w:r w:rsidR="00B01BD9">
        <w:rPr>
          <w:rFonts w:cs="Times New Roman"/>
          <w:szCs w:val="24"/>
        </w:rPr>
        <w:t>alkoholio vartojimas</w:t>
      </w:r>
      <w:r w:rsidR="00A77B49" w:rsidRPr="00814D13">
        <w:rPr>
          <w:rFonts w:cs="Times New Roman"/>
          <w:szCs w:val="24"/>
        </w:rPr>
        <w:t>.</w:t>
      </w:r>
      <w:r w:rsidR="00750DF0">
        <w:rPr>
          <w:rFonts w:cs="Times New Roman"/>
          <w:szCs w:val="24"/>
        </w:rPr>
        <w:t xml:space="preserve"> </w:t>
      </w:r>
      <w:r w:rsidR="00A77B49" w:rsidRPr="00814D13">
        <w:rPr>
          <w:rFonts w:cs="Times New Roman"/>
          <w:szCs w:val="24"/>
        </w:rPr>
        <w:t>Siekiant užkirsti kelią neinfekcinių ligų plitimui</w:t>
      </w:r>
      <w:r w:rsidR="002822B2">
        <w:rPr>
          <w:rFonts w:cs="Times New Roman"/>
          <w:szCs w:val="24"/>
        </w:rPr>
        <w:t>,</w:t>
      </w:r>
      <w:r w:rsidR="00A77B49" w:rsidRPr="00814D13">
        <w:rPr>
          <w:rFonts w:cs="Times New Roman"/>
          <w:szCs w:val="24"/>
        </w:rPr>
        <w:t xml:space="preserve"> būtina visų pirma keisti žmonių gyvenimo būdą. Tai galima pasiekti tik visais lygiais koordinuojant įvairių gamybos ir paslaugų pramonės sričių veiklą, žmonių vartojimo kultūrą ir jų gyvenimo įpročius. </w:t>
      </w:r>
    </w:p>
    <w:p w:rsidR="00B01BD9" w:rsidRPr="00814D13" w:rsidRDefault="00B01BD9" w:rsidP="00A77B49">
      <w:pPr>
        <w:rPr>
          <w:rFonts w:cs="Times New Roman"/>
          <w:szCs w:val="24"/>
        </w:rPr>
      </w:pPr>
    </w:p>
    <w:p w:rsidR="00A77B49" w:rsidRPr="00814D13" w:rsidRDefault="00E5393A" w:rsidP="00A77B49">
      <w:pPr>
        <w:rPr>
          <w:rFonts w:cs="Times New Roman"/>
          <w:szCs w:val="24"/>
        </w:rPr>
      </w:pPr>
      <w:r>
        <w:rPr>
          <w:rFonts w:cs="Times New Roman"/>
          <w:szCs w:val="24"/>
        </w:rPr>
        <w:tab/>
      </w:r>
      <w:r w:rsidR="00A77B49" w:rsidRPr="00814D13">
        <w:rPr>
          <w:rFonts w:cs="Times New Roman"/>
          <w:szCs w:val="24"/>
        </w:rPr>
        <w:t xml:space="preserve">Mirtingumo statistika reikšminga, nes ji rodo bendrą gyventojų sveikatos būklę, sveikatos priežiūros veiksmingumą ir kokybę, sveikatos netolygumus bei sveikatos priežiūros prieinamumą. Vertinant rodiklių visumą, Kauno miesto savivaldybė yra tarp vidutinių savivaldybių </w:t>
      </w:r>
      <w:r w:rsidR="00A77B49" w:rsidRPr="00B15E23">
        <w:rPr>
          <w:rFonts w:cs="Times New Roman"/>
          <w:szCs w:val="24"/>
        </w:rPr>
        <w:t xml:space="preserve">(„geltonoji“ </w:t>
      </w:r>
      <w:r w:rsidR="00A77B49" w:rsidRPr="00814D13">
        <w:rPr>
          <w:rFonts w:cs="Times New Roman"/>
          <w:szCs w:val="24"/>
        </w:rPr>
        <w:t xml:space="preserve">zona) pagal mirtingumą dėl pagrindinių lėtinių neinfekcinių ligų (2 pav.). </w:t>
      </w:r>
    </w:p>
    <w:p w:rsidR="00A77B49" w:rsidRPr="00814D13" w:rsidRDefault="00A77B49" w:rsidP="00A77B49">
      <w:pPr>
        <w:spacing w:line="240" w:lineRule="auto"/>
        <w:rPr>
          <w:rFonts w:cs="Times New Roman"/>
          <w:szCs w:val="24"/>
        </w:rPr>
      </w:pPr>
      <w:r w:rsidRPr="00814D13">
        <w:rPr>
          <w:noProof/>
          <w:lang w:eastAsia="lt-LT"/>
        </w:rPr>
        <w:lastRenderedPageBreak/>
        <w:drawing>
          <wp:inline distT="0" distB="0" distL="0" distR="0" wp14:anchorId="677A7C25" wp14:editId="60F993F8">
            <wp:extent cx="6127663" cy="387228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7B49" w:rsidRPr="00814D13" w:rsidRDefault="00A77B49" w:rsidP="00DC3C16">
      <w:pPr>
        <w:spacing w:line="240" w:lineRule="auto"/>
        <w:rPr>
          <w:rFonts w:cs="Times New Roman"/>
          <w:szCs w:val="24"/>
        </w:rPr>
      </w:pPr>
      <w:r w:rsidRPr="00814D13">
        <w:rPr>
          <w:rFonts w:cs="Times New Roman"/>
          <w:szCs w:val="24"/>
        </w:rPr>
        <w:t>2 pav. Standartizuotas Kauno m. sav. mirtingumo 100 000 gy</w:t>
      </w:r>
      <w:r w:rsidR="001745E4">
        <w:rPr>
          <w:rFonts w:cs="Times New Roman"/>
          <w:szCs w:val="24"/>
        </w:rPr>
        <w:t>v.</w:t>
      </w:r>
      <w:r w:rsidRPr="00814D13">
        <w:rPr>
          <w:rFonts w:cs="Times New Roman"/>
          <w:szCs w:val="24"/>
        </w:rPr>
        <w:t xml:space="preserve"> rodiklių palyginimas su Lietuvos vidurkiu, 2015 m.</w:t>
      </w:r>
    </w:p>
    <w:p w:rsidR="00A77B49" w:rsidRPr="00814D13" w:rsidRDefault="00A77B49" w:rsidP="00DC3C16">
      <w:pPr>
        <w:spacing w:line="240" w:lineRule="auto"/>
        <w:rPr>
          <w:rFonts w:cs="Times New Roman"/>
          <w:i/>
          <w:szCs w:val="24"/>
        </w:rPr>
      </w:pPr>
      <w:r w:rsidRPr="00814D13">
        <w:rPr>
          <w:rFonts w:cs="Times New Roman"/>
          <w:i/>
          <w:szCs w:val="24"/>
        </w:rPr>
        <w:t xml:space="preserve">Šaltinis: Higienos instituto </w:t>
      </w:r>
      <w:r w:rsidR="002822B2">
        <w:rPr>
          <w:rFonts w:cs="Times New Roman"/>
          <w:i/>
          <w:szCs w:val="24"/>
        </w:rPr>
        <w:t>S</w:t>
      </w:r>
      <w:r w:rsidRPr="00814D13">
        <w:rPr>
          <w:rFonts w:cs="Times New Roman"/>
          <w:i/>
          <w:szCs w:val="24"/>
        </w:rPr>
        <w:t>veikatos informacijos centras</w:t>
      </w:r>
    </w:p>
    <w:p w:rsidR="00A77B49" w:rsidRPr="00814D13" w:rsidRDefault="00A77B49" w:rsidP="00A77B49">
      <w:pPr>
        <w:rPr>
          <w:rFonts w:cs="Times New Roman"/>
          <w:szCs w:val="24"/>
        </w:rPr>
      </w:pPr>
    </w:p>
    <w:p w:rsidR="00A77B49" w:rsidRPr="00814D13" w:rsidRDefault="009E2D71" w:rsidP="00A77B49">
      <w:pPr>
        <w:rPr>
          <w:rFonts w:cs="Times New Roman"/>
          <w:szCs w:val="24"/>
        </w:rPr>
      </w:pPr>
      <w:r>
        <w:rPr>
          <w:rFonts w:cs="Times New Roman"/>
          <w:szCs w:val="24"/>
        </w:rPr>
        <w:tab/>
      </w:r>
      <w:r w:rsidR="00A77B49" w:rsidRPr="00814D13">
        <w:rPr>
          <w:rFonts w:cs="Times New Roman"/>
          <w:szCs w:val="24"/>
        </w:rPr>
        <w:t>Kraujotakos sistemos ligos Lietuvoje, kaip ir visoje Europoje, buvo ir tebėra pagrindinė mirties priežastis. Mirtingumas nuo kraujotakos sistemos ligų užima pirmąją vietą tarp visų mirties priežasčių. 2014 m. Kauno mieste dėl šių ligų mirė 2 153 žmonės (869 vyrų, 1</w:t>
      </w:r>
      <w:r w:rsidR="002822B2">
        <w:rPr>
          <w:rFonts w:cs="Times New Roman"/>
          <w:szCs w:val="24"/>
        </w:rPr>
        <w:t xml:space="preserve"> </w:t>
      </w:r>
      <w:r w:rsidR="00A77B49" w:rsidRPr="00814D13">
        <w:rPr>
          <w:rFonts w:cs="Times New Roman"/>
          <w:szCs w:val="24"/>
        </w:rPr>
        <w:t xml:space="preserve">284 moterys. Standartizuotas mirtingumo nuo kraujotakos sistemos ligų rodiklis 100 000 gyventojų buvo 10 proc. mažesnis už Lietuvos vidurkį ir siekė 704,27/100 000 gyv. Nuo 2012 m. standartizuoto mirtingumo nuo kraujotakos sistemos ligų rodiklis tendencingai mažėjo. </w:t>
      </w:r>
    </w:p>
    <w:p w:rsidR="00A77B49" w:rsidRPr="00814D13" w:rsidRDefault="009E2D71" w:rsidP="00A77B49">
      <w:pPr>
        <w:rPr>
          <w:rFonts w:cs="Times New Roman"/>
          <w:szCs w:val="24"/>
        </w:rPr>
      </w:pPr>
      <w:r>
        <w:rPr>
          <w:rFonts w:cs="Times New Roman"/>
          <w:szCs w:val="24"/>
        </w:rPr>
        <w:tab/>
      </w:r>
      <w:r w:rsidR="00A77B49" w:rsidRPr="00814D13">
        <w:rPr>
          <w:rFonts w:cs="Times New Roman"/>
          <w:szCs w:val="24"/>
        </w:rPr>
        <w:t>Nuo cerebrovaskulinių ligų, kurioms priklauso smegenų infarktas, intracerebrinis kraujavimas, smegenų arterijų užsikimšimas ir kt. ligos</w:t>
      </w:r>
      <w:r w:rsidR="002822B2">
        <w:rPr>
          <w:rFonts w:cs="Times New Roman"/>
          <w:szCs w:val="24"/>
        </w:rPr>
        <w:t>,</w:t>
      </w:r>
      <w:r w:rsidR="00A77B49" w:rsidRPr="00814D13">
        <w:rPr>
          <w:rFonts w:cs="Times New Roman"/>
          <w:szCs w:val="24"/>
        </w:rPr>
        <w:t xml:space="preserve"> 2014 m. Kauno mieste mire 408 žmonės (150 vyrų, 258 moterys). Mirtingumo nuo cerebrovaskulinių ligų tendencijos panašios kaip ir mirtingumo nuo kraujotakos sistemos ligų – nuo 2012 m. tiek paprasto, tiek standartizuoto mirtingumo nuo šių ligų rodikliai Kauno mieste mažėjo, tuo tarpu paprasto mirtingumo nuo cerebrovaskulinių ligų rodiklis Lietuvoje turėjo didėjimo tendenciją. 2014 m. Kauno miesto gyventojų mirtingumo nuo šių ligų rodiklis buvo 30 proc. mažesnis už Lietuvos vidurkį ir pateko į „žaliąją“ rodiklių zoną. </w:t>
      </w:r>
    </w:p>
    <w:p w:rsidR="00A77B49" w:rsidRPr="00814D13" w:rsidRDefault="009E2D71" w:rsidP="00A77B49">
      <w:pPr>
        <w:rPr>
          <w:rFonts w:cs="Times New Roman"/>
          <w:szCs w:val="24"/>
        </w:rPr>
      </w:pPr>
      <w:r>
        <w:rPr>
          <w:rFonts w:cs="Times New Roman"/>
          <w:szCs w:val="24"/>
        </w:rPr>
        <w:tab/>
      </w:r>
      <w:r w:rsidR="00A77B49" w:rsidRPr="00814D13">
        <w:rPr>
          <w:rFonts w:cs="Times New Roman"/>
          <w:szCs w:val="24"/>
        </w:rPr>
        <w:t>Piktybiniai navikai – antra pagrindinė mirties priežastis tiek Lietuvoje, tiek Kauno mieste. Dė</w:t>
      </w:r>
      <w:r w:rsidR="00B01BD9">
        <w:rPr>
          <w:rFonts w:cs="Times New Roman"/>
          <w:szCs w:val="24"/>
        </w:rPr>
        <w:t>l piktybinių navikų 2014 m. mirė</w:t>
      </w:r>
      <w:r w:rsidR="00A77B49" w:rsidRPr="00814D13">
        <w:rPr>
          <w:rFonts w:cs="Times New Roman"/>
          <w:szCs w:val="24"/>
        </w:rPr>
        <w:t xml:space="preserve"> 827 kauniečiai (430 vyrų ir 397 moterų). Mirtingumo nuo piktybinių navikų rodiklis panašus į Lietuvos vidurkį, nuo 2013 m. tiek Lietuvoje tiek Kauno mieste šis rodiklis ne</w:t>
      </w:r>
      <w:r w:rsidR="002822B2">
        <w:rPr>
          <w:rFonts w:cs="Times New Roman"/>
          <w:szCs w:val="24"/>
        </w:rPr>
        <w:t>daug</w:t>
      </w:r>
      <w:r w:rsidR="00A77B49" w:rsidRPr="00814D13">
        <w:rPr>
          <w:rFonts w:cs="Times New Roman"/>
          <w:szCs w:val="24"/>
        </w:rPr>
        <w:t xml:space="preserve"> padidėjo. </w:t>
      </w:r>
    </w:p>
    <w:p w:rsidR="00A77B49" w:rsidRPr="00814D13" w:rsidRDefault="009E2D71" w:rsidP="00A77B49">
      <w:pPr>
        <w:rPr>
          <w:rFonts w:eastAsia="Times New Roman" w:cs="Times New Roman"/>
          <w:color w:val="000000"/>
          <w:szCs w:val="24"/>
          <w:lang w:eastAsia="lt-LT"/>
        </w:rPr>
      </w:pPr>
      <w:r>
        <w:rPr>
          <w:rFonts w:cs="Times New Roman"/>
          <w:szCs w:val="24"/>
        </w:rPr>
        <w:lastRenderedPageBreak/>
        <w:tab/>
      </w:r>
      <w:r w:rsidR="00A77B49" w:rsidRPr="00814D13">
        <w:rPr>
          <w:rFonts w:cs="Times New Roman"/>
          <w:szCs w:val="24"/>
        </w:rPr>
        <w:t>Vienas iš veiksnių, galinčių įtakoti mirtingumą nuo vėžio</w:t>
      </w:r>
      <w:r w:rsidR="002822B2">
        <w:rPr>
          <w:rFonts w:cs="Times New Roman"/>
          <w:szCs w:val="24"/>
        </w:rPr>
        <w:t>,</w:t>
      </w:r>
      <w:r w:rsidR="00A77B49" w:rsidRPr="00814D13">
        <w:rPr>
          <w:rFonts w:cs="Times New Roman"/>
          <w:szCs w:val="24"/>
        </w:rPr>
        <w:t xml:space="preserve"> – atrankinių patikros programų vykdymas. Tikslinės populiacijos dalis Kauno mieste, 2014 m. dalyvavusi </w:t>
      </w:r>
      <w:r w:rsidR="002822B2">
        <w:rPr>
          <w:rFonts w:cs="Times New Roman"/>
          <w:szCs w:val="24"/>
        </w:rPr>
        <w:t>p</w:t>
      </w:r>
      <w:r w:rsidR="00A77B49" w:rsidRPr="00814D13">
        <w:rPr>
          <w:rFonts w:cs="Times New Roman"/>
          <w:szCs w:val="24"/>
        </w:rPr>
        <w:t xml:space="preserve">iktybinių navikų patikros programose (krūties vėžio, gimdos kaklelio ir storosios žarnos vėžio) buvo maždaug 10–20 proc. didesnė nei vidutiniškai Lietuvoje. </w:t>
      </w:r>
      <w:r w:rsidR="00B01BD9">
        <w:rPr>
          <w:rFonts w:eastAsia="Times New Roman" w:cs="Times New Roman"/>
          <w:color w:val="000000"/>
          <w:szCs w:val="24"/>
          <w:lang w:eastAsia="lt-LT"/>
        </w:rPr>
        <w:t>V</w:t>
      </w:r>
      <w:r w:rsidR="00A77B49" w:rsidRPr="00814D13">
        <w:rPr>
          <w:rFonts w:eastAsia="Times New Roman" w:cs="Times New Roman"/>
          <w:color w:val="000000"/>
          <w:szCs w:val="24"/>
          <w:lang w:eastAsia="lt-LT"/>
        </w:rPr>
        <w:t>yrų ir moterų, dalyvavusių širdies ir kraujagyslių ligų didelės rizikos grupei priskirtinų asmenų programoje</w:t>
      </w:r>
      <w:r w:rsidR="002822B2">
        <w:rPr>
          <w:rFonts w:eastAsia="Times New Roman" w:cs="Times New Roman"/>
          <w:color w:val="000000"/>
          <w:szCs w:val="24"/>
          <w:lang w:eastAsia="lt-LT"/>
        </w:rPr>
        <w:t>,</w:t>
      </w:r>
      <w:r w:rsidR="00A77B49" w:rsidRPr="00814D13">
        <w:rPr>
          <w:rFonts w:eastAsia="Times New Roman" w:cs="Times New Roman"/>
          <w:color w:val="000000"/>
          <w:szCs w:val="24"/>
          <w:lang w:eastAsia="lt-LT"/>
        </w:rPr>
        <w:t xml:space="preserve"> dalis buvo 10 proc. mažesnė nei Lietuvos vidurkis. </w:t>
      </w:r>
    </w:p>
    <w:p w:rsidR="00B15E23" w:rsidRPr="00B15E23" w:rsidRDefault="009E2D71" w:rsidP="00B15E23">
      <w:pPr>
        <w:rPr>
          <w:rFonts w:eastAsia="Times New Roman" w:cs="Times New Roman"/>
          <w:b/>
          <w:bCs/>
          <w:szCs w:val="24"/>
          <w:lang w:eastAsia="lt-LT"/>
        </w:rPr>
      </w:pPr>
      <w:r>
        <w:rPr>
          <w:rFonts w:eastAsia="Times New Roman" w:cs="Times New Roman"/>
          <w:color w:val="000000"/>
          <w:szCs w:val="24"/>
          <w:lang w:eastAsia="lt-LT"/>
        </w:rPr>
        <w:tab/>
      </w:r>
      <w:r w:rsidR="00A77B49" w:rsidRPr="00814D13">
        <w:rPr>
          <w:rFonts w:eastAsia="Times New Roman" w:cs="Times New Roman"/>
          <w:color w:val="000000"/>
          <w:szCs w:val="24"/>
          <w:lang w:eastAsia="lt-LT"/>
        </w:rPr>
        <w:t>Cukrinis diabetas – liga, dėl kurios išsivysto širdies ir kraujagyslių bei kitų organų sistemų veiklos sut</w:t>
      </w:r>
      <w:r w:rsidR="00B01BD9">
        <w:rPr>
          <w:rFonts w:eastAsia="Times New Roman" w:cs="Times New Roman"/>
          <w:color w:val="000000"/>
          <w:szCs w:val="24"/>
          <w:lang w:eastAsia="lt-LT"/>
        </w:rPr>
        <w:t>rikimai. Š</w:t>
      </w:r>
      <w:r w:rsidR="00A77B49" w:rsidRPr="00814D13">
        <w:rPr>
          <w:rFonts w:eastAsia="Times New Roman" w:cs="Times New Roman"/>
          <w:color w:val="000000"/>
          <w:szCs w:val="24"/>
          <w:lang w:eastAsia="lt-LT"/>
        </w:rPr>
        <w:t>i liga kuo toliau, tuo labiau įg</w:t>
      </w:r>
      <w:r w:rsidR="00A85284">
        <w:rPr>
          <w:rFonts w:eastAsia="Times New Roman" w:cs="Times New Roman"/>
          <w:color w:val="000000"/>
          <w:szCs w:val="24"/>
          <w:lang w:eastAsia="lt-LT"/>
        </w:rPr>
        <w:t>auna epidemijos ma</w:t>
      </w:r>
      <w:r w:rsidR="0039511C">
        <w:rPr>
          <w:rFonts w:eastAsia="Times New Roman" w:cs="Times New Roman"/>
          <w:color w:val="000000"/>
          <w:szCs w:val="24"/>
          <w:lang w:eastAsia="lt-LT"/>
        </w:rPr>
        <w:t>stą Lietuvoje.</w:t>
      </w:r>
      <w:r w:rsidR="00A77B49" w:rsidRPr="00814D13">
        <w:rPr>
          <w:rFonts w:eastAsia="Times New Roman" w:cs="Times New Roman"/>
          <w:color w:val="000000"/>
          <w:szCs w:val="24"/>
          <w:lang w:eastAsia="lt-LT"/>
        </w:rPr>
        <w:t xml:space="preserve"> Kadangi Kauno miesto savivaldybėje sergamumas II tipo cukriniu diabetu</w:t>
      </w:r>
      <w:r w:rsidR="002822B2">
        <w:rPr>
          <w:rFonts w:eastAsia="Times New Roman" w:cs="Times New Roman"/>
          <w:color w:val="000000"/>
          <w:szCs w:val="24"/>
          <w:lang w:eastAsia="lt-LT"/>
        </w:rPr>
        <w:t>,</w:t>
      </w:r>
      <w:r w:rsidR="00A77B49" w:rsidRPr="00814D13">
        <w:rPr>
          <w:rFonts w:eastAsia="Times New Roman" w:cs="Times New Roman"/>
          <w:color w:val="000000"/>
          <w:szCs w:val="24"/>
          <w:lang w:eastAsia="lt-LT"/>
        </w:rPr>
        <w:t xml:space="preserve"> </w:t>
      </w:r>
      <w:r w:rsidR="002822B2">
        <w:rPr>
          <w:rFonts w:eastAsia="Times New Roman" w:cs="Times New Roman"/>
          <w:color w:val="000000"/>
          <w:szCs w:val="24"/>
          <w:lang w:eastAsia="lt-LT"/>
        </w:rPr>
        <w:t>pa</w:t>
      </w:r>
      <w:r w:rsidR="00A77B49" w:rsidRPr="00814D13">
        <w:rPr>
          <w:rFonts w:eastAsia="Times New Roman" w:cs="Times New Roman"/>
          <w:color w:val="000000"/>
          <w:szCs w:val="24"/>
          <w:lang w:eastAsia="lt-LT"/>
        </w:rPr>
        <w:t>lygin</w:t>
      </w:r>
      <w:r w:rsidR="002822B2">
        <w:rPr>
          <w:rFonts w:eastAsia="Times New Roman" w:cs="Times New Roman"/>
          <w:color w:val="000000"/>
          <w:szCs w:val="24"/>
          <w:lang w:eastAsia="lt-LT"/>
        </w:rPr>
        <w:t>us</w:t>
      </w:r>
      <w:r w:rsidR="00A77B49" w:rsidRPr="00814D13">
        <w:rPr>
          <w:rFonts w:eastAsia="Times New Roman" w:cs="Times New Roman"/>
          <w:color w:val="000000"/>
          <w:szCs w:val="24"/>
          <w:lang w:eastAsia="lt-LT"/>
        </w:rPr>
        <w:t xml:space="preserve"> su kitomis šalies savivaldybėmis</w:t>
      </w:r>
      <w:r w:rsidR="002822B2">
        <w:rPr>
          <w:rFonts w:eastAsia="Times New Roman" w:cs="Times New Roman"/>
          <w:color w:val="000000"/>
          <w:szCs w:val="24"/>
          <w:lang w:eastAsia="lt-LT"/>
        </w:rPr>
        <w:t>,</w:t>
      </w:r>
      <w:r w:rsidR="00A77B49" w:rsidRPr="00814D13">
        <w:rPr>
          <w:rFonts w:eastAsia="Times New Roman" w:cs="Times New Roman"/>
          <w:color w:val="000000"/>
          <w:szCs w:val="24"/>
          <w:lang w:eastAsia="lt-LT"/>
        </w:rPr>
        <w:t xml:space="preserve"> buvo ypatingai didelis ir pateko į „raudonąją“ rodiklių </w:t>
      </w:r>
      <w:r w:rsidR="00A77B49" w:rsidRPr="00A85284">
        <w:rPr>
          <w:rFonts w:eastAsia="Times New Roman" w:cs="Times New Roman"/>
          <w:szCs w:val="24"/>
          <w:lang w:eastAsia="lt-LT"/>
        </w:rPr>
        <w:t>zoną, jis plačiau bus aprašytas</w:t>
      </w:r>
      <w:r w:rsidR="00B15E23">
        <w:rPr>
          <w:rFonts w:eastAsia="Times New Roman" w:cs="Times New Roman"/>
          <w:szCs w:val="24"/>
          <w:lang w:eastAsia="lt-LT"/>
        </w:rPr>
        <w:t xml:space="preserve"> </w:t>
      </w:r>
      <w:r w:rsidR="00B15E23" w:rsidRPr="00B15E23">
        <w:rPr>
          <w:rFonts w:eastAsia="Times New Roman" w:cs="Times New Roman"/>
          <w:bCs/>
          <w:szCs w:val="24"/>
          <w:lang w:eastAsia="lt-LT"/>
        </w:rPr>
        <w:t>3.2.2. ataskaitos dalyje „Kauno miesto gyventojų sergamumas II tipo cukriniu diabetu</w:t>
      </w:r>
      <w:r w:rsidR="00B15E23">
        <w:rPr>
          <w:rFonts w:eastAsia="Times New Roman" w:cs="Times New Roman"/>
          <w:bCs/>
          <w:szCs w:val="24"/>
          <w:lang w:eastAsia="lt-LT"/>
        </w:rPr>
        <w:t>“.</w:t>
      </w:r>
    </w:p>
    <w:p w:rsidR="00CF0193" w:rsidRPr="00750DF0" w:rsidRDefault="00750DF0" w:rsidP="00750DF0">
      <w:pPr>
        <w:pStyle w:val="Antrat2"/>
        <w:jc w:val="center"/>
        <w:rPr>
          <w:b/>
        </w:rPr>
      </w:pPr>
      <w:bookmarkStart w:id="14" w:name="_Toc439235726"/>
      <w:r w:rsidRPr="00750DF0">
        <w:rPr>
          <w:b/>
          <w:caps w:val="0"/>
        </w:rPr>
        <w:t xml:space="preserve">3.2. </w:t>
      </w:r>
      <w:r w:rsidR="00DD66BD" w:rsidRPr="00750DF0">
        <w:rPr>
          <w:b/>
          <w:caps w:val="0"/>
        </w:rPr>
        <w:t>Atrinktų rodiklių detali analizė ir interpretavimas</w:t>
      </w:r>
      <w:bookmarkEnd w:id="14"/>
    </w:p>
    <w:p w:rsidR="00393CB5" w:rsidRPr="00073F4B" w:rsidRDefault="00750DF0" w:rsidP="00393CB5">
      <w:pPr>
        <w:pStyle w:val="Antrat3"/>
        <w:jc w:val="center"/>
        <w:rPr>
          <w:rFonts w:ascii="Times New Roman" w:hAnsi="Times New Roman" w:cs="Times New Roman"/>
          <w:color w:val="auto"/>
        </w:rPr>
      </w:pPr>
      <w:bookmarkStart w:id="15" w:name="_Toc439235727"/>
      <w:r w:rsidRPr="007058DF">
        <w:rPr>
          <w:rFonts w:ascii="Times New Roman" w:hAnsi="Times New Roman" w:cs="Times New Roman"/>
          <w:color w:val="auto"/>
        </w:rPr>
        <w:t>3.2</w:t>
      </w:r>
      <w:r w:rsidR="00DD66BD" w:rsidRPr="007058DF">
        <w:rPr>
          <w:rFonts w:ascii="Times New Roman" w:hAnsi="Times New Roman" w:cs="Times New Roman"/>
          <w:color w:val="auto"/>
        </w:rPr>
        <w:t xml:space="preserve">.1. </w:t>
      </w:r>
      <w:r w:rsidR="00CF0193" w:rsidRPr="007058DF">
        <w:rPr>
          <w:rFonts w:ascii="Times New Roman" w:hAnsi="Times New Roman" w:cs="Times New Roman"/>
          <w:color w:val="auto"/>
        </w:rPr>
        <w:t>Kauno miesto gyventoj</w:t>
      </w:r>
      <w:r w:rsidR="00CF0193" w:rsidRPr="00073F4B">
        <w:rPr>
          <w:rFonts w:ascii="Times New Roman" w:hAnsi="Times New Roman" w:cs="Times New Roman"/>
          <w:color w:val="auto"/>
        </w:rPr>
        <w:t>ų susižalojimai dėl nukritimo</w:t>
      </w:r>
      <w:bookmarkEnd w:id="15"/>
    </w:p>
    <w:p w:rsidR="00BB354D" w:rsidRPr="007058DF" w:rsidRDefault="00BB354D" w:rsidP="00BB354D">
      <w:r>
        <w:tab/>
        <w:t xml:space="preserve">Traumos daugelyje Europos valstybių yra </w:t>
      </w:r>
      <w:r w:rsidRPr="00107AD3">
        <w:t xml:space="preserve">antroji pagal dažnumą žmonių gyvenimo trumpėjimo priežastis. Dėl įvairių sveikatos problemų, regėjimo, eisenos </w:t>
      </w:r>
      <w:r w:rsidR="002822B2">
        <w:t>ir</w:t>
      </w:r>
      <w:r w:rsidRPr="00107AD3">
        <w:t xml:space="preserve"> pusiausvyros sutrikimų vyresni nei 65 metų žmonės dažn</w:t>
      </w:r>
      <w:r>
        <w:t>iau patiria traumų negu jauno ar vidutinio amžiaus asmenys</w:t>
      </w:r>
      <w:r w:rsidRPr="00107AD3">
        <w:t xml:space="preserve">. Vyresnio amžiaus žmonės patiria traumų dėl eismo įvykių, taip pat dėl nudegimų, skendimų, apsinuodijimų, tačiau dažniausia jų priežastis yra </w:t>
      </w:r>
      <w:r>
        <w:t>nukritimai</w:t>
      </w:r>
      <w:r w:rsidRPr="00107AD3">
        <w:t>.</w:t>
      </w:r>
      <w:r>
        <w:t xml:space="preserve"> Tai viena iš aktualiausių senyvo amžiaus žmonių problemų, nes jų pasekmės </w:t>
      </w:r>
      <w:r w:rsidR="002822B2">
        <w:t>smarkiai</w:t>
      </w:r>
      <w:r>
        <w:t xml:space="preserve"> sutrikdo senų žmonių sveikatą, pablogina jų gyvenimo kokybę bei didina izoliaciją, sumažėja jų mobilumas.</w:t>
      </w:r>
    </w:p>
    <w:p w:rsidR="00BB354D" w:rsidRDefault="00BB354D" w:rsidP="00BB354D">
      <w:r>
        <w:tab/>
      </w:r>
      <w:r w:rsidRPr="00107AD3">
        <w:t xml:space="preserve">Analizuojant </w:t>
      </w:r>
      <w:r>
        <w:t>Kauno</w:t>
      </w:r>
      <w:r w:rsidRPr="00107AD3">
        <w:t xml:space="preserve"> miesto visuomenės sveikatos ir su sveikata susijusių rodiklių profilį</w:t>
      </w:r>
      <w:r w:rsidR="002822B2">
        <w:t>,</w:t>
      </w:r>
      <w:r w:rsidRPr="00107AD3">
        <w:t xml:space="preserve"> stebima aukšto susižalojimo dėl nukritimo problema.</w:t>
      </w:r>
      <w:r w:rsidR="00A71A36">
        <w:t xml:space="preserve"> </w:t>
      </w:r>
      <w:r w:rsidRPr="00883E25">
        <w:t xml:space="preserve">Susižalojimo dėl nukritimo </w:t>
      </w:r>
      <w:r>
        <w:t>rodiklis 2014 m. 65+ m. amžiaus grupėje 10</w:t>
      </w:r>
      <w:r w:rsidRPr="00883E25">
        <w:t xml:space="preserve"> 000 gyv. Lietuvoje </w:t>
      </w:r>
      <w:r>
        <w:t>buvo</w:t>
      </w:r>
      <w:r w:rsidR="00D9564B">
        <w:t xml:space="preserve"> </w:t>
      </w:r>
      <w:r>
        <w:t>131,9</w:t>
      </w:r>
      <w:r w:rsidRPr="00883E25">
        <w:t xml:space="preserve">, o </w:t>
      </w:r>
      <w:r>
        <w:t>Kaune</w:t>
      </w:r>
      <w:r w:rsidR="00D9564B">
        <w:t xml:space="preserve"> </w:t>
      </w:r>
      <w:r>
        <w:t>–</w:t>
      </w:r>
      <w:r w:rsidR="00D9564B">
        <w:t xml:space="preserve"> </w:t>
      </w:r>
      <w:r>
        <w:t>148,87</w:t>
      </w:r>
      <w:r w:rsidR="002822B2">
        <w:t>,</w:t>
      </w:r>
      <w:r w:rsidRPr="00883E25">
        <w:t xml:space="preserve"> ir tai yra viena</w:t>
      </w:r>
      <w:r>
        <w:t>s didžiausių rodiklių</w:t>
      </w:r>
      <w:r w:rsidR="002822B2">
        <w:t>,</w:t>
      </w:r>
      <w:r>
        <w:t xml:space="preserve"> lyginant su </w:t>
      </w:r>
      <w:r w:rsidR="0039511C">
        <w:t>kitomis šalies savivaldybėmis (3</w:t>
      </w:r>
      <w:r>
        <w:t xml:space="preserve"> pav.).</w:t>
      </w:r>
    </w:p>
    <w:p w:rsidR="00BB354D" w:rsidRDefault="00BB354D" w:rsidP="00BB354D"/>
    <w:p w:rsidR="00BB354D" w:rsidRDefault="00BB354D" w:rsidP="00BB354D">
      <w:pPr>
        <w:jc w:val="center"/>
      </w:pPr>
      <w:r>
        <w:rPr>
          <w:noProof/>
          <w:lang w:eastAsia="lt-LT"/>
        </w:rPr>
        <w:lastRenderedPageBreak/>
        <w:drawing>
          <wp:inline distT="0" distB="0" distL="0" distR="0" wp14:anchorId="61AE8CF3" wp14:editId="006229C9">
            <wp:extent cx="3740319" cy="2759102"/>
            <wp:effectExtent l="0" t="0" r="0" b="317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44093" cy="2761886"/>
                    </a:xfrm>
                    <a:prstGeom prst="rect">
                      <a:avLst/>
                    </a:prstGeom>
                  </pic:spPr>
                </pic:pic>
              </a:graphicData>
            </a:graphic>
          </wp:inline>
        </w:drawing>
      </w:r>
    </w:p>
    <w:p w:rsidR="00BB354D" w:rsidRDefault="0039511C" w:rsidP="00491310">
      <w:pPr>
        <w:spacing w:line="240" w:lineRule="auto"/>
        <w:jc w:val="left"/>
      </w:pPr>
      <w:r>
        <w:t>3</w:t>
      </w:r>
      <w:r w:rsidR="00BB354D">
        <w:t xml:space="preserve"> pav. Susižalojimai dėl nukritimų (W00-W19) 65+ m. amžiaus grupėje 10 000 gyv., 2014 m.</w:t>
      </w:r>
    </w:p>
    <w:p w:rsidR="00BB354D" w:rsidRPr="00491310" w:rsidRDefault="00A85284" w:rsidP="00491310">
      <w:pPr>
        <w:spacing w:line="240" w:lineRule="auto"/>
        <w:rPr>
          <w:i/>
        </w:rPr>
      </w:pPr>
      <w:r>
        <w:rPr>
          <w:i/>
        </w:rPr>
        <w:t xml:space="preserve">Šaltinis: Higienos instituto </w:t>
      </w:r>
      <w:r w:rsidR="002822B2">
        <w:rPr>
          <w:i/>
        </w:rPr>
        <w:t>S</w:t>
      </w:r>
      <w:r>
        <w:rPr>
          <w:i/>
        </w:rPr>
        <w:t>veikatos informacijos centras</w:t>
      </w:r>
    </w:p>
    <w:p w:rsidR="00BB354D" w:rsidRDefault="00BB354D" w:rsidP="00BB354D"/>
    <w:p w:rsidR="00BB354D" w:rsidRPr="007058DF" w:rsidRDefault="00491310" w:rsidP="00BB354D">
      <w:r>
        <w:tab/>
      </w:r>
      <w:r w:rsidR="00BB354D">
        <w:t xml:space="preserve">2014 metais Kauno mieste </w:t>
      </w:r>
      <w:r w:rsidR="00BB354D" w:rsidRPr="007058DF">
        <w:t xml:space="preserve">3 667 </w:t>
      </w:r>
      <w:r w:rsidR="0039511C">
        <w:t xml:space="preserve">vyresnio amžiaus (65+ </w:t>
      </w:r>
      <w:r w:rsidR="00BB354D">
        <w:t>metų) žmonės buvo gydyti dėl nukritimų ambulatoriškai arba stacionaro priėmimo-skubios pagalbos skyriuje</w:t>
      </w:r>
      <w:r w:rsidR="00BB354D" w:rsidRPr="007058DF">
        <w:t>. Pastebima, kad 2014 m</w:t>
      </w:r>
      <w:r w:rsidR="0039511C" w:rsidRPr="007058DF">
        <w:t>.</w:t>
      </w:r>
      <w:r w:rsidR="002822B2">
        <w:t xml:space="preserve"> smarkiai</w:t>
      </w:r>
      <w:r w:rsidR="00BB354D">
        <w:t xml:space="preserve"> išaugo asmenų, gydytų ambulatoriškai</w:t>
      </w:r>
      <w:r w:rsidR="002822B2">
        <w:t>,</w:t>
      </w:r>
      <w:r w:rsidR="00BB354D">
        <w:t xml:space="preserve"> skaičius – </w:t>
      </w:r>
      <w:r w:rsidR="00BB354D" w:rsidRPr="007058DF">
        <w:t>2013 m. 65+ met</w:t>
      </w:r>
      <w:r w:rsidR="00BB354D">
        <w:t>ų</w:t>
      </w:r>
      <w:r w:rsidR="00BB354D" w:rsidRPr="007058DF">
        <w:t xml:space="preserve"> amžiaus asmenų, gydytų ambulatoriškai dėl nukritimų</w:t>
      </w:r>
      <w:r w:rsidR="002822B2">
        <w:t>,</w:t>
      </w:r>
      <w:r w:rsidR="00BB354D" w:rsidRPr="007058DF">
        <w:t xml:space="preserve"> rodiklis buvo 25,33/1 000 gyv., o 2014 m. jau 47,17/1 000 gyv. Tuo tarpu 65+ metų amžiaus asmen</w:t>
      </w:r>
      <w:r w:rsidR="00BB354D">
        <w:t>ų, gydytų dėl nukritimų stacionaro priėmimo-skubios pagalbos skyriuje</w:t>
      </w:r>
      <w:r w:rsidR="002822B2">
        <w:t>,</w:t>
      </w:r>
      <w:r w:rsidR="00BB354D">
        <w:t xml:space="preserve"> rodiklis šiek tiek sumažėjo</w:t>
      </w:r>
      <w:r w:rsidR="002822B2">
        <w:t xml:space="preserve"> –</w:t>
      </w:r>
      <w:r w:rsidR="00BB354D">
        <w:t xml:space="preserve"> nuo </w:t>
      </w:r>
      <w:r w:rsidR="00BB354D" w:rsidRPr="007058DF">
        <w:t xml:space="preserve">16,2/1 000 gyv. 2013 m. iki 14,62/ 1000 gyv. 2014 m. </w:t>
      </w:r>
    </w:p>
    <w:p w:rsidR="00BB354D" w:rsidRPr="002822B2" w:rsidRDefault="00491310" w:rsidP="00BB354D">
      <w:r>
        <w:tab/>
      </w:r>
      <w:r w:rsidR="00BB354D">
        <w:t xml:space="preserve">Standartizuotas mirtingumas dėl nukritimų Kauno mieste </w:t>
      </w:r>
      <w:r w:rsidR="00BB354D" w:rsidRPr="002822B2">
        <w:t>2014 m. buvo ma</w:t>
      </w:r>
      <w:r w:rsidR="00BB354D">
        <w:t xml:space="preserve">žesnis už Lietuvos vidurkį ir du kartus mažesnis nei </w:t>
      </w:r>
      <w:r w:rsidR="00BB354D" w:rsidRPr="002822B2">
        <w:t>2008 m</w:t>
      </w:r>
      <w:r w:rsidR="002822B2" w:rsidRPr="002822B2">
        <w:t>.</w:t>
      </w:r>
      <w:r w:rsidR="00BB354D" w:rsidRPr="002822B2">
        <w:t xml:space="preserve"> (</w:t>
      </w:r>
      <w:r w:rsidR="0039511C" w:rsidRPr="002822B2">
        <w:t>4</w:t>
      </w:r>
      <w:r w:rsidR="00BB354D" w:rsidRPr="002822B2">
        <w:t xml:space="preserve"> pav.). </w:t>
      </w:r>
    </w:p>
    <w:p w:rsidR="00BB354D" w:rsidRDefault="00BB354D" w:rsidP="00DC3C16">
      <w:pPr>
        <w:spacing w:line="240" w:lineRule="auto"/>
        <w:jc w:val="center"/>
        <w:rPr>
          <w:lang w:val="en-US"/>
        </w:rPr>
      </w:pPr>
      <w:r>
        <w:rPr>
          <w:noProof/>
          <w:lang w:eastAsia="lt-LT"/>
        </w:rPr>
        <w:drawing>
          <wp:inline distT="0" distB="0" distL="0" distR="0" wp14:anchorId="50E9BFE3" wp14:editId="32734654">
            <wp:extent cx="5096786" cy="2146852"/>
            <wp:effectExtent l="0" t="0" r="889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354D" w:rsidRPr="00B22DFB" w:rsidRDefault="0039511C" w:rsidP="00DC3C16">
      <w:pPr>
        <w:spacing w:line="240" w:lineRule="auto"/>
      </w:pPr>
      <w:r w:rsidRPr="00B22DFB">
        <w:t>4</w:t>
      </w:r>
      <w:r w:rsidR="00BB354D" w:rsidRPr="00B22DFB">
        <w:t xml:space="preserve"> pav. Standartizuotas mirtingumas dėl nukritimų Kauno mieste ir Lietuvoje, 2008-2014 m.</w:t>
      </w:r>
    </w:p>
    <w:p w:rsidR="00BB354D" w:rsidRPr="00B22DFB" w:rsidRDefault="00BB354D" w:rsidP="00DC3C16">
      <w:pPr>
        <w:spacing w:line="240" w:lineRule="auto"/>
        <w:rPr>
          <w:i/>
        </w:rPr>
      </w:pPr>
      <w:r w:rsidRPr="00B22DFB">
        <w:rPr>
          <w:i/>
        </w:rPr>
        <w:t xml:space="preserve">Šaltinis: Higienos instituto </w:t>
      </w:r>
      <w:r w:rsidR="002822B2" w:rsidRPr="00B22DFB">
        <w:rPr>
          <w:i/>
        </w:rPr>
        <w:t>S</w:t>
      </w:r>
      <w:r w:rsidRPr="00B22DFB">
        <w:rPr>
          <w:i/>
        </w:rPr>
        <w:t>veikatos informacijos centras</w:t>
      </w:r>
    </w:p>
    <w:p w:rsidR="00BB354D" w:rsidRPr="00B22DFB" w:rsidRDefault="00BB354D" w:rsidP="00BB354D">
      <w:pPr>
        <w:rPr>
          <w:i/>
        </w:rPr>
      </w:pPr>
    </w:p>
    <w:p w:rsidR="00BB354D" w:rsidRPr="00B22DFB" w:rsidRDefault="00491310" w:rsidP="00BB354D">
      <w:r w:rsidRPr="00B22DFB">
        <w:tab/>
      </w:r>
      <w:r w:rsidR="00BB354D" w:rsidRPr="00B22DFB">
        <w:t>Staigus mirtingumo dėl nukritimų atvejų skaičiaus didėjimas pastebimas jau 45</w:t>
      </w:r>
      <w:r w:rsidR="002822B2" w:rsidRPr="00B22DFB">
        <w:t>–</w:t>
      </w:r>
      <w:r w:rsidR="00BB354D" w:rsidRPr="00B22DFB">
        <w:t>65 metų amžiaus žmonių grupėje, tačiau pensinio amžiaus žmonių grupėje šis rodiklis išlieka didžiausias</w:t>
      </w:r>
      <w:r w:rsidR="0066716F">
        <w:br/>
      </w:r>
      <w:r w:rsidR="00BB354D" w:rsidRPr="00B22DFB">
        <w:t>(</w:t>
      </w:r>
      <w:r w:rsidR="0039511C" w:rsidRPr="00B22DFB">
        <w:t>5</w:t>
      </w:r>
      <w:r w:rsidR="00BB354D" w:rsidRPr="00B22DFB">
        <w:t xml:space="preserve"> pav.). Viena iš galimų priežasčių šio rodiklio didėjimui vyresnio amžiaus žmonių grupėje yra tai, </w:t>
      </w:r>
      <w:r w:rsidR="00BB354D" w:rsidRPr="00B22DFB">
        <w:lastRenderedPageBreak/>
        <w:t>jog</w:t>
      </w:r>
      <w:r w:rsidR="00D9564B" w:rsidRPr="00B22DFB">
        <w:t xml:space="preserve"> </w:t>
      </w:r>
      <w:r w:rsidR="00BB354D" w:rsidRPr="00B22DFB">
        <w:t>dėl osteoporozės ir prastos sveikatos senų žmonių traumos paprastai sunkesnės, dažniau sukelia komplikacijų, po kurių ilgiau sveikstama.</w:t>
      </w:r>
    </w:p>
    <w:p w:rsidR="00BB354D" w:rsidRPr="00B71408" w:rsidRDefault="00BB354D" w:rsidP="00BB354D">
      <w:pPr>
        <w:rPr>
          <w:i/>
        </w:rPr>
      </w:pPr>
    </w:p>
    <w:p w:rsidR="00BB354D" w:rsidRDefault="00BB354D" w:rsidP="00DC3C16">
      <w:pPr>
        <w:spacing w:line="240" w:lineRule="auto"/>
        <w:jc w:val="center"/>
        <w:rPr>
          <w:lang w:val="en-US"/>
        </w:rPr>
      </w:pPr>
      <w:r>
        <w:rPr>
          <w:noProof/>
          <w:lang w:eastAsia="lt-LT"/>
        </w:rPr>
        <w:drawing>
          <wp:inline distT="0" distB="0" distL="0" distR="0" wp14:anchorId="0B5DC4BC" wp14:editId="275106F6">
            <wp:extent cx="5064981" cy="2051436"/>
            <wp:effectExtent l="0" t="0" r="254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354D" w:rsidRPr="00B22DFB" w:rsidRDefault="0039511C" w:rsidP="00DC3C16">
      <w:pPr>
        <w:spacing w:line="240" w:lineRule="auto"/>
      </w:pPr>
      <w:r w:rsidRPr="00B22DFB">
        <w:t>5</w:t>
      </w:r>
      <w:r w:rsidR="00BB354D" w:rsidRPr="00B22DFB">
        <w:t xml:space="preserve"> pav. Mirtingumas dėl nukritimų Kauno mieste ir Lietuvoje pagal amžiaus gupes, 2014 m.</w:t>
      </w:r>
    </w:p>
    <w:p w:rsidR="00BB354D" w:rsidRPr="00B22DFB" w:rsidRDefault="00BB354D" w:rsidP="00DC3C16">
      <w:pPr>
        <w:spacing w:line="240" w:lineRule="auto"/>
        <w:rPr>
          <w:i/>
        </w:rPr>
      </w:pPr>
      <w:r w:rsidRPr="00B22DFB">
        <w:rPr>
          <w:i/>
        </w:rPr>
        <w:t xml:space="preserve">Šaltinis: Higienos instituto </w:t>
      </w:r>
      <w:r w:rsidR="002822B2" w:rsidRPr="00B22DFB">
        <w:rPr>
          <w:i/>
        </w:rPr>
        <w:t>S</w:t>
      </w:r>
      <w:r w:rsidRPr="00B22DFB">
        <w:rPr>
          <w:i/>
        </w:rPr>
        <w:t>veikatos informacijos centras</w:t>
      </w:r>
    </w:p>
    <w:p w:rsidR="00BB354D" w:rsidRPr="00B22DFB" w:rsidRDefault="00BB354D" w:rsidP="00BB354D"/>
    <w:p w:rsidR="00BB354D" w:rsidRPr="00B22DFB" w:rsidRDefault="00491310" w:rsidP="00BB354D">
      <w:r w:rsidRPr="00B22DFB">
        <w:tab/>
      </w:r>
      <w:r w:rsidR="00BB354D" w:rsidRPr="00B22DFB">
        <w:t xml:space="preserve">Nors, tyrimų duomenimis, susižaloti dėl nukritimų yra labiau linkusios moterys nei vyrai </w:t>
      </w:r>
      <w:r w:rsidR="00BF0A1E" w:rsidRPr="00B22DFB">
        <w:t>(</w:t>
      </w:r>
      <w:r w:rsidR="00BB354D" w:rsidRPr="00B22DFB">
        <w:t>dėl silpnesnio jų raumenyno ir dažnesnio sirgimo osteoporoze</w:t>
      </w:r>
      <w:r w:rsidR="00BF0A1E" w:rsidRPr="00B22DFB">
        <w:t>)</w:t>
      </w:r>
      <w:r w:rsidR="00BB354D" w:rsidRPr="00B22DFB">
        <w:t>, Kauno mieste didesnis mi</w:t>
      </w:r>
      <w:r w:rsidR="00B22DFB" w:rsidRPr="00B22DFB">
        <w:t xml:space="preserve">rtingumas buvo tarp vyrų. Ypač </w:t>
      </w:r>
      <w:r w:rsidR="00BB354D" w:rsidRPr="00B22DFB">
        <w:t>didelis skirtumas tarp 65+ metų amžiaus vyrų ir moterų mirtingumo rodiklio buvo 2013 metais, kuomet vyrų mirtingumas buvo 9 kartus didesnis nei to paties amžiaus moterų (</w:t>
      </w:r>
      <w:r w:rsidR="0039511C" w:rsidRPr="00B22DFB">
        <w:t>6</w:t>
      </w:r>
      <w:r w:rsidR="00BB354D" w:rsidRPr="00B22DFB">
        <w:t xml:space="preserve"> pav.).</w:t>
      </w:r>
    </w:p>
    <w:p w:rsidR="00BB354D" w:rsidRDefault="00BB354D" w:rsidP="00BB354D">
      <w:pPr>
        <w:rPr>
          <w:lang w:val="en-US"/>
        </w:rPr>
      </w:pPr>
    </w:p>
    <w:p w:rsidR="00BB354D" w:rsidRDefault="00BB354D" w:rsidP="00DC3C16">
      <w:pPr>
        <w:spacing w:line="240" w:lineRule="auto"/>
        <w:jc w:val="center"/>
        <w:rPr>
          <w:lang w:val="en-US"/>
        </w:rPr>
      </w:pPr>
      <w:r>
        <w:rPr>
          <w:noProof/>
          <w:lang w:eastAsia="lt-LT"/>
        </w:rPr>
        <w:drawing>
          <wp:inline distT="0" distB="0" distL="0" distR="0" wp14:anchorId="6A84DAB7" wp14:editId="05C78609">
            <wp:extent cx="5171847" cy="2062887"/>
            <wp:effectExtent l="0" t="0" r="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354D" w:rsidRPr="00B22DFB" w:rsidRDefault="0039511C" w:rsidP="00DC3C16">
      <w:pPr>
        <w:spacing w:line="240" w:lineRule="auto"/>
      </w:pPr>
      <w:r w:rsidRPr="00B22DFB">
        <w:t>6</w:t>
      </w:r>
      <w:r w:rsidR="00BB354D" w:rsidRPr="00B22DFB">
        <w:t xml:space="preserve"> pav. Vyrų ir moterų mirtingumas dėl nukritimų 65+ metų ir vyresnių asmenų amžiaus grupėje Kauno mieste, 2011</w:t>
      </w:r>
      <w:r w:rsidR="00BF0A1E" w:rsidRPr="00B22DFB">
        <w:t>–</w:t>
      </w:r>
      <w:r w:rsidR="00BB354D" w:rsidRPr="00B22DFB">
        <w:t>2014 m.</w:t>
      </w:r>
    </w:p>
    <w:p w:rsidR="00BB354D" w:rsidRPr="00B22DFB" w:rsidRDefault="00BB354D" w:rsidP="00DC3C16">
      <w:pPr>
        <w:spacing w:line="240" w:lineRule="auto"/>
        <w:rPr>
          <w:i/>
        </w:rPr>
      </w:pPr>
      <w:r w:rsidRPr="00B22DFB">
        <w:rPr>
          <w:i/>
        </w:rPr>
        <w:t xml:space="preserve">Šaltinis: Higienos instituto </w:t>
      </w:r>
      <w:r w:rsidR="00BF0A1E" w:rsidRPr="00B22DFB">
        <w:rPr>
          <w:i/>
        </w:rPr>
        <w:t>S</w:t>
      </w:r>
      <w:r w:rsidRPr="00B22DFB">
        <w:rPr>
          <w:i/>
        </w:rPr>
        <w:t>veikatos informacijos centras</w:t>
      </w:r>
    </w:p>
    <w:p w:rsidR="00BB354D" w:rsidRPr="00B22DFB" w:rsidRDefault="00491310" w:rsidP="00DC3C16">
      <w:pPr>
        <w:spacing w:line="240" w:lineRule="auto"/>
      </w:pPr>
      <w:r w:rsidRPr="00B22DFB">
        <w:tab/>
      </w:r>
    </w:p>
    <w:p w:rsidR="00BB354D" w:rsidRPr="007058DF" w:rsidRDefault="00491310" w:rsidP="00BB354D">
      <w:r w:rsidRPr="00B22DFB">
        <w:tab/>
      </w:r>
      <w:r w:rsidR="00BB354D" w:rsidRPr="00B22DFB">
        <w:t>Daugelis griuvimų nutinka užsiimant įprasta kasdienine veikla: einant, sėdantis, stojantis, lenkiantis</w:t>
      </w:r>
      <w:r w:rsidR="00BF0A1E" w:rsidRPr="00B22DFB">
        <w:t>,</w:t>
      </w:r>
      <w:r w:rsidR="00BB354D" w:rsidRPr="00B22DFB">
        <w:t xml:space="preserve"> ko nors siekiant ir dirbant namų ruošos darbus, taip pat dėl netinkamai pritaikytos aplinkos: nesaugiai suprojektuotas namas, slidžios grindys, laiptai, kilimai, nepakankamas a</w:t>
      </w:r>
      <w:r w:rsidR="00A85284" w:rsidRPr="00B22DFB">
        <w:t>pšvietimas</w:t>
      </w:r>
      <w:r w:rsidR="00A85284">
        <w:t xml:space="preserve">, nelygūs šaligatviai. </w:t>
      </w:r>
      <w:r w:rsidR="00BB354D">
        <w:t xml:space="preserve">Higienos instituto </w:t>
      </w:r>
      <w:r w:rsidR="00BF0A1E">
        <w:t>S</w:t>
      </w:r>
      <w:r w:rsidR="00BB354D">
        <w:t xml:space="preserve">veikatos informacijos centro duomenimis, griuvimai lygioje vietoje sudarė </w:t>
      </w:r>
      <w:r w:rsidR="00BB354D" w:rsidRPr="007058DF">
        <w:t>65 proc. visų mirčių dėl nukritimų tarp 65+ met</w:t>
      </w:r>
      <w:r w:rsidR="00BB354D">
        <w:t>ų amžiaus asmenų (</w:t>
      </w:r>
      <w:r w:rsidR="0039511C" w:rsidRPr="007058DF">
        <w:t>7</w:t>
      </w:r>
      <w:r w:rsidR="00BB354D" w:rsidRPr="007058DF">
        <w:t xml:space="preserve"> pav.).</w:t>
      </w:r>
    </w:p>
    <w:p w:rsidR="00BB354D" w:rsidRDefault="00BB354D" w:rsidP="00DC3C16">
      <w:pPr>
        <w:spacing w:line="240" w:lineRule="auto"/>
        <w:jc w:val="center"/>
        <w:rPr>
          <w:lang w:val="en-US"/>
        </w:rPr>
      </w:pPr>
      <w:r>
        <w:rPr>
          <w:noProof/>
          <w:lang w:eastAsia="lt-LT"/>
        </w:rPr>
        <w:lastRenderedPageBreak/>
        <w:drawing>
          <wp:inline distT="0" distB="0" distL="0" distR="0" wp14:anchorId="526DBBCB" wp14:editId="56CA413F">
            <wp:extent cx="4296587" cy="2516428"/>
            <wp:effectExtent l="19050" t="0" r="8713" b="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354D" w:rsidRPr="00B22DFB" w:rsidRDefault="0039511C" w:rsidP="00DC3C16">
      <w:pPr>
        <w:spacing w:line="240" w:lineRule="auto"/>
      </w:pPr>
      <w:r w:rsidRPr="00B22DFB">
        <w:t>7</w:t>
      </w:r>
      <w:r w:rsidR="00BB354D" w:rsidRPr="00B22DFB">
        <w:t xml:space="preserve"> pav. Mirusiųjų dėl nukritimo (65+ metų amžiaus) pasiskirstymas pagal įvykio pobūdį Kauno mieste, proc. 2014 m.</w:t>
      </w:r>
    </w:p>
    <w:p w:rsidR="00CF0193" w:rsidRPr="00B22DFB" w:rsidRDefault="00BB354D" w:rsidP="00DC3C16">
      <w:pPr>
        <w:spacing w:line="240" w:lineRule="auto"/>
        <w:rPr>
          <w:i/>
        </w:rPr>
      </w:pPr>
      <w:r w:rsidRPr="00B22DFB">
        <w:rPr>
          <w:i/>
        </w:rPr>
        <w:t xml:space="preserve">Šaltinis: Higienos instituto </w:t>
      </w:r>
      <w:r w:rsidR="00BF0A1E" w:rsidRPr="00B22DFB">
        <w:rPr>
          <w:i/>
        </w:rPr>
        <w:t>S</w:t>
      </w:r>
      <w:r w:rsidRPr="00B22DFB">
        <w:rPr>
          <w:i/>
        </w:rPr>
        <w:t>veikatos informacijos centras</w:t>
      </w:r>
    </w:p>
    <w:p w:rsidR="00491310" w:rsidRPr="00B22DFB" w:rsidRDefault="00491310" w:rsidP="00491310">
      <w:pPr>
        <w:spacing w:line="240" w:lineRule="auto"/>
        <w:rPr>
          <w:i/>
        </w:rPr>
      </w:pPr>
    </w:p>
    <w:p w:rsidR="00491310" w:rsidRPr="00B22DFB" w:rsidRDefault="00750DF0" w:rsidP="00DD66BD">
      <w:pPr>
        <w:pStyle w:val="Antrat3"/>
        <w:jc w:val="center"/>
        <w:rPr>
          <w:rFonts w:ascii="Times New Roman" w:hAnsi="Times New Roman" w:cs="Times New Roman"/>
          <w:color w:val="auto"/>
        </w:rPr>
      </w:pPr>
      <w:bookmarkStart w:id="16" w:name="_Toc439235728"/>
      <w:r w:rsidRPr="00B22DFB">
        <w:rPr>
          <w:rFonts w:ascii="Times New Roman" w:hAnsi="Times New Roman" w:cs="Times New Roman"/>
          <w:color w:val="auto"/>
        </w:rPr>
        <w:t>3.2</w:t>
      </w:r>
      <w:r w:rsidR="00DD66BD" w:rsidRPr="00B22DFB">
        <w:rPr>
          <w:rFonts w:ascii="Times New Roman" w:hAnsi="Times New Roman" w:cs="Times New Roman"/>
          <w:color w:val="auto"/>
        </w:rPr>
        <w:t xml:space="preserve">.2. </w:t>
      </w:r>
      <w:r w:rsidR="00491310" w:rsidRPr="00B22DFB">
        <w:rPr>
          <w:rFonts w:ascii="Times New Roman" w:hAnsi="Times New Roman" w:cs="Times New Roman"/>
          <w:color w:val="auto"/>
        </w:rPr>
        <w:t>Kauno miesto gyventojų sergamumas II tipo cukriniu diabetu</w:t>
      </w:r>
      <w:bookmarkEnd w:id="16"/>
    </w:p>
    <w:p w:rsidR="00491310" w:rsidRPr="00B22DFB" w:rsidRDefault="00491310" w:rsidP="00491310">
      <w:pPr>
        <w:rPr>
          <w:shd w:val="clear" w:color="auto" w:fill="FFFFFF"/>
        </w:rPr>
      </w:pPr>
      <w:r w:rsidRPr="00B22DFB">
        <w:rPr>
          <w:shd w:val="clear" w:color="auto" w:fill="FFFFFF"/>
        </w:rPr>
        <w:tab/>
        <w:t>Cukrinis diabetas (CD) –</w:t>
      </w:r>
      <w:r w:rsidR="00BF0A1E" w:rsidRPr="00B22DFB">
        <w:rPr>
          <w:shd w:val="clear" w:color="auto" w:fill="FFFFFF"/>
        </w:rPr>
        <w:t xml:space="preserve"> </w:t>
      </w:r>
      <w:r w:rsidRPr="00B22DFB">
        <w:rPr>
          <w:shd w:val="clear" w:color="auto" w:fill="FFFFFF"/>
        </w:rPr>
        <w:t>sparčiai plintanti lėtinė neinfekcinė liga,</w:t>
      </w:r>
      <w:r w:rsidR="00BF0A1E" w:rsidRPr="00B22DFB">
        <w:rPr>
          <w:shd w:val="clear" w:color="auto" w:fill="FFFFFF"/>
        </w:rPr>
        <w:t xml:space="preserve"> </w:t>
      </w:r>
      <w:r w:rsidRPr="00B22DFB">
        <w:rPr>
          <w:shd w:val="clear" w:color="auto" w:fill="FFFFFF"/>
        </w:rPr>
        <w:t>įgaunanti epidemijos m</w:t>
      </w:r>
      <w:r w:rsidR="00BF0A1E" w:rsidRPr="00B22DFB">
        <w:rPr>
          <w:shd w:val="clear" w:color="auto" w:fill="FFFFFF"/>
        </w:rPr>
        <w:t>as</w:t>
      </w:r>
      <w:r w:rsidRPr="00B22DFB">
        <w:rPr>
          <w:shd w:val="clear" w:color="auto" w:fill="FFFFFF"/>
        </w:rPr>
        <w:t>tą daugelyje šalių. Pasaulyje daugėja tiek sergančių 1 tipo, tiek 2 tipo CD, kuris sudaro 80–90 proc. visų CD atvejų. PSO duomenimis, CD serga daugiau nei 170 mln. žmonių pasaulyje.</w:t>
      </w:r>
    </w:p>
    <w:p w:rsidR="00491310" w:rsidRDefault="00491310" w:rsidP="00491310">
      <w:pPr>
        <w:rPr>
          <w:shd w:val="clear" w:color="auto" w:fill="FFFFFF"/>
        </w:rPr>
      </w:pPr>
      <w:r w:rsidRPr="00B22DFB">
        <w:rPr>
          <w:shd w:val="clear" w:color="auto" w:fill="FFFFFF"/>
        </w:rPr>
        <w:tab/>
        <w:t>2014 m. Lietuvoje 12 812 asmenų ambulatorinėse asmens sveikatos priežiūros įstaigose pirmą kartą gyvenime buvo užregistruotas II tipo cukrinis diabetas (nuo insulino nepriklausomas diabetas). Sergamumo šia liga rodiklis – 43,7/10 000 gyv. Nebuvo nei vienos savivaldybės, kurioje nebūtų diagnozuotas šis susirgimas (</w:t>
      </w:r>
      <w:r w:rsidR="0039511C" w:rsidRPr="00B22DFB">
        <w:rPr>
          <w:shd w:val="clear" w:color="auto" w:fill="FFFFFF"/>
        </w:rPr>
        <w:t>8</w:t>
      </w:r>
      <w:r w:rsidRPr="00B22DFB">
        <w:rPr>
          <w:shd w:val="clear" w:color="auto" w:fill="FFFFFF"/>
        </w:rPr>
        <w:t xml:space="preserve"> pav.). Kauno miesto savivaldybė</w:t>
      </w:r>
      <w:r>
        <w:rPr>
          <w:shd w:val="clear" w:color="auto" w:fill="FFFFFF"/>
        </w:rPr>
        <w:t xml:space="preserve"> buvo tarp tų savivaldybių, kurioje sergamumas II tipo cukriniu diabetu buvo vienas didžiausių (68,9/10 000 gyv.).</w:t>
      </w:r>
    </w:p>
    <w:p w:rsidR="00491310" w:rsidRDefault="00491310" w:rsidP="00DC3C16">
      <w:pPr>
        <w:spacing w:line="240" w:lineRule="auto"/>
        <w:jc w:val="center"/>
        <w:rPr>
          <w:shd w:val="clear" w:color="auto" w:fill="FFFFFF"/>
        </w:rPr>
      </w:pPr>
      <w:r>
        <w:rPr>
          <w:i/>
          <w:noProof/>
          <w:szCs w:val="24"/>
          <w:lang w:eastAsia="lt-LT"/>
        </w:rPr>
        <w:drawing>
          <wp:inline distT="0" distB="0" distL="0" distR="0" wp14:anchorId="2835FA4F" wp14:editId="39D07C2C">
            <wp:extent cx="3692167" cy="2772000"/>
            <wp:effectExtent l="0" t="0" r="3810" b="952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92167" cy="2772000"/>
                    </a:xfrm>
                    <a:prstGeom prst="rect">
                      <a:avLst/>
                    </a:prstGeom>
                    <a:noFill/>
                    <a:ln>
                      <a:noFill/>
                    </a:ln>
                  </pic:spPr>
                </pic:pic>
              </a:graphicData>
            </a:graphic>
          </wp:inline>
        </w:drawing>
      </w:r>
    </w:p>
    <w:p w:rsidR="00491310" w:rsidRDefault="0039511C" w:rsidP="00DC3C16">
      <w:pPr>
        <w:spacing w:line="240" w:lineRule="auto"/>
        <w:rPr>
          <w:shd w:val="clear" w:color="auto" w:fill="FFFFFF"/>
        </w:rPr>
      </w:pPr>
      <w:r>
        <w:rPr>
          <w:shd w:val="clear" w:color="auto" w:fill="FFFFFF"/>
        </w:rPr>
        <w:t>8</w:t>
      </w:r>
      <w:r w:rsidR="00491310">
        <w:rPr>
          <w:shd w:val="clear" w:color="auto" w:fill="FFFFFF"/>
        </w:rPr>
        <w:t xml:space="preserve"> pav. Sergamumas II tipo cukriniu diabetu (E11) 10 000 gyv., 2014 m.</w:t>
      </w:r>
    </w:p>
    <w:p w:rsidR="00491310" w:rsidRPr="006D4635" w:rsidRDefault="00491310" w:rsidP="00DC3C16">
      <w:pPr>
        <w:spacing w:line="240" w:lineRule="auto"/>
        <w:rPr>
          <w:i/>
          <w:shd w:val="clear" w:color="auto" w:fill="FFFFFF"/>
        </w:rPr>
      </w:pPr>
      <w:r w:rsidRPr="006D4635">
        <w:rPr>
          <w:i/>
          <w:shd w:val="clear" w:color="auto" w:fill="FFFFFF"/>
        </w:rPr>
        <w:t xml:space="preserve">Šaltinis: Higienos instituto </w:t>
      </w:r>
      <w:r w:rsidR="00BF0A1E">
        <w:rPr>
          <w:i/>
          <w:shd w:val="clear" w:color="auto" w:fill="FFFFFF"/>
        </w:rPr>
        <w:t>S</w:t>
      </w:r>
      <w:r w:rsidRPr="006D4635">
        <w:rPr>
          <w:i/>
          <w:shd w:val="clear" w:color="auto" w:fill="FFFFFF"/>
        </w:rPr>
        <w:t>veikatos informacijos centras</w:t>
      </w:r>
    </w:p>
    <w:p w:rsidR="00491310" w:rsidRDefault="00491310" w:rsidP="00491310">
      <w:pPr>
        <w:rPr>
          <w:sz w:val="28"/>
          <w:szCs w:val="28"/>
        </w:rPr>
      </w:pPr>
    </w:p>
    <w:p w:rsidR="00491310" w:rsidRPr="00B22DFB" w:rsidRDefault="00491310" w:rsidP="00491310">
      <w:pPr>
        <w:rPr>
          <w:szCs w:val="24"/>
        </w:rPr>
      </w:pPr>
      <w:r>
        <w:rPr>
          <w:szCs w:val="24"/>
        </w:rPr>
        <w:lastRenderedPageBreak/>
        <w:tab/>
      </w:r>
      <w:r w:rsidRPr="00B22DFB">
        <w:rPr>
          <w:szCs w:val="24"/>
        </w:rPr>
        <w:t>Naujai užregistruotų susirgimų II tipo cukriniu diabetu rodiklis 1 000 gyv.</w:t>
      </w:r>
      <w:r w:rsidR="00BF0A1E" w:rsidRPr="00B22DFB">
        <w:rPr>
          <w:szCs w:val="24"/>
        </w:rPr>
        <w:t xml:space="preserve"> </w:t>
      </w:r>
      <w:r w:rsidRPr="00B22DFB">
        <w:rPr>
          <w:rFonts w:eastAsia="Times New Roman"/>
          <w:szCs w:val="24"/>
          <w:lang w:eastAsia="lt-LT"/>
        </w:rPr>
        <w:t>2005</w:t>
      </w:r>
      <w:r w:rsidR="00BF0A1E" w:rsidRPr="00B22DFB">
        <w:rPr>
          <w:rFonts w:eastAsia="Times New Roman"/>
          <w:szCs w:val="24"/>
          <w:lang w:eastAsia="lt-LT"/>
        </w:rPr>
        <w:t>–</w:t>
      </w:r>
      <w:r w:rsidRPr="00B22DFB">
        <w:rPr>
          <w:rFonts w:eastAsia="Times New Roman"/>
          <w:szCs w:val="24"/>
          <w:lang w:eastAsia="lt-LT"/>
        </w:rPr>
        <w:t>2014 m. laikotarpiu didėjo visoje Lietuvoje (</w:t>
      </w:r>
      <w:r w:rsidR="0039511C" w:rsidRPr="00B22DFB">
        <w:rPr>
          <w:rFonts w:eastAsia="Times New Roman"/>
          <w:szCs w:val="24"/>
          <w:lang w:eastAsia="lt-LT"/>
        </w:rPr>
        <w:t>9</w:t>
      </w:r>
      <w:r w:rsidRPr="00B22DFB">
        <w:rPr>
          <w:rFonts w:eastAsia="Times New Roman"/>
          <w:szCs w:val="24"/>
          <w:lang w:eastAsia="lt-LT"/>
        </w:rPr>
        <w:t xml:space="preserve"> pav.). 2014 m. šis rodiklis Kauno mieste buvo daugiau nei tris kartus didesnis nei </w:t>
      </w:r>
      <w:r w:rsidR="00B22DFB">
        <w:rPr>
          <w:rFonts w:eastAsia="Times New Roman"/>
          <w:szCs w:val="24"/>
          <w:lang w:eastAsia="lt-LT"/>
        </w:rPr>
        <w:t xml:space="preserve">2005 m. (atitinkamai 6,9/1 000 </w:t>
      </w:r>
      <w:r w:rsidRPr="00B22DFB">
        <w:rPr>
          <w:rFonts w:eastAsia="Times New Roman"/>
          <w:szCs w:val="24"/>
          <w:lang w:eastAsia="lt-LT"/>
        </w:rPr>
        <w:t xml:space="preserve">ir 2,21/1 000), o Lietuvoje – du kartus didesnis (2005 m. – 2,16/1 000, o 2014 m. jau 4,38/1 000). </w:t>
      </w:r>
    </w:p>
    <w:p w:rsidR="00491310" w:rsidRPr="00B22DFB" w:rsidRDefault="00491310" w:rsidP="00DC3C16">
      <w:pPr>
        <w:spacing w:line="240" w:lineRule="auto"/>
        <w:jc w:val="center"/>
        <w:rPr>
          <w:sz w:val="28"/>
          <w:szCs w:val="28"/>
        </w:rPr>
      </w:pPr>
      <w:r w:rsidRPr="00B22DFB">
        <w:rPr>
          <w:noProof/>
          <w:lang w:eastAsia="lt-LT"/>
        </w:rPr>
        <w:drawing>
          <wp:inline distT="0" distB="0" distL="0" distR="0" wp14:anchorId="01CE5461" wp14:editId="6387AF54">
            <wp:extent cx="5152446" cy="2393342"/>
            <wp:effectExtent l="0" t="0" r="0" b="698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1310" w:rsidRPr="00B22DFB" w:rsidRDefault="0039511C" w:rsidP="00DC3C16">
      <w:pPr>
        <w:spacing w:line="240" w:lineRule="auto"/>
        <w:rPr>
          <w:rFonts w:eastAsia="Times New Roman"/>
          <w:szCs w:val="24"/>
          <w:lang w:eastAsia="lt-LT"/>
        </w:rPr>
      </w:pPr>
      <w:r w:rsidRPr="00B22DFB">
        <w:rPr>
          <w:rFonts w:eastAsia="Times New Roman"/>
          <w:szCs w:val="24"/>
          <w:lang w:eastAsia="lt-LT"/>
        </w:rPr>
        <w:t>9</w:t>
      </w:r>
      <w:r w:rsidR="00491310" w:rsidRPr="00B22DFB">
        <w:rPr>
          <w:rFonts w:eastAsia="Times New Roman"/>
          <w:szCs w:val="24"/>
          <w:lang w:eastAsia="lt-LT"/>
        </w:rPr>
        <w:t xml:space="preserve"> pav. Naujai u</w:t>
      </w:r>
      <w:r w:rsidRPr="00B22DFB">
        <w:rPr>
          <w:rFonts w:eastAsia="Times New Roman"/>
          <w:szCs w:val="24"/>
          <w:lang w:eastAsia="lt-LT"/>
        </w:rPr>
        <w:t>žregistruotų susirgimų skaičius</w:t>
      </w:r>
      <w:r w:rsidR="00491310" w:rsidRPr="00B22DFB">
        <w:rPr>
          <w:rFonts w:eastAsia="Times New Roman"/>
          <w:szCs w:val="24"/>
          <w:lang w:eastAsia="lt-LT"/>
        </w:rPr>
        <w:t xml:space="preserve"> II tipo cukriniu diabetu Kauno mieste ir Lietuvoje 1 000 gyv., 2005</w:t>
      </w:r>
      <w:r w:rsidR="00BF0A1E" w:rsidRPr="00B22DFB">
        <w:rPr>
          <w:rFonts w:eastAsia="Times New Roman"/>
          <w:szCs w:val="24"/>
          <w:lang w:eastAsia="lt-LT"/>
        </w:rPr>
        <w:t>–</w:t>
      </w:r>
      <w:r w:rsidR="00491310" w:rsidRPr="00B22DFB">
        <w:rPr>
          <w:rFonts w:eastAsia="Times New Roman"/>
          <w:szCs w:val="24"/>
          <w:lang w:eastAsia="lt-LT"/>
        </w:rPr>
        <w:t>2014 m.</w:t>
      </w:r>
    </w:p>
    <w:p w:rsidR="00491310" w:rsidRPr="001144F1" w:rsidRDefault="00491310" w:rsidP="00DC3C16">
      <w:pPr>
        <w:spacing w:line="240" w:lineRule="auto"/>
        <w:rPr>
          <w:i/>
          <w:szCs w:val="24"/>
        </w:rPr>
      </w:pPr>
      <w:r w:rsidRPr="001144F1">
        <w:rPr>
          <w:i/>
          <w:szCs w:val="24"/>
        </w:rPr>
        <w:t xml:space="preserve">Šaltinis: Higienos instituto </w:t>
      </w:r>
      <w:r w:rsidR="00BF0A1E">
        <w:rPr>
          <w:i/>
          <w:szCs w:val="24"/>
        </w:rPr>
        <w:t>S</w:t>
      </w:r>
      <w:r w:rsidRPr="001144F1">
        <w:rPr>
          <w:i/>
          <w:szCs w:val="24"/>
        </w:rPr>
        <w:t>veikatos informacijos centras</w:t>
      </w:r>
    </w:p>
    <w:p w:rsidR="00491310" w:rsidRPr="00881CDB" w:rsidRDefault="00491310" w:rsidP="00491310">
      <w:pPr>
        <w:rPr>
          <w:sz w:val="28"/>
          <w:szCs w:val="28"/>
        </w:rPr>
      </w:pPr>
    </w:p>
    <w:p w:rsidR="00491310" w:rsidRPr="00D434AA" w:rsidRDefault="00491310" w:rsidP="00491310">
      <w:pPr>
        <w:rPr>
          <w:szCs w:val="24"/>
        </w:rPr>
      </w:pPr>
      <w:r>
        <w:rPr>
          <w:szCs w:val="24"/>
        </w:rPr>
        <w:tab/>
        <w:t>Analizuojant sergamumą II tipo cukriniu diabetu pagal lytį, Kauno mieste tiek vyrų</w:t>
      </w:r>
      <w:r w:rsidR="00BF0A1E">
        <w:rPr>
          <w:szCs w:val="24"/>
        </w:rPr>
        <w:t>,</w:t>
      </w:r>
      <w:r>
        <w:rPr>
          <w:szCs w:val="24"/>
        </w:rPr>
        <w:t xml:space="preserve"> tiek moterų sergamumo rodiklis 1 000 </w:t>
      </w:r>
      <w:r w:rsidRPr="00DC3C16">
        <w:rPr>
          <w:szCs w:val="24"/>
        </w:rPr>
        <w:t>gyv. ne</w:t>
      </w:r>
      <w:r w:rsidR="00D9564B" w:rsidRPr="00DC3C16">
        <w:rPr>
          <w:szCs w:val="24"/>
        </w:rPr>
        <w:t>tolygiai</w:t>
      </w:r>
      <w:r w:rsidRPr="00DC3C16">
        <w:rPr>
          <w:szCs w:val="24"/>
        </w:rPr>
        <w:t xml:space="preserve"> didėjo (</w:t>
      </w:r>
      <w:r w:rsidR="00D9564B" w:rsidRPr="00DC3C16">
        <w:rPr>
          <w:szCs w:val="24"/>
        </w:rPr>
        <w:t>10</w:t>
      </w:r>
      <w:r w:rsidRPr="00DC3C16">
        <w:rPr>
          <w:szCs w:val="24"/>
        </w:rPr>
        <w:t xml:space="preserve"> pav.). </w:t>
      </w:r>
      <w:r w:rsidRPr="007058DF">
        <w:rPr>
          <w:szCs w:val="24"/>
        </w:rPr>
        <w:t>2005</w:t>
      </w:r>
      <w:r w:rsidR="00BF0A1E">
        <w:rPr>
          <w:szCs w:val="24"/>
        </w:rPr>
        <w:t>–</w:t>
      </w:r>
      <w:r w:rsidRPr="007058DF">
        <w:rPr>
          <w:szCs w:val="24"/>
        </w:rPr>
        <w:t>2014 m. laikotarpiu moter</w:t>
      </w:r>
      <w:r>
        <w:rPr>
          <w:szCs w:val="24"/>
        </w:rPr>
        <w:t xml:space="preserve">ų sergamumo cukriniu diabetu rodiklis buvo didesnis, išskyrus </w:t>
      </w:r>
      <w:r w:rsidRPr="007058DF">
        <w:rPr>
          <w:szCs w:val="24"/>
        </w:rPr>
        <w:t>2007</w:t>
      </w:r>
      <w:r w:rsidR="00BF0A1E">
        <w:rPr>
          <w:szCs w:val="24"/>
        </w:rPr>
        <w:t>–</w:t>
      </w:r>
      <w:r w:rsidRPr="007058DF">
        <w:rPr>
          <w:szCs w:val="24"/>
        </w:rPr>
        <w:t>2009 m. period</w:t>
      </w:r>
      <w:r>
        <w:rPr>
          <w:szCs w:val="24"/>
        </w:rPr>
        <w:t>ą, kuomet sergamum</w:t>
      </w:r>
      <w:r w:rsidR="00E050EB">
        <w:rPr>
          <w:szCs w:val="24"/>
        </w:rPr>
        <w:t>o skirtumas tarp lyčių sumažėjo (10 pav.).</w:t>
      </w:r>
    </w:p>
    <w:p w:rsidR="00491310" w:rsidRDefault="00491310" w:rsidP="00DC3C16">
      <w:pPr>
        <w:spacing w:line="240" w:lineRule="auto"/>
        <w:jc w:val="center"/>
        <w:rPr>
          <w:sz w:val="28"/>
          <w:szCs w:val="28"/>
        </w:rPr>
      </w:pPr>
      <w:r>
        <w:rPr>
          <w:noProof/>
          <w:lang w:eastAsia="lt-LT"/>
        </w:rPr>
        <w:drawing>
          <wp:inline distT="0" distB="0" distL="0" distR="0" wp14:anchorId="54A2F70F" wp14:editId="0AECE500">
            <wp:extent cx="5613621" cy="2099145"/>
            <wp:effectExtent l="0" t="0" r="63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9564B" w:rsidRDefault="00E050EB" w:rsidP="00DC3C16">
      <w:pPr>
        <w:spacing w:line="240" w:lineRule="auto"/>
        <w:rPr>
          <w:szCs w:val="24"/>
        </w:rPr>
      </w:pPr>
      <w:r>
        <w:rPr>
          <w:szCs w:val="24"/>
        </w:rPr>
        <w:t xml:space="preserve">10 pav. </w:t>
      </w:r>
      <w:r w:rsidR="00491310" w:rsidRPr="00293FB2">
        <w:rPr>
          <w:szCs w:val="24"/>
        </w:rPr>
        <w:t xml:space="preserve">Vyrų ir moterų sergamumas II tipo cukriniu diabetu (naujai užregistruotų susirgimų skaičius) </w:t>
      </w:r>
    </w:p>
    <w:p w:rsidR="00491310" w:rsidRPr="00293FB2" w:rsidRDefault="00491310" w:rsidP="00DC3C16">
      <w:pPr>
        <w:spacing w:line="240" w:lineRule="auto"/>
        <w:rPr>
          <w:szCs w:val="24"/>
          <w:lang w:val="en-US"/>
        </w:rPr>
      </w:pPr>
      <w:r w:rsidRPr="00293FB2">
        <w:rPr>
          <w:szCs w:val="24"/>
          <w:lang w:val="en-US"/>
        </w:rPr>
        <w:t>1 000 gyv. 20</w:t>
      </w:r>
      <w:r w:rsidR="00D9564B">
        <w:rPr>
          <w:szCs w:val="24"/>
          <w:lang w:val="en-US"/>
        </w:rPr>
        <w:t>05</w:t>
      </w:r>
      <w:r w:rsidR="00BF0A1E">
        <w:rPr>
          <w:szCs w:val="24"/>
          <w:lang w:val="en-US"/>
        </w:rPr>
        <w:t>–</w:t>
      </w:r>
      <w:r w:rsidRPr="00293FB2">
        <w:rPr>
          <w:szCs w:val="24"/>
          <w:lang w:val="en-US"/>
        </w:rPr>
        <w:t>2014 m.</w:t>
      </w:r>
    </w:p>
    <w:p w:rsidR="00491310" w:rsidRPr="001144F1" w:rsidRDefault="00491310" w:rsidP="00DC3C16">
      <w:pPr>
        <w:spacing w:line="240" w:lineRule="auto"/>
        <w:rPr>
          <w:i/>
          <w:szCs w:val="24"/>
        </w:rPr>
      </w:pPr>
      <w:r w:rsidRPr="001144F1">
        <w:rPr>
          <w:i/>
          <w:szCs w:val="24"/>
        </w:rPr>
        <w:t xml:space="preserve">Šaltinis: Higienos instituto </w:t>
      </w:r>
      <w:r w:rsidR="00BF0A1E">
        <w:rPr>
          <w:i/>
          <w:szCs w:val="24"/>
        </w:rPr>
        <w:t>S</w:t>
      </w:r>
      <w:r w:rsidRPr="001144F1">
        <w:rPr>
          <w:i/>
          <w:szCs w:val="24"/>
        </w:rPr>
        <w:t>veikatos informacijos centras</w:t>
      </w:r>
    </w:p>
    <w:p w:rsidR="00491310" w:rsidRDefault="00491310" w:rsidP="00491310">
      <w:pPr>
        <w:rPr>
          <w:szCs w:val="24"/>
          <w:lang w:val="en-US"/>
        </w:rPr>
      </w:pPr>
    </w:p>
    <w:p w:rsidR="00491310" w:rsidRPr="00B22DFB" w:rsidRDefault="00491310" w:rsidP="00491310">
      <w:pPr>
        <w:rPr>
          <w:szCs w:val="24"/>
        </w:rPr>
      </w:pPr>
      <w:r>
        <w:rPr>
          <w:szCs w:val="24"/>
          <w:lang w:val="en-US"/>
        </w:rPr>
        <w:tab/>
      </w:r>
      <w:r w:rsidRPr="00B22DFB">
        <w:rPr>
          <w:szCs w:val="24"/>
        </w:rPr>
        <w:t xml:space="preserve">Daugiausiai II tipo cukriniu diabetu sirgo vyresnio amžiaus žmonės. 2014 m. Kauno mieste didžiausias sergamumo 1 000 gyv. rodiklis buvo tarp 65+ metų amžiaus asmenų (17,91/1 000 gyv.), tačiau sergamumo šia liga rodiklis </w:t>
      </w:r>
      <w:r w:rsidR="00E050EB" w:rsidRPr="00B22DFB">
        <w:rPr>
          <w:szCs w:val="24"/>
        </w:rPr>
        <w:t>reikšmingai</w:t>
      </w:r>
      <w:r w:rsidR="00D9564B" w:rsidRPr="00B22DFB">
        <w:rPr>
          <w:szCs w:val="24"/>
        </w:rPr>
        <w:t xml:space="preserve"> </w:t>
      </w:r>
      <w:r w:rsidR="00E050EB" w:rsidRPr="00B22DFB">
        <w:rPr>
          <w:szCs w:val="24"/>
        </w:rPr>
        <w:t>didėja</w:t>
      </w:r>
      <w:r w:rsidRPr="00B22DFB">
        <w:rPr>
          <w:szCs w:val="24"/>
        </w:rPr>
        <w:t xml:space="preserve"> nuo 45 metų amžiaus (10,87/ 1 000 gyv. 45</w:t>
      </w:r>
      <w:r w:rsidR="00BF0A1E" w:rsidRPr="00B22DFB">
        <w:rPr>
          <w:szCs w:val="24"/>
        </w:rPr>
        <w:t>–</w:t>
      </w:r>
      <w:r w:rsidRPr="00B22DFB">
        <w:rPr>
          <w:szCs w:val="24"/>
        </w:rPr>
        <w:t xml:space="preserve">64 metų amžiaus asmenų grupėje). </w:t>
      </w:r>
    </w:p>
    <w:p w:rsidR="00491310" w:rsidRPr="00B22DFB" w:rsidRDefault="00491310" w:rsidP="00491310">
      <w:pPr>
        <w:rPr>
          <w:szCs w:val="24"/>
        </w:rPr>
      </w:pPr>
      <w:r w:rsidRPr="00B22DFB">
        <w:rPr>
          <w:sz w:val="28"/>
          <w:szCs w:val="28"/>
        </w:rPr>
        <w:lastRenderedPageBreak/>
        <w:tab/>
      </w:r>
      <w:r w:rsidRPr="00B22DFB">
        <w:rPr>
          <w:szCs w:val="24"/>
        </w:rPr>
        <w:t>Standartizuoto mirtingumo nuo cukrinio diabeto rodiklis 100 000 gyv. 2005</w:t>
      </w:r>
      <w:r w:rsidR="00BF0A1E" w:rsidRPr="00B22DFB">
        <w:rPr>
          <w:szCs w:val="24"/>
        </w:rPr>
        <w:t>–</w:t>
      </w:r>
      <w:r w:rsidRPr="00B22DFB">
        <w:rPr>
          <w:szCs w:val="24"/>
        </w:rPr>
        <w:t>2014 m. laikotarpiu mažėjo tiek Lietuvoje, tiek Kauno mieste, tačiau visu šiuo periodu Kauno mieste mirtingumas buvo didesnis nei vidutiniškai Lietuvoje (</w:t>
      </w:r>
      <w:r w:rsidR="00E050EB" w:rsidRPr="00B22DFB">
        <w:rPr>
          <w:szCs w:val="24"/>
        </w:rPr>
        <w:t>11 pav</w:t>
      </w:r>
      <w:r w:rsidRPr="00B22DFB">
        <w:rPr>
          <w:szCs w:val="24"/>
        </w:rPr>
        <w:t>.). 2014 m. standartizuoto mirtingumo nuo cukrinio diabeto rodiklis Kauno mieste buvo 8,33/100 000 gyv., Lietuvoje – 5,9/100 000 gyv.</w:t>
      </w:r>
    </w:p>
    <w:p w:rsidR="00491310" w:rsidRPr="00B22DFB" w:rsidRDefault="00491310" w:rsidP="00DC3C16">
      <w:pPr>
        <w:spacing w:line="240" w:lineRule="auto"/>
        <w:jc w:val="center"/>
        <w:rPr>
          <w:sz w:val="28"/>
          <w:szCs w:val="28"/>
        </w:rPr>
      </w:pPr>
      <w:r w:rsidRPr="00B22DFB">
        <w:rPr>
          <w:noProof/>
          <w:lang w:eastAsia="lt-LT"/>
        </w:rPr>
        <w:drawing>
          <wp:inline distT="0" distB="0" distL="0" distR="0" wp14:anchorId="7EC94E60" wp14:editId="0BD0AC91">
            <wp:extent cx="5303520" cy="2330096"/>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91310" w:rsidRPr="00B22DFB" w:rsidRDefault="00E050EB" w:rsidP="00DC3C16">
      <w:pPr>
        <w:spacing w:line="240" w:lineRule="auto"/>
        <w:rPr>
          <w:szCs w:val="24"/>
        </w:rPr>
      </w:pPr>
      <w:r w:rsidRPr="00B22DFB">
        <w:rPr>
          <w:szCs w:val="24"/>
        </w:rPr>
        <w:t xml:space="preserve">11 pav. </w:t>
      </w:r>
      <w:r w:rsidR="00491310" w:rsidRPr="00B22DFB">
        <w:rPr>
          <w:szCs w:val="24"/>
        </w:rPr>
        <w:t>Standartizuotas mirtingumas nuo diabeto (E10-E14) 100 000 gyv. Kauno mieste ir Lietuvoje, 2005</w:t>
      </w:r>
      <w:r w:rsidR="00BF0A1E" w:rsidRPr="00B22DFB">
        <w:rPr>
          <w:szCs w:val="24"/>
        </w:rPr>
        <w:t>–</w:t>
      </w:r>
      <w:r w:rsidR="00491310" w:rsidRPr="00B22DFB">
        <w:rPr>
          <w:szCs w:val="24"/>
        </w:rPr>
        <w:t>2014 m.</w:t>
      </w:r>
    </w:p>
    <w:p w:rsidR="00491310" w:rsidRPr="00B22DFB" w:rsidRDefault="00491310" w:rsidP="00DC3C16">
      <w:pPr>
        <w:spacing w:line="240" w:lineRule="auto"/>
        <w:rPr>
          <w:i/>
          <w:szCs w:val="24"/>
        </w:rPr>
      </w:pPr>
      <w:r w:rsidRPr="00B22DFB">
        <w:rPr>
          <w:i/>
          <w:szCs w:val="24"/>
        </w:rPr>
        <w:t xml:space="preserve">Šaltinis: Higienos instituto </w:t>
      </w:r>
      <w:r w:rsidR="00BF0A1E" w:rsidRPr="00B22DFB">
        <w:rPr>
          <w:i/>
          <w:szCs w:val="24"/>
        </w:rPr>
        <w:t>S</w:t>
      </w:r>
      <w:r w:rsidRPr="00B22DFB">
        <w:rPr>
          <w:i/>
          <w:szCs w:val="24"/>
        </w:rPr>
        <w:t>veikatos informacijos centras</w:t>
      </w:r>
    </w:p>
    <w:p w:rsidR="00E050EB" w:rsidRPr="00B22DFB" w:rsidRDefault="00E050EB" w:rsidP="00491310">
      <w:pPr>
        <w:spacing w:line="240" w:lineRule="auto"/>
        <w:rPr>
          <w:i/>
          <w:szCs w:val="24"/>
        </w:rPr>
      </w:pPr>
    </w:p>
    <w:p w:rsidR="00491310" w:rsidRPr="00B22DFB" w:rsidRDefault="00491310" w:rsidP="00491310">
      <w:pPr>
        <w:rPr>
          <w:szCs w:val="24"/>
        </w:rPr>
      </w:pPr>
      <w:r w:rsidRPr="00B22DFB">
        <w:rPr>
          <w:szCs w:val="24"/>
        </w:rPr>
        <w:tab/>
        <w:t xml:space="preserve">Didelis sergamumo cukriniu diabetu rodiklio padidėjimas gali būti sietinas </w:t>
      </w:r>
      <w:r w:rsidR="00E050EB" w:rsidRPr="00B22DFB">
        <w:rPr>
          <w:szCs w:val="24"/>
        </w:rPr>
        <w:t xml:space="preserve">ne tik su gyvensenos įpročiais, bet ir </w:t>
      </w:r>
      <w:r w:rsidRPr="00B22DFB">
        <w:rPr>
          <w:szCs w:val="24"/>
        </w:rPr>
        <w:t>su išsamesne</w:t>
      </w:r>
      <w:r w:rsidR="00E050EB" w:rsidRPr="00B22DFB">
        <w:rPr>
          <w:szCs w:val="24"/>
        </w:rPr>
        <w:t xml:space="preserve"> atvejų apskaita: n</w:t>
      </w:r>
      <w:r w:rsidRPr="00B22DFB">
        <w:rPr>
          <w:szCs w:val="24"/>
        </w:rPr>
        <w:t xml:space="preserve">uo 2011 m. pasikeitus formos Nr. 066/a-LK „Stacionare gydomo asmens statistinė kortelė“ pildymui, buvo pradėtos koduoti visos komplikacijos ir gretutinės ligos. Tai galimai turėjo įtakos padidėjusiam sergančių asmenų </w:t>
      </w:r>
      <w:r w:rsidR="00BF0A1E" w:rsidRPr="00B22DFB">
        <w:rPr>
          <w:szCs w:val="24"/>
        </w:rPr>
        <w:t>ir</w:t>
      </w:r>
      <w:r w:rsidRPr="00B22DFB">
        <w:rPr>
          <w:szCs w:val="24"/>
        </w:rPr>
        <w:t xml:space="preserve"> užregistruotų ligų skaičiui. Nuo 2013 m. skaičiuojant susirgimus, užregistruotus ambulatorines paslaugas teikiančiose asmens sveikatos priežiūros įstaigose, įtraukiamos ir priėmimo skyriuose užregistruotos ligos. Dėl šios priežasties pastebimas kai kurių ligų, ypač sužalojimų, apsinuodijimų ir tam tikrų išorinių poveikių padarinių (S00–T98), padidėjimas. Taip pat toks tendencingas sergamumo 2-ojo tipo cukriniu diabetu rodiklių augimas atspindi kitas populiacijoje vyraujančias problemas, tokias kaip nutukimas, mažas fizinis aktyvumas, nesubalansuota mityba</w:t>
      </w:r>
      <w:r w:rsidR="00D9564B" w:rsidRPr="00B22DFB">
        <w:rPr>
          <w:szCs w:val="24"/>
        </w:rPr>
        <w:t xml:space="preserve"> </w:t>
      </w:r>
      <w:r w:rsidRPr="00B22DFB">
        <w:rPr>
          <w:szCs w:val="24"/>
        </w:rPr>
        <w:t>ir pan.</w:t>
      </w:r>
    </w:p>
    <w:p w:rsidR="00365FDE" w:rsidRPr="00B22DFB" w:rsidRDefault="00365FDE" w:rsidP="00491310">
      <w:pPr>
        <w:rPr>
          <w:szCs w:val="24"/>
        </w:rPr>
      </w:pPr>
    </w:p>
    <w:p w:rsidR="008912C0" w:rsidRPr="00B22DFB" w:rsidRDefault="00750DF0" w:rsidP="008912C0">
      <w:pPr>
        <w:pStyle w:val="Antrat3"/>
        <w:jc w:val="center"/>
        <w:rPr>
          <w:rFonts w:ascii="Times New Roman" w:hAnsi="Times New Roman" w:cs="Times New Roman"/>
          <w:color w:val="auto"/>
        </w:rPr>
      </w:pPr>
      <w:bookmarkStart w:id="17" w:name="_Toc439235729"/>
      <w:r w:rsidRPr="00B22DFB">
        <w:rPr>
          <w:rFonts w:ascii="Times New Roman" w:hAnsi="Times New Roman" w:cs="Times New Roman"/>
          <w:color w:val="auto"/>
        </w:rPr>
        <w:t>3.2</w:t>
      </w:r>
      <w:r w:rsidR="00DD66BD" w:rsidRPr="00B22DFB">
        <w:rPr>
          <w:rFonts w:ascii="Times New Roman" w:hAnsi="Times New Roman" w:cs="Times New Roman"/>
          <w:color w:val="auto"/>
        </w:rPr>
        <w:t xml:space="preserve">.3. </w:t>
      </w:r>
      <w:r w:rsidR="00365FDE" w:rsidRPr="00B22DFB">
        <w:rPr>
          <w:rFonts w:ascii="Times New Roman" w:hAnsi="Times New Roman" w:cs="Times New Roman"/>
          <w:color w:val="auto"/>
        </w:rPr>
        <w:t>Sergamumas žarnyno infekcinėmis ligomis</w:t>
      </w:r>
      <w:bookmarkEnd w:id="17"/>
    </w:p>
    <w:p w:rsidR="005667F0" w:rsidRPr="00B22DFB" w:rsidRDefault="005667F0" w:rsidP="005667F0">
      <w:r w:rsidRPr="00B22DFB">
        <w:tab/>
        <w:t>Lietuvoje didžiausias sergamumas žarnyno infekcinėmis ligomis 2014 m. buvo didžiųjų miestų bei jų rajonų savivaldybėse. Kauno mieste sergamumo žarnyno inf</w:t>
      </w:r>
      <w:r w:rsidR="00E050EB" w:rsidRPr="00B22DFB">
        <w:t>ekcinėmis ligomis rodiklis virši</w:t>
      </w:r>
      <w:r w:rsidRPr="00B22DFB">
        <w:t xml:space="preserve">jo Lietuvos vidurkį ir buvo </w:t>
      </w:r>
      <w:r w:rsidR="00E050EB" w:rsidRPr="00B22DFB">
        <w:t>79,9/10 000 gyv. (12</w:t>
      </w:r>
      <w:r w:rsidRPr="00B22DFB">
        <w:t xml:space="preserve"> pav.), didesni sergamumo šiomis ligomis rodikliai buvo tik Panevėžio miesto savivaldybėje (92,8/10 000 gyv.) ir Vilniaus miesto savivaldybėje (100,2/10 000 gyv.).</w:t>
      </w:r>
    </w:p>
    <w:p w:rsidR="005667F0" w:rsidRDefault="005667F0" w:rsidP="005667F0">
      <w:pPr>
        <w:jc w:val="center"/>
        <w:rPr>
          <w:i/>
        </w:rPr>
      </w:pPr>
      <w:r>
        <w:rPr>
          <w:noProof/>
          <w:lang w:eastAsia="lt-LT"/>
        </w:rPr>
        <w:lastRenderedPageBreak/>
        <w:drawing>
          <wp:inline distT="0" distB="0" distL="0" distR="0" wp14:anchorId="631F0E43" wp14:editId="39730066">
            <wp:extent cx="3609892" cy="266687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613086" cy="2669234"/>
                    </a:xfrm>
                    <a:prstGeom prst="rect">
                      <a:avLst/>
                    </a:prstGeom>
                  </pic:spPr>
                </pic:pic>
              </a:graphicData>
            </a:graphic>
          </wp:inline>
        </w:drawing>
      </w:r>
    </w:p>
    <w:p w:rsidR="005667F0" w:rsidRDefault="00E050EB" w:rsidP="005667F0">
      <w:pPr>
        <w:spacing w:line="240" w:lineRule="auto"/>
      </w:pPr>
      <w:r>
        <w:t xml:space="preserve">12 pav. </w:t>
      </w:r>
      <w:r w:rsidR="005667F0">
        <w:t>Sergamumas žarnyno infekcinėmis ligomis (A00-A08) 10 000 gyv., 2014 m.</w:t>
      </w:r>
    </w:p>
    <w:p w:rsidR="005667F0" w:rsidRPr="00132993" w:rsidRDefault="005667F0" w:rsidP="005667F0">
      <w:pPr>
        <w:spacing w:line="240" w:lineRule="auto"/>
      </w:pPr>
      <w:r w:rsidRPr="001144F1">
        <w:rPr>
          <w:i/>
        </w:rPr>
        <w:t xml:space="preserve">Šaltinis: Higienos instituto </w:t>
      </w:r>
      <w:r w:rsidR="00BF0A1E">
        <w:rPr>
          <w:i/>
        </w:rPr>
        <w:t>S</w:t>
      </w:r>
      <w:r w:rsidRPr="001144F1">
        <w:rPr>
          <w:i/>
        </w:rPr>
        <w:t>veikatos informacijos centras</w:t>
      </w:r>
    </w:p>
    <w:p w:rsidR="005667F0" w:rsidRDefault="005667F0" w:rsidP="005667F0">
      <w:pPr>
        <w:rPr>
          <w:i/>
        </w:rPr>
      </w:pPr>
    </w:p>
    <w:p w:rsidR="005667F0" w:rsidRPr="00F34C62" w:rsidRDefault="005667F0" w:rsidP="005667F0">
      <w:r>
        <w:tab/>
        <w:t xml:space="preserve">2014 m. Kauno mieste buvo užregistruoti </w:t>
      </w:r>
      <w:r w:rsidRPr="007058DF">
        <w:t xml:space="preserve">2 964 nauji </w:t>
      </w:r>
      <w:r>
        <w:t xml:space="preserve">žarnyno infekcinių ligų atvejai, jie sudarė </w:t>
      </w:r>
      <w:r w:rsidRPr="00F34C62">
        <w:t xml:space="preserve">35 proc. užkrečiamųjų ligų, skaičiuojant be gripo ir </w:t>
      </w:r>
      <w:r>
        <w:t>ūminių</w:t>
      </w:r>
      <w:r w:rsidRPr="00F34C62">
        <w:t xml:space="preserve"> virš</w:t>
      </w:r>
      <w:r>
        <w:t xml:space="preserve">utinių kvėpavimo takų infekcijų (2013 m. – 39 proc.). </w:t>
      </w:r>
      <w:r w:rsidRPr="00F34C62">
        <w:t>Apie pusę susirgusiųjų sudarė vaikai</w:t>
      </w:r>
      <w:r>
        <w:t xml:space="preserve">. </w:t>
      </w:r>
      <w:r w:rsidRPr="00F34C62">
        <w:t xml:space="preserve">Didžiausią dalį visų registruotų infekcijų sudarė virusinės nepatikslintos </w:t>
      </w:r>
      <w:r>
        <w:t>žarnyn</w:t>
      </w:r>
      <w:r w:rsidRPr="00F34C62">
        <w:t>o infekcijos – 35 proc., nepatikslintos bakterinės infekcijos – 24 proc. (</w:t>
      </w:r>
      <w:r w:rsidR="00E050EB">
        <w:t>13</w:t>
      </w:r>
      <w:r w:rsidRPr="00F34C62">
        <w:t xml:space="preserve"> pav.)</w:t>
      </w:r>
    </w:p>
    <w:p w:rsidR="005667F0" w:rsidRDefault="005667F0" w:rsidP="00DC3C16">
      <w:pPr>
        <w:spacing w:line="240" w:lineRule="auto"/>
        <w:jc w:val="center"/>
        <w:rPr>
          <w:i/>
        </w:rPr>
      </w:pPr>
      <w:r>
        <w:rPr>
          <w:noProof/>
          <w:lang w:eastAsia="lt-LT"/>
        </w:rPr>
        <w:drawing>
          <wp:inline distT="0" distB="0" distL="0" distR="0" wp14:anchorId="0BE31DA7" wp14:editId="22F545EB">
            <wp:extent cx="4011674" cy="2464904"/>
            <wp:effectExtent l="0" t="0" r="8255" b="0"/>
            <wp:docPr id="6" name="Diagrama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67F0" w:rsidRPr="00EB2154" w:rsidRDefault="00E050EB" w:rsidP="00DC3C16">
      <w:pPr>
        <w:spacing w:line="240" w:lineRule="auto"/>
      </w:pPr>
      <w:r>
        <w:t>13</w:t>
      </w:r>
      <w:r w:rsidR="005667F0" w:rsidRPr="00EB2154">
        <w:t xml:space="preserve"> pav. Žarnyno infekcijų pasiskirstymas pagal nustatytus sukėlėjus 2014 m. Kauno mieste.</w:t>
      </w:r>
    </w:p>
    <w:p w:rsidR="005667F0" w:rsidRPr="00330AF3" w:rsidRDefault="005667F0" w:rsidP="00DC3C16">
      <w:pPr>
        <w:spacing w:line="240" w:lineRule="auto"/>
        <w:rPr>
          <w:i/>
        </w:rPr>
      </w:pPr>
      <w:r w:rsidRPr="00330AF3">
        <w:rPr>
          <w:i/>
        </w:rPr>
        <w:t>Šaltinis: Kauno visuomenės sveikatos centras</w:t>
      </w:r>
    </w:p>
    <w:p w:rsidR="005667F0" w:rsidRPr="00330AF3" w:rsidRDefault="005667F0" w:rsidP="005667F0">
      <w:pPr>
        <w:rPr>
          <w:i/>
        </w:rPr>
      </w:pPr>
      <w:r>
        <w:rPr>
          <w:i/>
        </w:rPr>
        <w:tab/>
      </w:r>
    </w:p>
    <w:p w:rsidR="005667F0" w:rsidRDefault="005667F0" w:rsidP="005667F0">
      <w:r>
        <w:tab/>
      </w:r>
      <w:r w:rsidRPr="00EB2154">
        <w:t xml:space="preserve">Net </w:t>
      </w:r>
      <w:r>
        <w:t>5</w:t>
      </w:r>
      <w:r w:rsidRPr="00EB2154">
        <w:t>9 proc. visų susirgimų sudarė laboratoriniais tyrimais nepatvirtintos (nepatikslintos) žarnyno infekcijos.</w:t>
      </w:r>
      <w:r w:rsidR="002132B7">
        <w:t xml:space="preserve"> </w:t>
      </w:r>
      <w:r w:rsidRPr="00EB2154">
        <w:t>Tikėtina, ka</w:t>
      </w:r>
      <w:r>
        <w:t xml:space="preserve">d </w:t>
      </w:r>
      <w:r w:rsidR="00E050EB">
        <w:t>tai galėjo būti viena iš priežas</w:t>
      </w:r>
      <w:r>
        <w:t>čių, kodėl mažėjo</w:t>
      </w:r>
      <w:r w:rsidR="002132B7">
        <w:t xml:space="preserve"> </w:t>
      </w:r>
      <w:r w:rsidRPr="00EB2154">
        <w:t>kai kurių patikslintų bakterin</w:t>
      </w:r>
      <w:r w:rsidR="00E050EB">
        <w:t>ių žarnyno infekcijų skaičius (14</w:t>
      </w:r>
      <w:r w:rsidR="00BF0A1E">
        <w:t>–</w:t>
      </w:r>
      <w:r w:rsidR="00E050EB">
        <w:t>15</w:t>
      </w:r>
      <w:r w:rsidRPr="00EB2154">
        <w:t xml:space="preserve"> pav.)</w:t>
      </w:r>
      <w:r>
        <w:t xml:space="preserve"> 2014 m. Kauno mieste </w:t>
      </w:r>
      <w:r w:rsidRPr="00A91300">
        <w:t xml:space="preserve">63 proc. </w:t>
      </w:r>
      <w:r>
        <w:t xml:space="preserve">salmonelioze sergančių asmenų </w:t>
      </w:r>
      <w:r w:rsidRPr="00A91300">
        <w:t>sudarė vaikai.</w:t>
      </w:r>
      <w:r w:rsidR="00BF0A1E">
        <w:t xml:space="preserve"> </w:t>
      </w:r>
      <w:r w:rsidRPr="00A91300">
        <w:t xml:space="preserve">57 proc. visų susirgusių vaikų sudarė </w:t>
      </w:r>
      <w:r>
        <w:t>mažamečiai</w:t>
      </w:r>
      <w:r w:rsidRPr="00A91300">
        <w:t xml:space="preserve"> iki 3 metų amžiaus.</w:t>
      </w:r>
      <w:r>
        <w:t xml:space="preserve"> Salmoneliozė dažn</w:t>
      </w:r>
      <w:r w:rsidR="002132B7">
        <w:t xml:space="preserve">iausiai buvo gydoma stacionare </w:t>
      </w:r>
      <w:r>
        <w:t xml:space="preserve">(83 proc. visų atvejų). </w:t>
      </w:r>
    </w:p>
    <w:p w:rsidR="005667F0" w:rsidRDefault="005667F0" w:rsidP="00DC3C16">
      <w:pPr>
        <w:spacing w:line="240" w:lineRule="auto"/>
        <w:jc w:val="center"/>
      </w:pPr>
      <w:r>
        <w:rPr>
          <w:noProof/>
          <w:lang w:eastAsia="lt-LT"/>
        </w:rPr>
        <w:lastRenderedPageBreak/>
        <w:drawing>
          <wp:inline distT="0" distB="0" distL="0" distR="0" wp14:anchorId="36880F54" wp14:editId="1CC0E3E2">
            <wp:extent cx="5907819" cy="3016591"/>
            <wp:effectExtent l="0" t="0" r="0" b="0"/>
            <wp:docPr id="9" name="Diagrama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667F0" w:rsidRPr="002132B7" w:rsidRDefault="00E050EB" w:rsidP="00DC3C16">
      <w:pPr>
        <w:spacing w:line="240" w:lineRule="auto"/>
      </w:pPr>
      <w:r w:rsidRPr="002132B7">
        <w:t>14</w:t>
      </w:r>
      <w:r w:rsidR="005667F0" w:rsidRPr="002132B7">
        <w:t xml:space="preserve"> pav.</w:t>
      </w:r>
      <w:r w:rsidR="002132B7">
        <w:t xml:space="preserve"> </w:t>
      </w:r>
      <w:r w:rsidR="005667F0" w:rsidRPr="002132B7">
        <w:t>Sergamumas salmonelioze 10 000 gyv. Kauno m., Kauno ap</w:t>
      </w:r>
      <w:r w:rsidR="008F21E4" w:rsidRPr="002132B7">
        <w:t>sk.</w:t>
      </w:r>
      <w:r w:rsidR="005667F0" w:rsidRPr="002132B7">
        <w:t xml:space="preserve"> ir Lietuvoje, 2001</w:t>
      </w:r>
      <w:r w:rsidR="00BF0A1E" w:rsidRPr="002132B7">
        <w:t>–</w:t>
      </w:r>
      <w:r w:rsidR="005667F0" w:rsidRPr="002132B7">
        <w:t>2014 m.</w:t>
      </w:r>
    </w:p>
    <w:p w:rsidR="005667F0" w:rsidRPr="002132B7" w:rsidRDefault="005667F0" w:rsidP="00DC3C16">
      <w:pPr>
        <w:spacing w:line="240" w:lineRule="auto"/>
        <w:rPr>
          <w:i/>
        </w:rPr>
      </w:pPr>
      <w:r w:rsidRPr="002132B7">
        <w:rPr>
          <w:i/>
        </w:rPr>
        <w:t>Šaltinis: Kauno visuomenės sveikatos centras</w:t>
      </w:r>
    </w:p>
    <w:p w:rsidR="005667F0" w:rsidRPr="002132B7" w:rsidRDefault="005667F0" w:rsidP="005667F0">
      <w:pPr>
        <w:rPr>
          <w:i/>
        </w:rPr>
      </w:pPr>
    </w:p>
    <w:p w:rsidR="005667F0" w:rsidRPr="002132B7" w:rsidRDefault="005667F0" w:rsidP="005667F0">
      <w:r w:rsidRPr="002132B7">
        <w:tab/>
        <w:t>Jersiniozė taip pat yra pačių mažiausių vaikų (iki 3 m. amžiaus) liga, dažniausiai (86 proc.) gydoma stacionare. Sergamumo šia liga rodiklis 2014 m. tiek Lietuvoje, tiek Kauno mieste</w:t>
      </w:r>
      <w:r w:rsidR="00BF0A1E" w:rsidRPr="002132B7">
        <w:t>,</w:t>
      </w:r>
      <w:r w:rsidRPr="002132B7">
        <w:t xml:space="preserve"> tiek apskrityje buvo vienodas (</w:t>
      </w:r>
      <w:r w:rsidR="008F21E4" w:rsidRPr="002132B7">
        <w:t>15</w:t>
      </w:r>
      <w:r w:rsidRPr="002132B7">
        <w:t xml:space="preserve"> pav.).</w:t>
      </w:r>
    </w:p>
    <w:p w:rsidR="005667F0" w:rsidRDefault="005667F0" w:rsidP="00DC3C16">
      <w:pPr>
        <w:spacing w:line="240" w:lineRule="auto"/>
        <w:jc w:val="center"/>
      </w:pPr>
      <w:r>
        <w:rPr>
          <w:noProof/>
          <w:lang w:eastAsia="lt-LT"/>
        </w:rPr>
        <w:drawing>
          <wp:inline distT="0" distB="0" distL="0" distR="0" wp14:anchorId="2EF30AD4" wp14:editId="3CF3238F">
            <wp:extent cx="5971430" cy="2785093"/>
            <wp:effectExtent l="0" t="0" r="0" b="0"/>
            <wp:docPr id="11" name="Diagrama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667F0" w:rsidRPr="00692BA3" w:rsidRDefault="008F21E4" w:rsidP="00DC3C16">
      <w:pPr>
        <w:spacing w:line="240" w:lineRule="auto"/>
      </w:pPr>
      <w:r>
        <w:t>15</w:t>
      </w:r>
      <w:r w:rsidR="005667F0" w:rsidRPr="00A91300">
        <w:t xml:space="preserve"> pav.</w:t>
      </w:r>
      <w:r w:rsidR="005667F0">
        <w:t xml:space="preserve"> Sergamumas jersinioze</w:t>
      </w:r>
      <w:r w:rsidR="004260D3">
        <w:t xml:space="preserve"> </w:t>
      </w:r>
      <w:r w:rsidR="005667F0">
        <w:t>Kauno m., Kauno apskrityje ir Lietuvoje, 2001</w:t>
      </w:r>
      <w:r w:rsidR="00BF0A1E">
        <w:t>–</w:t>
      </w:r>
      <w:r w:rsidR="005667F0">
        <w:t>2014 m.</w:t>
      </w:r>
    </w:p>
    <w:p w:rsidR="005667F0" w:rsidRPr="00692BA3" w:rsidRDefault="005667F0" w:rsidP="00DC3C16">
      <w:pPr>
        <w:spacing w:line="240" w:lineRule="auto"/>
        <w:rPr>
          <w:i/>
        </w:rPr>
      </w:pPr>
      <w:r w:rsidRPr="00692BA3">
        <w:rPr>
          <w:i/>
        </w:rPr>
        <w:t>Šaltinis: Kauno visuomenės sveikatos centras</w:t>
      </w:r>
    </w:p>
    <w:p w:rsidR="005667F0" w:rsidRPr="00A91300" w:rsidRDefault="005667F0" w:rsidP="005667F0"/>
    <w:p w:rsidR="005667F0" w:rsidRPr="00E06B9E" w:rsidRDefault="005667F0" w:rsidP="005667F0">
      <w:r>
        <w:tab/>
      </w:r>
      <w:r w:rsidRPr="00E06B9E">
        <w:t>Se</w:t>
      </w:r>
      <w:r>
        <w:t>rgamumo r</w:t>
      </w:r>
      <w:r w:rsidRPr="00E06B9E">
        <w:t>otavirusinėmis infekcijomis rodiklis Kauno mie</w:t>
      </w:r>
      <w:r>
        <w:t>s</w:t>
      </w:r>
      <w:r w:rsidRPr="00E06B9E">
        <w:t>te 2010</w:t>
      </w:r>
      <w:r w:rsidR="00BF0A1E">
        <w:t>–</w:t>
      </w:r>
      <w:r w:rsidRPr="00E06B9E">
        <w:t>2014 m. laikotarpiu buvo didesnis už Lietuvos vidurkį</w:t>
      </w:r>
      <w:r>
        <w:t xml:space="preserve"> (</w:t>
      </w:r>
      <w:r w:rsidR="008F21E4">
        <w:t>16</w:t>
      </w:r>
      <w:r>
        <w:t xml:space="preserve"> pav.). </w:t>
      </w:r>
      <w:r w:rsidRPr="00E06B9E">
        <w:t xml:space="preserve">91 proc. visų susirgusiųjų </w:t>
      </w:r>
      <w:r w:rsidR="00BF0A1E">
        <w:t>r</w:t>
      </w:r>
      <w:r w:rsidRPr="00E06B9E">
        <w:t xml:space="preserve">otavirusine infekcija </w:t>
      </w:r>
      <w:r>
        <w:t>buvo</w:t>
      </w:r>
      <w:r w:rsidRPr="00E06B9E">
        <w:t xml:space="preserve"> vaikai, iš kurių 76 proc. </w:t>
      </w:r>
      <w:r w:rsidR="000C2335">
        <w:t>–</w:t>
      </w:r>
      <w:r>
        <w:t xml:space="preserve"> iki</w:t>
      </w:r>
      <w:r w:rsidRPr="00E06B9E">
        <w:t xml:space="preserve"> 3 metų amžiaus. Nors susirgusiųjų skiepijimo rotavirusinės infekcijos vakcina anamnezė nežinoma, tačiau</w:t>
      </w:r>
      <w:r w:rsidR="00BF0A1E">
        <w:t>,</w:t>
      </w:r>
      <w:r w:rsidRPr="00E06B9E">
        <w:t xml:space="preserve"> vertinant mažas skiepijimų apimtis, akivaizdu, kad imunoprofilaktikos aktyvumui reikalingos didesnės pastangos.</w:t>
      </w:r>
    </w:p>
    <w:p w:rsidR="005667F0" w:rsidRDefault="005667F0" w:rsidP="00DC3C16">
      <w:pPr>
        <w:spacing w:line="240" w:lineRule="auto"/>
        <w:rPr>
          <w:i/>
        </w:rPr>
      </w:pPr>
      <w:r w:rsidRPr="008905E3">
        <w:rPr>
          <w:noProof/>
          <w:sz w:val="20"/>
          <w:szCs w:val="20"/>
          <w:lang w:eastAsia="lt-LT"/>
        </w:rPr>
        <w:lastRenderedPageBreak/>
        <w:drawing>
          <wp:inline distT="0" distB="0" distL="0" distR="0" wp14:anchorId="56A7F5CC" wp14:editId="048D6C94">
            <wp:extent cx="6146358" cy="2875673"/>
            <wp:effectExtent l="0" t="0" r="6985" b="1270"/>
            <wp:docPr id="13" name="Diagrama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667F0" w:rsidRDefault="008F21E4" w:rsidP="00DC3C16">
      <w:pPr>
        <w:spacing w:line="240" w:lineRule="auto"/>
        <w:rPr>
          <w:i/>
        </w:rPr>
      </w:pPr>
      <w:r>
        <w:t xml:space="preserve">16 pav. </w:t>
      </w:r>
      <w:r w:rsidR="005667F0" w:rsidRPr="00E06B9E">
        <w:t>Se</w:t>
      </w:r>
      <w:r w:rsidR="005667F0">
        <w:t>rgamumas r</w:t>
      </w:r>
      <w:r w:rsidR="005667F0" w:rsidRPr="00E06B9E">
        <w:t xml:space="preserve">otavirusinėmis infekcijomis </w:t>
      </w:r>
      <w:r w:rsidR="005667F0">
        <w:t>10 000 gyv.</w:t>
      </w:r>
      <w:r w:rsidR="005667F0" w:rsidRPr="00E06B9E">
        <w:t xml:space="preserve"> Kauno mie</w:t>
      </w:r>
      <w:r w:rsidR="005667F0">
        <w:t>s</w:t>
      </w:r>
      <w:r w:rsidR="005667F0" w:rsidRPr="00E06B9E">
        <w:t>te</w:t>
      </w:r>
      <w:r w:rsidR="005667F0">
        <w:t>, Kauno apsk</w:t>
      </w:r>
      <w:r>
        <w:t>.</w:t>
      </w:r>
      <w:r w:rsidR="005667F0">
        <w:t xml:space="preserve"> ir Lietuvoje,</w:t>
      </w:r>
      <w:r w:rsidR="00BF0A1E">
        <w:t xml:space="preserve"> </w:t>
      </w:r>
      <w:r w:rsidR="005667F0">
        <w:t>1999</w:t>
      </w:r>
      <w:r w:rsidR="00BF0A1E">
        <w:t>–</w:t>
      </w:r>
      <w:r w:rsidR="005667F0" w:rsidRPr="00E06B9E">
        <w:t>2014 m.</w:t>
      </w:r>
    </w:p>
    <w:p w:rsidR="005667F0" w:rsidRDefault="005667F0" w:rsidP="00DC3C16">
      <w:pPr>
        <w:spacing w:line="240" w:lineRule="auto"/>
        <w:rPr>
          <w:i/>
        </w:rPr>
      </w:pPr>
      <w:r w:rsidRPr="00692BA3">
        <w:rPr>
          <w:i/>
        </w:rPr>
        <w:t>Šaltinis: Kauno visuomenės sveikatos centras</w:t>
      </w:r>
    </w:p>
    <w:p w:rsidR="005667F0" w:rsidRPr="00E06B9E" w:rsidRDefault="005667F0" w:rsidP="005667F0"/>
    <w:p w:rsidR="005667F0" w:rsidRPr="00E06B9E" w:rsidRDefault="005667F0" w:rsidP="005667F0">
      <w:r>
        <w:tab/>
      </w:r>
      <w:r w:rsidR="000C2335">
        <w:t>Galima</w:t>
      </w:r>
      <w:r w:rsidRPr="00E06B9E">
        <w:t xml:space="preserve"> pastebėti, kad iki 2011</w:t>
      </w:r>
      <w:r w:rsidR="00BF0A1E">
        <w:t xml:space="preserve"> </w:t>
      </w:r>
      <w:r w:rsidRPr="00E06B9E">
        <w:t>m. vyravusios bakterinės žarnyno infekcijos užleidžia vietą virusinėms infekcijoms, kurių rodiklis 10 tūkst. gyventojų nuo 2009 m. padidėjo beveik tris kartus, o sergamumas rotavirusine infekcija susilygino su sergamumu nepatiks</w:t>
      </w:r>
      <w:r w:rsidR="00FF5C93">
        <w:t>lintomis žarnyno infekcijomis (17</w:t>
      </w:r>
      <w:r w:rsidRPr="00E06B9E">
        <w:t xml:space="preserve"> pav.)</w:t>
      </w:r>
    </w:p>
    <w:p w:rsidR="005667F0" w:rsidRDefault="005667F0" w:rsidP="00DC3C16">
      <w:pPr>
        <w:spacing w:line="240" w:lineRule="auto"/>
        <w:rPr>
          <w:i/>
        </w:rPr>
      </w:pPr>
      <w:r>
        <w:rPr>
          <w:noProof/>
          <w:lang w:eastAsia="lt-LT"/>
        </w:rPr>
        <w:drawing>
          <wp:inline distT="0" distB="0" distL="0" distR="0" wp14:anchorId="408B1899" wp14:editId="333B6D37">
            <wp:extent cx="6273579" cy="2658429"/>
            <wp:effectExtent l="0" t="0" r="0" b="8890"/>
            <wp:docPr id="14" name="Diagrama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667F0" w:rsidRDefault="00FF5C93" w:rsidP="00DC3C16">
      <w:pPr>
        <w:spacing w:line="240" w:lineRule="auto"/>
      </w:pPr>
      <w:r>
        <w:t>17</w:t>
      </w:r>
      <w:r w:rsidR="005667F0" w:rsidRPr="00E06B9E">
        <w:t xml:space="preserve"> pav. Sergamumo žarnyno infekcijo</w:t>
      </w:r>
      <w:r>
        <w:t>mis 10 000 gyv. Kauno m.</w:t>
      </w:r>
      <w:r w:rsidR="005667F0">
        <w:t xml:space="preserve"> pagal sukėlėjus, 2001</w:t>
      </w:r>
      <w:r w:rsidR="00BF0A1E">
        <w:t>–</w:t>
      </w:r>
      <w:r w:rsidR="005667F0">
        <w:t>2014 m.</w:t>
      </w:r>
    </w:p>
    <w:p w:rsidR="005667F0" w:rsidRDefault="005667F0" w:rsidP="00DC3C16">
      <w:pPr>
        <w:spacing w:line="240" w:lineRule="auto"/>
      </w:pPr>
      <w:r w:rsidRPr="00692BA3">
        <w:rPr>
          <w:i/>
        </w:rPr>
        <w:t>Šaltinis: Kauno visuomenės sveikatos centras</w:t>
      </w:r>
    </w:p>
    <w:p w:rsidR="000C2335" w:rsidRDefault="000C2335" w:rsidP="00DC3C16">
      <w:pPr>
        <w:spacing w:line="240" w:lineRule="auto"/>
      </w:pPr>
    </w:p>
    <w:p w:rsidR="005667F0" w:rsidRDefault="005667F0" w:rsidP="000C2335">
      <w:r>
        <w:tab/>
      </w:r>
      <w:r w:rsidRPr="00E06B9E">
        <w:t xml:space="preserve">Šiek tiek kitokia situacija, kalbant apie paslaugų prieinamumą ir bakterinių žarnyno infekcijų situaciją, yra sergamumas kampilobakterioze. </w:t>
      </w:r>
      <w:r w:rsidR="003C1248">
        <w:t>Sergamumas šia liga Lietuvoje didėjo</w:t>
      </w:r>
      <w:r w:rsidRPr="00E06B9E">
        <w:t>,</w:t>
      </w:r>
      <w:r w:rsidR="0066716F">
        <w:br/>
      </w:r>
      <w:r w:rsidR="003C1248">
        <w:t xml:space="preserve">tačiau </w:t>
      </w:r>
      <w:r w:rsidRPr="00E06B9E">
        <w:t xml:space="preserve">Kauno mieste sergamumas </w:t>
      </w:r>
      <w:r w:rsidR="003C1248">
        <w:t xml:space="preserve">buvo </w:t>
      </w:r>
      <w:r w:rsidRPr="00E06B9E">
        <w:t>žemesnis (</w:t>
      </w:r>
      <w:r>
        <w:t>2014 m. Kauno mieste – 2,7/ 10 000 gyv., Lietuvoje – 4/10 000 gyv</w:t>
      </w:r>
      <w:r w:rsidR="000C2335">
        <w:t xml:space="preserve">.). </w:t>
      </w:r>
      <w:r w:rsidRPr="00F1202C">
        <w:t>2014 m. Kauno mieste registruotas vienas mirties nuo nepatikslintos bakterinės žarnyno infekcijos atvejis.</w:t>
      </w:r>
    </w:p>
    <w:p w:rsidR="005667F0" w:rsidRDefault="005667F0" w:rsidP="00DD66BD">
      <w:pPr>
        <w:pStyle w:val="Antrat1"/>
        <w:jc w:val="center"/>
        <w:rPr>
          <w:b w:val="0"/>
          <w:sz w:val="28"/>
        </w:rPr>
      </w:pPr>
      <w:bookmarkStart w:id="18" w:name="_Toc439235730"/>
      <w:r w:rsidRPr="00DD66BD">
        <w:rPr>
          <w:b w:val="0"/>
          <w:sz w:val="28"/>
        </w:rPr>
        <w:lastRenderedPageBreak/>
        <w:t>REKOMENDACIJOS</w:t>
      </w:r>
      <w:bookmarkEnd w:id="18"/>
    </w:p>
    <w:p w:rsidR="00330C78" w:rsidRPr="00330C78" w:rsidRDefault="00330C78" w:rsidP="00330C78"/>
    <w:p w:rsidR="00330C78" w:rsidRPr="00330C78" w:rsidRDefault="00330C78" w:rsidP="00330C78">
      <w:pPr>
        <w:rPr>
          <w:b/>
          <w:i/>
        </w:rPr>
      </w:pPr>
      <w:r>
        <w:tab/>
      </w:r>
      <w:r w:rsidRPr="00330C78">
        <w:rPr>
          <w:b/>
          <w:i/>
        </w:rPr>
        <w:t>Kauno miesto savivaldybės administracijai, savivaldybės įstaigoms:</w:t>
      </w:r>
    </w:p>
    <w:p w:rsidR="005667F0" w:rsidRDefault="005667F0" w:rsidP="00787B95">
      <w:pPr>
        <w:numPr>
          <w:ilvl w:val="0"/>
          <w:numId w:val="17"/>
        </w:numPr>
      </w:pPr>
      <w:r>
        <w:t>Siekiant geresnės Kauno miesto gyventojų sveikatos būklės, svarbu skatinti ir palaikyti tolimesnę asmens ir visuomenės sveikatos sinergiją, įgyvendinant profilaktikos veiklas/programas Kauno mieste.</w:t>
      </w:r>
    </w:p>
    <w:p w:rsidR="00330C78" w:rsidRDefault="00330C78" w:rsidP="00787B95">
      <w:pPr>
        <w:numPr>
          <w:ilvl w:val="0"/>
          <w:numId w:val="17"/>
        </w:numPr>
      </w:pPr>
      <w:r>
        <w:t>Plėtoti sveikatinimui skirtą infrastruktūrą (dviračių takų tinklo plėtra, naujų poilsio ir sporto aikštynų, vaikų žaidimų aikštelių planavimas ir įrengimas ir t. t.).</w:t>
      </w:r>
    </w:p>
    <w:p w:rsidR="00330C78" w:rsidRDefault="00330C78" w:rsidP="00787B95">
      <w:pPr>
        <w:numPr>
          <w:ilvl w:val="0"/>
          <w:numId w:val="17"/>
        </w:numPr>
      </w:pPr>
      <w:r>
        <w:t xml:space="preserve">Plėtoti tarpžinybinį ir tarpinstitucinį bendradarbiavimą tarp </w:t>
      </w:r>
      <w:r w:rsidR="00787B95">
        <w:t>sveikatos priežiūros</w:t>
      </w:r>
      <w:r>
        <w:t xml:space="preserve"> ir kitų įstaigų, aktyvinti bendradarbiavimą su akademine bendruomene.</w:t>
      </w:r>
    </w:p>
    <w:p w:rsidR="00824AEE" w:rsidRDefault="00824AEE" w:rsidP="00787B95">
      <w:pPr>
        <w:numPr>
          <w:ilvl w:val="0"/>
          <w:numId w:val="17"/>
        </w:numPr>
      </w:pPr>
      <w:r>
        <w:t>Inicijuoti psichikos sveikatos gerinimo, priklausomybių ligų prevencijos, fizinio aktyvumo ir sveikos mitybos skatinimo tarpinstitucinio veiksmų plano kūrimą ir įgyvendinimą Kauno mieste.</w:t>
      </w:r>
    </w:p>
    <w:p w:rsidR="00824AEE" w:rsidRDefault="002132B7" w:rsidP="00787B95">
      <w:pPr>
        <w:numPr>
          <w:ilvl w:val="0"/>
          <w:numId w:val="17"/>
        </w:numPr>
      </w:pPr>
      <w:r>
        <w:t xml:space="preserve">Skatinti įvairias institucijas </w:t>
      </w:r>
      <w:r w:rsidR="00824AEE">
        <w:t>organizuoti šventes be alkoholio ir ieškoti alternatyvių laisvalaikio praleidimo būdų.</w:t>
      </w:r>
    </w:p>
    <w:p w:rsidR="00824AEE" w:rsidRDefault="00824AEE" w:rsidP="00787B95">
      <w:pPr>
        <w:numPr>
          <w:ilvl w:val="0"/>
          <w:numId w:val="17"/>
        </w:numPr>
      </w:pPr>
      <w:r>
        <w:t>Mažinti išduodamų licencijų skaičių prekybai alkoholiu Kauno mieste, vykdyti griežtesnę pavienių alkoholio prekybos vietų priežiūrą ir veiklos kontrolę.</w:t>
      </w:r>
    </w:p>
    <w:p w:rsidR="00330C78" w:rsidRDefault="00330C78" w:rsidP="00C2178A">
      <w:pPr>
        <w:ind w:left="720"/>
      </w:pPr>
    </w:p>
    <w:p w:rsidR="00330C78" w:rsidRPr="00330C78" w:rsidRDefault="00330C78" w:rsidP="00330C78">
      <w:pPr>
        <w:ind w:left="720"/>
        <w:rPr>
          <w:b/>
          <w:i/>
        </w:rPr>
      </w:pPr>
      <w:r>
        <w:rPr>
          <w:b/>
          <w:i/>
        </w:rPr>
        <w:t xml:space="preserve">     </w:t>
      </w:r>
      <w:r w:rsidRPr="00330C78">
        <w:rPr>
          <w:b/>
          <w:i/>
        </w:rPr>
        <w:t>Sveikatos priežiūros įstaigoms:</w:t>
      </w:r>
    </w:p>
    <w:p w:rsidR="005667F0" w:rsidRDefault="005667F0" w:rsidP="00787B95">
      <w:pPr>
        <w:numPr>
          <w:ilvl w:val="0"/>
          <w:numId w:val="18"/>
        </w:numPr>
      </w:pPr>
      <w:r>
        <w:t xml:space="preserve">Atsižvelgiant į dažniausias Kauno miesto gyventojų mirties priežastis, rekomenduojama ir toliau vykdyti kraujotakos sistemos ligų </w:t>
      </w:r>
      <w:r w:rsidR="00750DF0">
        <w:t>prevenciją. Didinti gyventojų informuotumą apie sveiką gyvenseną</w:t>
      </w:r>
      <w:r>
        <w:t xml:space="preserve">: visavertę mitybą, fizinį aktyvumą </w:t>
      </w:r>
      <w:r w:rsidR="00025C2C">
        <w:t>ir</w:t>
      </w:r>
      <w:r>
        <w:t xml:space="preserve"> neigiamą žalingų įpročių (rūkym</w:t>
      </w:r>
      <w:r w:rsidR="00025C2C">
        <w:t>o</w:t>
      </w:r>
      <w:r>
        <w:t>, alkohol</w:t>
      </w:r>
      <w:r w:rsidR="00153716">
        <w:t>io vartojim</w:t>
      </w:r>
      <w:r w:rsidR="00025C2C">
        <w:t>o</w:t>
      </w:r>
      <w:r w:rsidR="00153716">
        <w:t>) poveikį sveikatai.</w:t>
      </w:r>
    </w:p>
    <w:p w:rsidR="00C2178A" w:rsidRDefault="00C2178A" w:rsidP="00787B95">
      <w:pPr>
        <w:numPr>
          <w:ilvl w:val="0"/>
          <w:numId w:val="18"/>
        </w:numPr>
      </w:pPr>
      <w:r>
        <w:t xml:space="preserve">Efektyviai įgyvendinti Nacionalines profilaktines sveikatos programas (Gimdos kaklelio, Krūties vėžio, Priešinės liaukos (prostatos) vėžio, Širdies ir kraujagyslių ligų, Storosios žarnos vėžio, Vaikų krūminių dantų dengimo silantinėmis medžiagomis prevencinės programos). Didinti užkrečiamųjų ligų profilaktiką, skatinant vaikų ir rizikos grupių asmenų skiepijimą. </w:t>
      </w:r>
    </w:p>
    <w:p w:rsidR="00C2178A" w:rsidRDefault="00C2178A" w:rsidP="00787B95">
      <w:pPr>
        <w:numPr>
          <w:ilvl w:val="0"/>
          <w:numId w:val="18"/>
        </w:numPr>
      </w:pPr>
      <w:r>
        <w:t>Vykstant gyventojų senėjimo procesui, didelį dėmesį skirti pagyvenusių žmonių sveikatai – organizuoti, vykdyti bei tęsti sveikatos stiprinimo veiklas. Atsižvelgiant į didelį susižalojimo dėl nukritimų skaičių vyresnio amžiaus žmonių grupėje, rekomenduojama skatinti jų fizinį aktyvumą, vykdyti įvairias fizinio aktyvumo programas, galinčias sumažinti senų žmonių kritimų ir su jais susijusių traumų skaičių.</w:t>
      </w:r>
    </w:p>
    <w:p w:rsidR="00C2178A" w:rsidRDefault="00C2178A" w:rsidP="00787B95">
      <w:pPr>
        <w:numPr>
          <w:ilvl w:val="0"/>
          <w:numId w:val="18"/>
        </w:numPr>
      </w:pPr>
      <w:r>
        <w:t xml:space="preserve">Atsižvelgiant į 2014 metų visuomenės sveikatos stebėsenos duomenis, kai paskutiniais tiriamaisiais metais buvo užfiksuotas smarkiai išaugęs sergančiųjų cukriniu diabetu skaičius, </w:t>
      </w:r>
      <w:r>
        <w:lastRenderedPageBreak/>
        <w:t>rekomenduojama skatinti profilaktiką – didinti gyventojų informuotumą apie I ir II tipo cukrinio diabeto, jo rizikos veiksnius, simptomus, profilaktikos priemones ir komplikacijas (priemonės – renginiai, akcijos, mokymai, dalomoji medžiaga),</w:t>
      </w:r>
      <w:r w:rsidRPr="00C2178A">
        <w:t xml:space="preserve"> </w:t>
      </w:r>
      <w:r>
        <w:t>gerinti pacientų patekimą pas specialistus.</w:t>
      </w:r>
    </w:p>
    <w:p w:rsidR="00824AEE" w:rsidRDefault="00824AEE" w:rsidP="00787B95"/>
    <w:p w:rsidR="00824AEE" w:rsidRPr="00824AEE" w:rsidRDefault="00787B95" w:rsidP="00824AEE">
      <w:pPr>
        <w:ind w:left="720"/>
        <w:rPr>
          <w:b/>
          <w:i/>
        </w:rPr>
      </w:pPr>
      <w:r>
        <w:rPr>
          <w:b/>
          <w:i/>
        </w:rPr>
        <w:tab/>
      </w:r>
      <w:r w:rsidR="00824AEE" w:rsidRPr="00824AEE">
        <w:rPr>
          <w:b/>
          <w:i/>
        </w:rPr>
        <w:t>Kauno miesto gyventojams:</w:t>
      </w:r>
    </w:p>
    <w:p w:rsidR="00FA422B" w:rsidRDefault="00787B95" w:rsidP="00787B95">
      <w:pPr>
        <w:numPr>
          <w:ilvl w:val="0"/>
          <w:numId w:val="19"/>
        </w:numPr>
      </w:pPr>
      <w:r>
        <w:t>Aktyviai</w:t>
      </w:r>
      <w:r w:rsidR="005667F0">
        <w:t xml:space="preserve"> dalyvauti visuomenės sveikatos biuro, švietimo ir sporto įstaigų organizuojamuose sve</w:t>
      </w:r>
      <w:r w:rsidR="00153716">
        <w:t>ikatinimo veiklų</w:t>
      </w:r>
      <w:r w:rsidR="00FA422B">
        <w:t xml:space="preserve"> renginiuose.</w:t>
      </w:r>
    </w:p>
    <w:p w:rsidR="005667F0" w:rsidRDefault="00FA422B" w:rsidP="00787B95">
      <w:pPr>
        <w:numPr>
          <w:ilvl w:val="0"/>
          <w:numId w:val="19"/>
        </w:numPr>
      </w:pPr>
      <w:r>
        <w:t>S</w:t>
      </w:r>
      <w:r w:rsidR="005667F0">
        <w:t>tiprinti savo sveikatos raštingumą (dalyvauti seminaruose, konsultuotis su sveikatos priežiūros specialistais sveikatos stiprinimo ir gerinimo klausimais).</w:t>
      </w:r>
      <w:r w:rsidR="00750DF0">
        <w:t xml:space="preserve"> </w:t>
      </w:r>
    </w:p>
    <w:p w:rsidR="00D9564B" w:rsidRDefault="00787B95" w:rsidP="00787B95">
      <w:pPr>
        <w:numPr>
          <w:ilvl w:val="0"/>
          <w:numId w:val="19"/>
        </w:numPr>
      </w:pPr>
      <w:r>
        <w:t>Ieškoti aktyvių laisvalaikio praleidimo būdų.</w:t>
      </w:r>
    </w:p>
    <w:p w:rsidR="00787B95" w:rsidRDefault="00787B95" w:rsidP="00787B95">
      <w:pPr>
        <w:ind w:left="720"/>
      </w:pPr>
    </w:p>
    <w:p w:rsidR="0065501C" w:rsidRDefault="0065501C">
      <w:pPr>
        <w:tabs>
          <w:tab w:val="clear" w:pos="1134"/>
        </w:tabs>
        <w:spacing w:after="200" w:line="276" w:lineRule="auto"/>
        <w:jc w:val="left"/>
      </w:pPr>
      <w:r>
        <w:br w:type="page"/>
      </w:r>
    </w:p>
    <w:p w:rsidR="0065501C" w:rsidRDefault="0065501C" w:rsidP="0065501C">
      <w:pPr>
        <w:ind w:left="720"/>
        <w:sectPr w:rsidR="0065501C" w:rsidSect="00230F23">
          <w:footerReference w:type="default" r:id="rId32"/>
          <w:pgSz w:w="11906" w:h="16838" w:code="9"/>
          <w:pgMar w:top="1134" w:right="567" w:bottom="1134" w:left="1418" w:header="567" w:footer="567" w:gutter="0"/>
          <w:cols w:space="1296"/>
          <w:titlePg/>
          <w:docGrid w:linePitch="360"/>
        </w:sectPr>
      </w:pPr>
    </w:p>
    <w:p w:rsidR="0065501C" w:rsidRDefault="0065501C" w:rsidP="0065501C">
      <w:pPr>
        <w:pStyle w:val="Antrat1"/>
        <w:numPr>
          <w:ilvl w:val="0"/>
          <w:numId w:val="0"/>
        </w:numPr>
        <w:ind w:left="720"/>
        <w:rPr>
          <w:b w:val="0"/>
          <w:sz w:val="28"/>
        </w:rPr>
      </w:pPr>
      <w:bookmarkStart w:id="19" w:name="_Toc439235731"/>
      <w:r>
        <w:rPr>
          <w:b w:val="0"/>
          <w:sz w:val="28"/>
        </w:rPr>
        <w:lastRenderedPageBreak/>
        <w:t>PRIEDAI</w:t>
      </w:r>
      <w:bookmarkEnd w:id="19"/>
    </w:p>
    <w:p w:rsidR="00B33E14" w:rsidRPr="00B33E14" w:rsidRDefault="00B33E14" w:rsidP="00B33E14">
      <w:r>
        <w:t>1 priedas.</w:t>
      </w:r>
      <w:r w:rsidR="00963515">
        <w:t xml:space="preserve"> </w:t>
      </w:r>
      <w:r>
        <w:t>Kauno miesto savivaldybės visuomenės sveikat</w:t>
      </w:r>
      <w:r w:rsidR="00963515">
        <w:t>os stebėsenos rodiklių profilis.</w:t>
      </w:r>
    </w:p>
    <w:tbl>
      <w:tblPr>
        <w:tblW w:w="15324" w:type="dxa"/>
        <w:tblInd w:w="93" w:type="dxa"/>
        <w:tblLayout w:type="fixed"/>
        <w:tblLook w:val="04A0" w:firstRow="1" w:lastRow="0" w:firstColumn="1" w:lastColumn="0" w:noHBand="0" w:noVBand="1"/>
      </w:tblPr>
      <w:tblGrid>
        <w:gridCol w:w="6536"/>
        <w:gridCol w:w="1559"/>
        <w:gridCol w:w="1418"/>
        <w:gridCol w:w="1275"/>
        <w:gridCol w:w="1134"/>
        <w:gridCol w:w="1418"/>
        <w:gridCol w:w="1984"/>
      </w:tblGrid>
      <w:tr w:rsidR="00B33E14" w:rsidRPr="00B33E14" w:rsidTr="00B33E14">
        <w:trPr>
          <w:trHeight w:val="705"/>
        </w:trPr>
        <w:tc>
          <w:tcPr>
            <w:tcW w:w="653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Rodiklis</w:t>
            </w:r>
          </w:p>
        </w:tc>
        <w:tc>
          <w:tcPr>
            <w:tcW w:w="1559" w:type="dxa"/>
            <w:tcBorders>
              <w:top w:val="single" w:sz="4" w:space="0" w:color="auto"/>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Atvejų skaičius savivaldybėje</w:t>
            </w:r>
          </w:p>
        </w:tc>
        <w:tc>
          <w:tcPr>
            <w:tcW w:w="1418" w:type="dxa"/>
            <w:tcBorders>
              <w:top w:val="single" w:sz="4" w:space="0" w:color="auto"/>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Savivaldybės rodiklis</w:t>
            </w:r>
          </w:p>
        </w:tc>
        <w:tc>
          <w:tcPr>
            <w:tcW w:w="1275" w:type="dxa"/>
            <w:tcBorders>
              <w:top w:val="single" w:sz="4" w:space="0" w:color="auto"/>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Lietuvos rodiklis</w:t>
            </w:r>
          </w:p>
        </w:tc>
        <w:tc>
          <w:tcPr>
            <w:tcW w:w="1134" w:type="dxa"/>
            <w:tcBorders>
              <w:top w:val="single" w:sz="4" w:space="0" w:color="auto"/>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Minimali reikšmė</w:t>
            </w:r>
          </w:p>
        </w:tc>
        <w:tc>
          <w:tcPr>
            <w:tcW w:w="1418" w:type="dxa"/>
            <w:tcBorders>
              <w:top w:val="single" w:sz="4" w:space="0" w:color="auto"/>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Maksimali reikšmė</w:t>
            </w:r>
          </w:p>
        </w:tc>
        <w:tc>
          <w:tcPr>
            <w:tcW w:w="1984" w:type="dxa"/>
            <w:tcBorders>
              <w:top w:val="single" w:sz="4" w:space="0" w:color="auto"/>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Santykis:</w:t>
            </w:r>
            <w:r w:rsidR="002132B7">
              <w:rPr>
                <w:rFonts w:eastAsia="Times New Roman" w:cs="Times New Roman"/>
                <w:color w:val="000000"/>
                <w:sz w:val="20"/>
                <w:szCs w:val="24"/>
                <w:lang w:eastAsia="lt-LT"/>
              </w:rPr>
              <w:t xml:space="preserve"> </w:t>
            </w:r>
            <w:r w:rsidRPr="00B33E14">
              <w:rPr>
                <w:rFonts w:eastAsia="Times New Roman" w:cs="Times New Roman"/>
                <w:color w:val="000000"/>
                <w:sz w:val="20"/>
                <w:szCs w:val="24"/>
                <w:lang w:eastAsia="lt-LT"/>
              </w:rPr>
              <w:t>savivaldybė/Lietuva</w:t>
            </w:r>
          </w:p>
        </w:tc>
      </w:tr>
      <w:tr w:rsidR="00B33E14" w:rsidRPr="00B33E14" w:rsidTr="00B33E14">
        <w:trPr>
          <w:trHeight w:val="330"/>
        </w:trPr>
        <w:tc>
          <w:tcPr>
            <w:tcW w:w="6536" w:type="dxa"/>
            <w:tcBorders>
              <w:top w:val="nil"/>
              <w:left w:val="single" w:sz="4" w:space="0" w:color="auto"/>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c>
          <w:tcPr>
            <w:tcW w:w="1559" w:type="dxa"/>
            <w:tcBorders>
              <w:top w:val="nil"/>
              <w:left w:val="nil"/>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w:t>
            </w:r>
          </w:p>
        </w:tc>
        <w:tc>
          <w:tcPr>
            <w:tcW w:w="1418" w:type="dxa"/>
            <w:tcBorders>
              <w:top w:val="nil"/>
              <w:left w:val="nil"/>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w:t>
            </w:r>
          </w:p>
        </w:tc>
        <w:tc>
          <w:tcPr>
            <w:tcW w:w="1275" w:type="dxa"/>
            <w:tcBorders>
              <w:top w:val="nil"/>
              <w:left w:val="nil"/>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w:t>
            </w:r>
          </w:p>
        </w:tc>
        <w:tc>
          <w:tcPr>
            <w:tcW w:w="1134" w:type="dxa"/>
            <w:tcBorders>
              <w:top w:val="nil"/>
              <w:left w:val="nil"/>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w:t>
            </w:r>
          </w:p>
        </w:tc>
        <w:tc>
          <w:tcPr>
            <w:tcW w:w="1418" w:type="dxa"/>
            <w:tcBorders>
              <w:top w:val="nil"/>
              <w:left w:val="nil"/>
              <w:bottom w:val="single" w:sz="4" w:space="0" w:color="auto"/>
              <w:right w:val="single" w:sz="4" w:space="0" w:color="auto"/>
            </w:tcBorders>
            <w:shd w:val="clear" w:color="000000" w:fill="E6B8B7"/>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w:t>
            </w:r>
          </w:p>
        </w:tc>
        <w:tc>
          <w:tcPr>
            <w:tcW w:w="1984" w:type="dxa"/>
            <w:tcBorders>
              <w:top w:val="nil"/>
              <w:left w:val="nil"/>
              <w:bottom w:val="single" w:sz="4" w:space="0" w:color="auto"/>
              <w:right w:val="single" w:sz="4" w:space="0" w:color="auto"/>
            </w:tcBorders>
            <w:shd w:val="clear" w:color="000000" w:fill="E6B8B7"/>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w:t>
            </w:r>
          </w:p>
        </w:tc>
      </w:tr>
      <w:tr w:rsidR="00732CCF" w:rsidRPr="00B33E14" w:rsidTr="007058DF">
        <w:trPr>
          <w:trHeight w:val="315"/>
        </w:trPr>
        <w:tc>
          <w:tcPr>
            <w:tcW w:w="15324" w:type="dxa"/>
            <w:gridSpan w:val="7"/>
            <w:tcBorders>
              <w:top w:val="nil"/>
              <w:left w:val="single" w:sz="4" w:space="0" w:color="auto"/>
              <w:bottom w:val="single" w:sz="4" w:space="0" w:color="auto"/>
              <w:right w:val="single" w:sz="4" w:space="0" w:color="auto"/>
            </w:tcBorders>
            <w:shd w:val="clear" w:color="000000" w:fill="FDE9D9"/>
            <w:noWrap/>
            <w:vAlign w:val="center"/>
            <w:hideMark/>
          </w:tcPr>
          <w:p w:rsidR="00732CCF" w:rsidRPr="00732CCF" w:rsidRDefault="00732CCF" w:rsidP="00732CCF">
            <w:pPr>
              <w:tabs>
                <w:tab w:val="clear" w:pos="1134"/>
              </w:tabs>
              <w:spacing w:line="240" w:lineRule="auto"/>
              <w:rPr>
                <w:rFonts w:eastAsia="Times New Roman" w:cs="Times New Roman"/>
                <w:b/>
                <w:color w:val="000000"/>
                <w:sz w:val="20"/>
                <w:szCs w:val="24"/>
                <w:lang w:eastAsia="lt-LT"/>
              </w:rPr>
            </w:pPr>
            <w:r w:rsidRPr="00732CCF">
              <w:rPr>
                <w:rFonts w:eastAsia="Times New Roman" w:cs="Times New Roman"/>
                <w:b/>
                <w:i/>
                <w:iCs/>
                <w:color w:val="000000"/>
                <w:sz w:val="20"/>
                <w:szCs w:val="24"/>
                <w:u w:val="single"/>
                <w:lang w:eastAsia="lt-LT"/>
              </w:rPr>
              <w:t>Strateginis tikslas - pasiekti, kad 2023 metais šalies gyventojai būtų sveikesni ir gyventų ilgiau, pagerėtų gyventojų sveikata ir sumažėtų sveikatos netolygumai</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Vidutinė tikėtina gyvenimo trukmė.</w:t>
            </w:r>
          </w:p>
        </w:tc>
        <w:tc>
          <w:tcPr>
            <w:tcW w:w="1559"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76,9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74,7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69,6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77,7</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1,03</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Išvengiamas mirtingumas.</w:t>
            </w:r>
          </w:p>
        </w:tc>
        <w:tc>
          <w:tcPr>
            <w:tcW w:w="1559"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D9D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nėra</w:t>
            </w:r>
          </w:p>
        </w:tc>
        <w:tc>
          <w:tcPr>
            <w:tcW w:w="1275" w:type="dxa"/>
            <w:tcBorders>
              <w:top w:val="nil"/>
              <w:left w:val="nil"/>
              <w:bottom w:val="single" w:sz="4" w:space="0" w:color="auto"/>
              <w:right w:val="single" w:sz="4" w:space="0" w:color="auto"/>
            </w:tcBorders>
            <w:shd w:val="clear" w:color="000000" w:fill="D9D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nėra</w:t>
            </w:r>
          </w:p>
        </w:tc>
        <w:tc>
          <w:tcPr>
            <w:tcW w:w="1134" w:type="dxa"/>
            <w:tcBorders>
              <w:top w:val="nil"/>
              <w:left w:val="nil"/>
              <w:bottom w:val="single" w:sz="4" w:space="0" w:color="auto"/>
              <w:right w:val="single" w:sz="4" w:space="0" w:color="auto"/>
            </w:tcBorders>
            <w:shd w:val="clear" w:color="000000" w:fill="D9D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nėra</w:t>
            </w:r>
          </w:p>
        </w:tc>
        <w:tc>
          <w:tcPr>
            <w:tcW w:w="1418" w:type="dxa"/>
            <w:tcBorders>
              <w:top w:val="nil"/>
              <w:left w:val="nil"/>
              <w:bottom w:val="single" w:sz="4" w:space="0" w:color="auto"/>
              <w:right w:val="single" w:sz="4" w:space="0" w:color="auto"/>
            </w:tcBorders>
            <w:shd w:val="clear" w:color="000000" w:fill="D9D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nėra</w:t>
            </w:r>
          </w:p>
        </w:tc>
        <w:tc>
          <w:tcPr>
            <w:tcW w:w="1984" w:type="dxa"/>
            <w:tcBorders>
              <w:top w:val="nil"/>
              <w:left w:val="nil"/>
              <w:bottom w:val="single" w:sz="4" w:space="0" w:color="auto"/>
              <w:right w:val="single" w:sz="4" w:space="0" w:color="auto"/>
            </w:tcBorders>
            <w:shd w:val="clear" w:color="000000" w:fill="D9D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nėra</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E6B8B7"/>
            <w:noWrap/>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1 tikslas. Sukurti saugesnę socialinę aplinką, mažinti sveikatos netolygumus ir socialinę atskirti</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1.1. Sumažinti skurdo lygį ir nedarbą</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Mirtingumas dėl savižudybių (X60-X84) 100 000 gyv.</w:t>
            </w:r>
          </w:p>
        </w:tc>
        <w:tc>
          <w:tcPr>
            <w:tcW w:w="1559"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75</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24,78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31,7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9,79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92,67</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0,78</w:t>
            </w:r>
          </w:p>
        </w:tc>
      </w:tr>
      <w:tr w:rsidR="00B33E14" w:rsidRPr="00B33E14" w:rsidTr="00B33E14">
        <w:trPr>
          <w:trHeight w:val="402"/>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Standartizuotas mirtingumo dėl savižudybių rodiklis (X60-X84) 100 000 gyv.</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24,54</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31,3</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90</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0,78</w:t>
            </w:r>
          </w:p>
        </w:tc>
      </w:tr>
      <w:tr w:rsidR="00B33E14" w:rsidRPr="00B33E14" w:rsidTr="00B33E14">
        <w:trPr>
          <w:trHeight w:val="402"/>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Mokyklinio amžiaus vaikų, nesimokančių mokyklose</w:t>
            </w:r>
            <w:r w:rsidR="00497E79">
              <w:rPr>
                <w:rFonts w:eastAsia="Times New Roman" w:cs="Times New Roman"/>
                <w:color w:val="000000"/>
                <w:sz w:val="20"/>
                <w:szCs w:val="24"/>
                <w:lang w:eastAsia="lt-LT"/>
              </w:rPr>
              <w:t>,</w:t>
            </w:r>
            <w:r w:rsidRPr="00B33E14">
              <w:rPr>
                <w:rFonts w:eastAsia="Times New Roman" w:cs="Times New Roman"/>
                <w:color w:val="000000"/>
                <w:sz w:val="20"/>
                <w:szCs w:val="24"/>
                <w:lang w:eastAsia="lt-LT"/>
              </w:rPr>
              <w:t xml:space="preserve"> skaičius 1000 vaikų</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1534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66,7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56,2</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21,9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126,8</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1,19</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Socialinės rizikos šeimų skaičius 1 000 gyventojų</w:t>
            </w:r>
          </w:p>
        </w:tc>
        <w:tc>
          <w:tcPr>
            <w:tcW w:w="1559"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3,39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8,4</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0,43</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Ilgalaikio nedarbo lygis. </w:t>
            </w:r>
          </w:p>
        </w:tc>
        <w:tc>
          <w:tcPr>
            <w:tcW w:w="1559"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1,88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3,08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10,6</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0,61</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Gyventojų skaičiaus pokytis 1 000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732CCF" w:rsidRDefault="0065501C" w:rsidP="0065501C">
            <w:pPr>
              <w:tabs>
                <w:tab w:val="clear" w:pos="1134"/>
              </w:tabs>
              <w:spacing w:line="240" w:lineRule="auto"/>
              <w:jc w:val="center"/>
              <w:rPr>
                <w:rFonts w:eastAsia="Times New Roman" w:cs="Times New Roman"/>
                <w:sz w:val="20"/>
                <w:lang w:eastAsia="lt-LT"/>
              </w:rPr>
            </w:pPr>
            <w:r w:rsidRPr="00732CCF">
              <w:rPr>
                <w:rFonts w:eastAsia="Times New Roman" w:cs="Times New Roman"/>
                <w:sz w:val="20"/>
                <w:lang w:eastAsia="lt-LT"/>
              </w:rPr>
              <w:t>-2876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-7,96</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-7,57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-15,7</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0,4</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1,05</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1.2. Sumažinti socialinę ekonominę gyventojų diferenciaciją šalies ir bendruomenių lygmeniu</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Mirtingumas dėl išorinių priežasčių /(V01–Y98) 100 000 gyventojų. </w:t>
            </w:r>
          </w:p>
        </w:tc>
        <w:tc>
          <w:tcPr>
            <w:tcW w:w="1559" w:type="dxa"/>
            <w:vMerge w:val="restart"/>
            <w:tcBorders>
              <w:top w:val="nil"/>
              <w:left w:val="single" w:sz="4" w:space="0" w:color="auto"/>
              <w:bottom w:val="single" w:sz="4" w:space="0" w:color="000000"/>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271</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88,8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113,4</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75,6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186,1</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0,78</w:t>
            </w:r>
          </w:p>
        </w:tc>
      </w:tr>
      <w:tr w:rsidR="00B33E14" w:rsidRPr="00B33E14" w:rsidTr="00B33E14">
        <w:trPr>
          <w:trHeight w:val="63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Standartizuotas mirt</w:t>
            </w:r>
            <w:r w:rsidR="002132B7">
              <w:rPr>
                <w:rFonts w:eastAsia="Times New Roman" w:cs="Times New Roman"/>
                <w:color w:val="000000"/>
                <w:sz w:val="20"/>
                <w:szCs w:val="24"/>
                <w:lang w:eastAsia="lt-LT"/>
              </w:rPr>
              <w:t xml:space="preserve">ingumo dėl išorinių priežasčių </w:t>
            </w:r>
            <w:r w:rsidRPr="00B33E14">
              <w:rPr>
                <w:rFonts w:eastAsia="Times New Roman" w:cs="Times New Roman"/>
                <w:color w:val="000000"/>
                <w:sz w:val="20"/>
                <w:szCs w:val="24"/>
                <w:lang w:eastAsia="lt-LT"/>
              </w:rPr>
              <w:t xml:space="preserve">rodiklis (V01–Y98)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88,83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113,41</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75,58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186,06</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0,78</w:t>
            </w:r>
          </w:p>
        </w:tc>
      </w:tr>
      <w:tr w:rsidR="00B33E14" w:rsidRPr="00B33E14" w:rsidTr="00B33E14">
        <w:trPr>
          <w:trHeight w:val="42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Mokinių, gaunančių nemokamą mait</w:t>
            </w:r>
            <w:r w:rsidR="00963515">
              <w:rPr>
                <w:rFonts w:eastAsia="Times New Roman" w:cs="Times New Roman"/>
                <w:color w:val="000000"/>
                <w:sz w:val="20"/>
                <w:szCs w:val="24"/>
                <w:lang w:eastAsia="lt-LT"/>
              </w:rPr>
              <w:t xml:space="preserve">inimą, mokyklose skaičius 1 000 </w:t>
            </w:r>
            <w:r w:rsidRPr="00B33E14">
              <w:rPr>
                <w:rFonts w:eastAsia="Times New Roman" w:cs="Times New Roman"/>
                <w:color w:val="000000"/>
                <w:sz w:val="20"/>
                <w:szCs w:val="24"/>
                <w:lang w:eastAsia="lt-LT"/>
              </w:rPr>
              <w:t>gyventojų</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5418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165</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253,8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133,8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542,5</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0,65</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 Socialinės pašalpos gavėjų skaičius 1 000 gyventojų.</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10192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33,67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47,8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99,8</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Sergamumas tuberkulioze (A15-A19) 10 000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29,4</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44,37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104,4</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0,66</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E6B8B7"/>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 xml:space="preserve">2 tikslas. Sukurti sveikatai palankią fizinę darbo ir gyvenamąją aplinką </w:t>
            </w:r>
          </w:p>
        </w:tc>
      </w:tr>
      <w:tr w:rsidR="00963515" w:rsidRPr="00B33E14" w:rsidTr="00963515">
        <w:trPr>
          <w:trHeight w:val="70"/>
        </w:trPr>
        <w:tc>
          <w:tcPr>
            <w:tcW w:w="15324" w:type="dxa"/>
            <w:gridSpan w:val="7"/>
            <w:tcBorders>
              <w:top w:val="nil"/>
              <w:left w:val="single" w:sz="4" w:space="0" w:color="auto"/>
              <w:bottom w:val="single" w:sz="4" w:space="0" w:color="auto"/>
              <w:right w:val="single" w:sz="4" w:space="0" w:color="auto"/>
            </w:tcBorders>
            <w:shd w:val="clear" w:color="000000" w:fill="F2DCDB"/>
            <w:vAlign w:val="center"/>
            <w:hideMark/>
          </w:tcPr>
          <w:p w:rsidR="00963515" w:rsidRPr="00B33E14" w:rsidRDefault="00963515"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2.1. Kurti saugias darbo ir sveikas bui</w:t>
            </w:r>
            <w:r>
              <w:rPr>
                <w:rFonts w:eastAsia="Times New Roman" w:cs="Times New Roman"/>
                <w:b/>
                <w:bCs/>
                <w:color w:val="000000"/>
                <w:sz w:val="20"/>
                <w:szCs w:val="24"/>
                <w:lang w:eastAsia="lt-LT"/>
              </w:rPr>
              <w:t xml:space="preserve">ties sąlygas, didinti prekių ir </w:t>
            </w:r>
            <w:r w:rsidRPr="00B33E14">
              <w:rPr>
                <w:rFonts w:eastAsia="Times New Roman" w:cs="Times New Roman"/>
                <w:b/>
                <w:bCs/>
                <w:color w:val="000000"/>
                <w:sz w:val="20"/>
                <w:szCs w:val="24"/>
                <w:lang w:eastAsia="lt-LT"/>
              </w:rPr>
              <w:t>paslaugų vartotojų saugumą</w:t>
            </w:r>
          </w:p>
        </w:tc>
      </w:tr>
      <w:tr w:rsidR="00B33E14" w:rsidRPr="00B33E14" w:rsidTr="00B86376">
        <w:trPr>
          <w:trHeight w:val="64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Asmenų, žuvusių ar sunkiai sužalotų dėl nelaimingų ats</w:t>
            </w:r>
            <w:r w:rsidR="00732CCF">
              <w:rPr>
                <w:rFonts w:eastAsia="Times New Roman" w:cs="Times New Roman"/>
                <w:color w:val="000000"/>
                <w:sz w:val="20"/>
                <w:szCs w:val="24"/>
                <w:lang w:eastAsia="lt-LT"/>
              </w:rPr>
              <w:t xml:space="preserve">itikimų darbe, skaičius 10 000 </w:t>
            </w:r>
            <w:r w:rsidRPr="00B33E14">
              <w:rPr>
                <w:rFonts w:eastAsia="Times New Roman" w:cs="Times New Roman"/>
                <w:color w:val="000000"/>
                <w:sz w:val="20"/>
                <w:szCs w:val="24"/>
                <w:lang w:eastAsia="lt-LT"/>
              </w:rPr>
              <w:t xml:space="preserve">darbingo amžiaus gyventojų. </w:t>
            </w:r>
          </w:p>
        </w:tc>
        <w:tc>
          <w:tcPr>
            <w:tcW w:w="1559" w:type="dxa"/>
            <w:tcBorders>
              <w:top w:val="nil"/>
              <w:left w:val="nil"/>
              <w:bottom w:val="nil"/>
              <w:right w:val="nil"/>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20</w:t>
            </w:r>
          </w:p>
        </w:tc>
        <w:tc>
          <w:tcPr>
            <w:tcW w:w="1418"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1,16</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0,95</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3,5</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1,33</w:t>
            </w:r>
          </w:p>
        </w:tc>
      </w:tr>
      <w:tr w:rsidR="00B33E14" w:rsidRPr="00B33E14" w:rsidTr="00B86376">
        <w:trPr>
          <w:trHeight w:val="573"/>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Susižalojimo dėl nukritimo atvejų skaičius (W00-W19)</w:t>
            </w:r>
            <w:r w:rsidR="00732CCF">
              <w:rPr>
                <w:rFonts w:eastAsia="Times New Roman" w:cs="Times New Roman"/>
                <w:color w:val="000000"/>
                <w:sz w:val="20"/>
                <w:szCs w:val="24"/>
                <w:lang w:eastAsia="lt-LT"/>
              </w:rPr>
              <w:t xml:space="preserve"> 65+ m. amžiaus grupėje 10 000 </w:t>
            </w:r>
            <w:r w:rsidRPr="00B33E14">
              <w:rPr>
                <w:rFonts w:eastAsia="Times New Roman" w:cs="Times New Roman"/>
                <w:color w:val="000000"/>
                <w:sz w:val="20"/>
                <w:szCs w:val="24"/>
                <w:lang w:eastAsia="lt-LT"/>
              </w:rPr>
              <w:t>gyventojų.</w:t>
            </w:r>
          </w:p>
        </w:tc>
        <w:tc>
          <w:tcPr>
            <w:tcW w:w="1559" w:type="dxa"/>
            <w:tcBorders>
              <w:top w:val="single" w:sz="4" w:space="0" w:color="auto"/>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3694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148,87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131,89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37,7</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246,7</w:t>
            </w:r>
          </w:p>
        </w:tc>
        <w:tc>
          <w:tcPr>
            <w:tcW w:w="1984" w:type="dxa"/>
            <w:tcBorders>
              <w:top w:val="single" w:sz="4" w:space="0" w:color="auto"/>
              <w:left w:val="nil"/>
              <w:bottom w:val="single" w:sz="4" w:space="0" w:color="auto"/>
              <w:right w:val="single" w:sz="4" w:space="0" w:color="auto"/>
            </w:tcBorders>
            <w:shd w:val="clear" w:color="000000" w:fill="FF5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1,13</w:t>
            </w:r>
          </w:p>
        </w:tc>
      </w:tr>
      <w:tr w:rsidR="00B33E14" w:rsidRPr="00B33E14" w:rsidTr="00B86376">
        <w:trPr>
          <w:trHeight w:val="315"/>
        </w:trPr>
        <w:tc>
          <w:tcPr>
            <w:tcW w:w="653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lastRenderedPageBreak/>
              <w:t xml:space="preserve">Darbingo amžiaus asmenų, pirmą kartą pripažintų neįgaliais, skaičius 10 000 gyventojų. </w:t>
            </w:r>
          </w:p>
        </w:tc>
        <w:tc>
          <w:tcPr>
            <w:tcW w:w="1559"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1101</w:t>
            </w: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61,3</w:t>
            </w:r>
          </w:p>
        </w:tc>
        <w:tc>
          <w:tcPr>
            <w:tcW w:w="1275"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73,9</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55,8</w:t>
            </w: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126</w:t>
            </w:r>
          </w:p>
        </w:tc>
        <w:tc>
          <w:tcPr>
            <w:tcW w:w="1984" w:type="dxa"/>
            <w:tcBorders>
              <w:top w:val="single" w:sz="4" w:space="0" w:color="auto"/>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0,83</w:t>
            </w:r>
          </w:p>
        </w:tc>
      </w:tr>
      <w:tr w:rsidR="00B33E14" w:rsidRPr="00B33E14" w:rsidTr="00B86376">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Sergamumas žarnyno infekcinėmis ligomis (A00-A08) 10 000 gyventojų.</w:t>
            </w:r>
          </w:p>
        </w:tc>
        <w:tc>
          <w:tcPr>
            <w:tcW w:w="1559"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1620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79,9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61,98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100,2</w:t>
            </w:r>
          </w:p>
        </w:tc>
        <w:tc>
          <w:tcPr>
            <w:tcW w:w="1984" w:type="dxa"/>
            <w:tcBorders>
              <w:top w:val="single" w:sz="4" w:space="0" w:color="auto"/>
              <w:left w:val="nil"/>
              <w:bottom w:val="single" w:sz="4" w:space="0" w:color="auto"/>
              <w:right w:val="single" w:sz="4" w:space="0" w:color="auto"/>
            </w:tcBorders>
            <w:shd w:val="clear" w:color="000000" w:fill="FF5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1,29</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2.2. Kurti palankias sąlygas saugiai leisti la</w:t>
            </w:r>
            <w:r w:rsidR="002132B7">
              <w:rPr>
                <w:rFonts w:eastAsia="Times New Roman" w:cs="Times New Roman"/>
                <w:b/>
                <w:bCs/>
                <w:color w:val="000000"/>
                <w:sz w:val="20"/>
                <w:szCs w:val="24"/>
                <w:lang w:eastAsia="lt-LT"/>
              </w:rPr>
              <w:t>is</w:t>
            </w:r>
            <w:r w:rsidRPr="00B33E14">
              <w:rPr>
                <w:rFonts w:eastAsia="Times New Roman" w:cs="Times New Roman"/>
                <w:b/>
                <w:bCs/>
                <w:color w:val="000000"/>
                <w:sz w:val="20"/>
                <w:szCs w:val="24"/>
                <w:lang w:eastAsia="lt-LT"/>
              </w:rPr>
              <w:t>valaikį</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Mirtingumas dėl atsitiktinio paskendimo (W65-W74) 100 000 gyventojų. </w:t>
            </w:r>
          </w:p>
        </w:tc>
        <w:tc>
          <w:tcPr>
            <w:tcW w:w="1559"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3,63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7,81</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38,8</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0,46</w:t>
            </w:r>
          </w:p>
        </w:tc>
      </w:tr>
      <w:tr w:rsidR="00B33E14" w:rsidRPr="00B33E14" w:rsidTr="00732CCF">
        <w:trPr>
          <w:trHeight w:val="40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Standartizuot</w:t>
            </w:r>
            <w:r w:rsidR="00732CCF">
              <w:rPr>
                <w:rFonts w:eastAsia="Times New Roman" w:cs="Times New Roman"/>
                <w:color w:val="000000"/>
                <w:sz w:val="20"/>
                <w:szCs w:val="24"/>
                <w:lang w:eastAsia="lt-LT"/>
              </w:rPr>
              <w:t xml:space="preserve">as mirtingumo dėl atsitiktinio </w:t>
            </w:r>
            <w:r w:rsidRPr="00B33E14">
              <w:rPr>
                <w:rFonts w:eastAsia="Times New Roman" w:cs="Times New Roman"/>
                <w:color w:val="000000"/>
                <w:sz w:val="20"/>
                <w:szCs w:val="24"/>
                <w:lang w:eastAsia="lt-LT"/>
              </w:rPr>
              <w:t xml:space="preserve">paskendimo rodiklis (W65-W74)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3,65</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39,04</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0,47</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Mirtingumas dė</w:t>
            </w:r>
            <w:r w:rsidR="00732CCF">
              <w:rPr>
                <w:rFonts w:eastAsia="Times New Roman" w:cs="Times New Roman"/>
                <w:color w:val="000000"/>
                <w:sz w:val="20"/>
                <w:szCs w:val="24"/>
                <w:lang w:eastAsia="lt-LT"/>
              </w:rPr>
              <w:t xml:space="preserve">l nukritimo rodiklis (W00-W19) </w:t>
            </w:r>
            <w:r w:rsidRPr="00B33E14">
              <w:rPr>
                <w:rFonts w:eastAsia="Times New Roman" w:cs="Times New Roman"/>
                <w:color w:val="000000"/>
                <w:sz w:val="20"/>
                <w:szCs w:val="24"/>
                <w:lang w:eastAsia="lt-LT"/>
              </w:rPr>
              <w:t xml:space="preserve">100 000 gyventojų. </w:t>
            </w:r>
          </w:p>
        </w:tc>
        <w:tc>
          <w:tcPr>
            <w:tcW w:w="1559" w:type="dxa"/>
            <w:vMerge w:val="restart"/>
            <w:tcBorders>
              <w:top w:val="nil"/>
              <w:left w:val="single" w:sz="4" w:space="0" w:color="auto"/>
              <w:bottom w:val="single" w:sz="4" w:space="0" w:color="000000"/>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9,58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41,35</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Standartizuotas mirtingumo dėl nukritimo rodiklis (W00-W19) </w:t>
            </w:r>
            <w:r w:rsidRPr="00B33E14">
              <w:rPr>
                <w:rFonts w:eastAsia="Times New Roman" w:cs="Times New Roman"/>
                <w:color w:val="000000"/>
                <w:sz w:val="20"/>
                <w:szCs w:val="24"/>
                <w:lang w:eastAsia="lt-LT"/>
              </w:rPr>
              <w:br/>
              <w:t xml:space="preserve">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9,37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12,32</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43,91</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2.3. Mažinti avaringumą ir traumų kelių eismo įvykiuose skaičių</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497E79" w:rsidP="00497E79">
            <w:pPr>
              <w:tabs>
                <w:tab w:val="clear" w:pos="1134"/>
              </w:tabs>
              <w:spacing w:line="240" w:lineRule="auto"/>
              <w:jc w:val="left"/>
              <w:rPr>
                <w:rFonts w:eastAsia="Times New Roman" w:cs="Times New Roman"/>
                <w:color w:val="000000"/>
                <w:sz w:val="20"/>
                <w:szCs w:val="24"/>
                <w:lang w:eastAsia="lt-LT"/>
              </w:rPr>
            </w:pPr>
            <w:r>
              <w:rPr>
                <w:rFonts w:eastAsia="Times New Roman" w:cs="Times New Roman"/>
                <w:color w:val="000000"/>
                <w:sz w:val="20"/>
                <w:szCs w:val="24"/>
                <w:lang w:eastAsia="lt-LT"/>
              </w:rPr>
              <w:t>Mirtingumo</w:t>
            </w:r>
            <w:r w:rsidR="0065501C" w:rsidRPr="00B33E14">
              <w:rPr>
                <w:rFonts w:eastAsia="Times New Roman" w:cs="Times New Roman"/>
                <w:color w:val="000000"/>
                <w:sz w:val="20"/>
                <w:szCs w:val="24"/>
                <w:lang w:eastAsia="lt-LT"/>
              </w:rPr>
              <w:t xml:space="preserve"> dėl transporto įvykių rodiklis (V00-V99) 100 000 gyventojų. </w:t>
            </w:r>
          </w:p>
        </w:tc>
        <w:tc>
          <w:tcPr>
            <w:tcW w:w="1559" w:type="dxa"/>
            <w:vMerge w:val="restart"/>
            <w:tcBorders>
              <w:top w:val="nil"/>
              <w:left w:val="single" w:sz="4" w:space="0" w:color="auto"/>
              <w:bottom w:val="single" w:sz="4" w:space="0" w:color="000000"/>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8,59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11,08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28,8</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0,78</w:t>
            </w:r>
          </w:p>
        </w:tc>
      </w:tr>
      <w:tr w:rsidR="00B33E14" w:rsidRPr="00B33E14" w:rsidTr="00732CCF">
        <w:trPr>
          <w:trHeight w:val="437"/>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Standartizuotas mirtingumo dėl tr</w:t>
            </w:r>
            <w:r w:rsidR="00732CCF">
              <w:rPr>
                <w:rFonts w:eastAsia="Times New Roman" w:cs="Times New Roman"/>
                <w:color w:val="000000"/>
                <w:sz w:val="20"/>
                <w:szCs w:val="24"/>
                <w:lang w:eastAsia="lt-LT"/>
              </w:rPr>
              <w:t xml:space="preserve">ansporto įvykių  </w:t>
            </w:r>
            <w:r w:rsidRPr="00B33E14">
              <w:rPr>
                <w:rFonts w:eastAsia="Times New Roman" w:cs="Times New Roman"/>
                <w:color w:val="000000"/>
                <w:sz w:val="20"/>
                <w:szCs w:val="24"/>
                <w:lang w:eastAsia="lt-LT"/>
              </w:rPr>
              <w:t xml:space="preserve">rodiklis (V00-V99)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8,29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10,96</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26,2</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0,76</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Pėsčiųjų mirtingumas dėl transporto įvykių (V00-V09) 100 000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4,63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15,1</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1,08</w:t>
            </w:r>
          </w:p>
        </w:tc>
      </w:tr>
      <w:tr w:rsidR="00B33E14" w:rsidRPr="00B33E14" w:rsidTr="00B33E14">
        <w:trPr>
          <w:trHeight w:val="37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Transporto įvykiuose patirtų traumų (V00-V99) skaičius 100 000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386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45,6</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72,43</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45,5</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156,5</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0,63</w:t>
            </w:r>
          </w:p>
        </w:tc>
      </w:tr>
      <w:tr w:rsidR="0065501C" w:rsidRPr="00B33E14" w:rsidTr="00B33E14">
        <w:trPr>
          <w:trHeight w:val="37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2</w:t>
            </w:r>
            <w:r w:rsidR="002132B7">
              <w:rPr>
                <w:rFonts w:eastAsia="Times New Roman" w:cs="Times New Roman"/>
                <w:b/>
                <w:bCs/>
                <w:color w:val="000000"/>
                <w:sz w:val="20"/>
                <w:szCs w:val="24"/>
                <w:lang w:eastAsia="lt-LT"/>
              </w:rPr>
              <w:t>.4. Mažinti oro, vandens ir dirvož</w:t>
            </w:r>
            <w:r w:rsidRPr="00B33E14">
              <w:rPr>
                <w:rFonts w:eastAsia="Times New Roman" w:cs="Times New Roman"/>
                <w:b/>
                <w:bCs/>
                <w:color w:val="000000"/>
                <w:sz w:val="20"/>
                <w:szCs w:val="24"/>
                <w:lang w:eastAsia="lt-LT"/>
              </w:rPr>
              <w:t>emio užterštumą, triukšmą</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Į atmosferą iš stacionarių taršos šaltinių išmestų teršalų kiekis, tenkantis 1 kvadratiniam kilometrui.</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24,14357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0,86545</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984" w:type="dxa"/>
            <w:tcBorders>
              <w:top w:val="nil"/>
              <w:left w:val="nil"/>
              <w:bottom w:val="single" w:sz="4" w:space="0" w:color="auto"/>
              <w:right w:val="single" w:sz="4" w:space="0" w:color="auto"/>
            </w:tcBorders>
            <w:shd w:val="clear" w:color="000000" w:fill="FDE9D9"/>
            <w:noWrap/>
            <w:vAlign w:val="center"/>
            <w:hideMark/>
          </w:tcPr>
          <w:p w:rsidR="0065501C" w:rsidRPr="00B33E14" w:rsidRDefault="00FA422B"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w:t>
            </w:r>
            <w:r w:rsidR="00732CCF">
              <w:rPr>
                <w:rFonts w:eastAsia="Times New Roman" w:cs="Times New Roman"/>
                <w:color w:val="000000"/>
                <w:sz w:val="20"/>
                <w:szCs w:val="24"/>
                <w:lang w:eastAsia="lt-LT"/>
              </w:rPr>
              <w:t>a</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Viešai tiekiamo geriamojo vandens prieinamumas vartotojams (proc.).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90,8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984"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Nuotekų tvarkymo paslaugų prieinamumas vartotojams (proc.).</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87,3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c>
          <w:tcPr>
            <w:tcW w:w="1984" w:type="dxa"/>
            <w:tcBorders>
              <w:top w:val="nil"/>
              <w:left w:val="nil"/>
              <w:bottom w:val="single" w:sz="4" w:space="0" w:color="auto"/>
              <w:right w:val="single" w:sz="4" w:space="0" w:color="auto"/>
            </w:tcBorders>
            <w:shd w:val="clear" w:color="000000" w:fill="FDE9D9"/>
            <w:noWrap/>
            <w:vAlign w:val="center"/>
            <w:hideMark/>
          </w:tcPr>
          <w:p w:rsidR="0065501C" w:rsidRPr="00B33E14" w:rsidRDefault="00732CCF" w:rsidP="0065501C">
            <w:pPr>
              <w:tabs>
                <w:tab w:val="clear" w:pos="1134"/>
              </w:tabs>
              <w:spacing w:line="240" w:lineRule="auto"/>
              <w:jc w:val="center"/>
              <w:rPr>
                <w:rFonts w:eastAsia="Times New Roman" w:cs="Times New Roman"/>
                <w:color w:val="000000"/>
                <w:sz w:val="20"/>
                <w:szCs w:val="24"/>
                <w:lang w:eastAsia="lt-LT"/>
              </w:rPr>
            </w:pPr>
            <w:r>
              <w:rPr>
                <w:rFonts w:eastAsia="Times New Roman" w:cs="Times New Roman"/>
                <w:color w:val="000000"/>
                <w:sz w:val="20"/>
                <w:szCs w:val="24"/>
                <w:lang w:eastAsia="lt-LT"/>
              </w:rPr>
              <w:t>nėra</w:t>
            </w:r>
          </w:p>
        </w:tc>
      </w:tr>
      <w:tr w:rsidR="0065501C" w:rsidRPr="00B33E14" w:rsidTr="00B33E14">
        <w:trPr>
          <w:trHeight w:val="315"/>
        </w:trPr>
        <w:tc>
          <w:tcPr>
            <w:tcW w:w="15324" w:type="dxa"/>
            <w:gridSpan w:val="7"/>
            <w:tcBorders>
              <w:top w:val="single" w:sz="4" w:space="0" w:color="auto"/>
              <w:left w:val="single" w:sz="4" w:space="0" w:color="auto"/>
              <w:bottom w:val="nil"/>
              <w:right w:val="nil"/>
            </w:tcBorders>
            <w:shd w:val="clear" w:color="000000" w:fill="E6B8B7"/>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 xml:space="preserve">3 tikslas. Formuoti sveiką gyvenseną ir jos kultūrą </w:t>
            </w:r>
          </w:p>
        </w:tc>
      </w:tr>
      <w:tr w:rsidR="0065501C" w:rsidRPr="00B33E14" w:rsidTr="00963515">
        <w:trPr>
          <w:trHeight w:val="308"/>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after="240"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3.1. Sumažinti alkoholinių gėrimų, tabako vartojimą, neteisėtą narkotinių ir psichotropinių med</w:t>
            </w:r>
            <w:r w:rsidR="00732CCF">
              <w:rPr>
                <w:rFonts w:eastAsia="Times New Roman" w:cs="Times New Roman"/>
                <w:b/>
                <w:bCs/>
                <w:color w:val="000000"/>
                <w:sz w:val="20"/>
                <w:szCs w:val="24"/>
                <w:lang w:eastAsia="lt-LT"/>
              </w:rPr>
              <w:t xml:space="preserve">žiagų vartojimą ir prieinamumą </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noWrap/>
            <w:vAlign w:val="center"/>
            <w:hideMark/>
          </w:tcPr>
          <w:p w:rsidR="0065501C" w:rsidRPr="00B33E14" w:rsidRDefault="0065501C" w:rsidP="00497E79">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Mirtingumas dėl priežasčių, susijusių su nar</w:t>
            </w:r>
            <w:r w:rsidR="00732CCF">
              <w:rPr>
                <w:rFonts w:eastAsia="Times New Roman" w:cs="Times New Roman"/>
                <w:color w:val="000000"/>
                <w:sz w:val="20"/>
                <w:szCs w:val="24"/>
                <w:lang w:eastAsia="lt-LT"/>
              </w:rPr>
              <w:t xml:space="preserve">kotikų vartojimu, rodiklis 100 </w:t>
            </w:r>
            <w:r w:rsidRPr="00B33E14">
              <w:rPr>
                <w:rFonts w:eastAsia="Times New Roman" w:cs="Times New Roman"/>
                <w:color w:val="000000"/>
                <w:sz w:val="20"/>
                <w:szCs w:val="24"/>
                <w:lang w:eastAsia="lt-LT"/>
              </w:rPr>
              <w:t>000 gyventojų.</w:t>
            </w:r>
          </w:p>
        </w:tc>
        <w:tc>
          <w:tcPr>
            <w:tcW w:w="1559"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3,65</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16,53</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w:t>
            </w:r>
          </w:p>
        </w:tc>
      </w:tr>
      <w:tr w:rsidR="00B33E14" w:rsidRPr="00B33E14" w:rsidTr="00732CCF">
        <w:trPr>
          <w:trHeight w:val="47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732CCF" w:rsidP="0065501C">
            <w:pPr>
              <w:tabs>
                <w:tab w:val="clear" w:pos="1134"/>
              </w:tabs>
              <w:spacing w:line="240" w:lineRule="auto"/>
              <w:jc w:val="left"/>
              <w:rPr>
                <w:rFonts w:eastAsia="Times New Roman" w:cs="Times New Roman"/>
                <w:color w:val="000000"/>
                <w:sz w:val="20"/>
                <w:szCs w:val="24"/>
                <w:lang w:eastAsia="lt-LT"/>
              </w:rPr>
            </w:pPr>
            <w:r>
              <w:rPr>
                <w:rFonts w:eastAsia="Times New Roman" w:cs="Times New Roman"/>
                <w:color w:val="000000"/>
                <w:sz w:val="20"/>
                <w:szCs w:val="24"/>
                <w:lang w:eastAsia="lt-LT"/>
              </w:rPr>
              <w:t xml:space="preserve">Standartizuotas mirtingumo </w:t>
            </w:r>
            <w:r w:rsidR="0065501C" w:rsidRPr="00B33E14">
              <w:rPr>
                <w:rFonts w:eastAsia="Times New Roman" w:cs="Times New Roman"/>
                <w:color w:val="000000"/>
                <w:sz w:val="20"/>
                <w:szCs w:val="24"/>
                <w:lang w:eastAsia="lt-LT"/>
              </w:rPr>
              <w:t xml:space="preserve">dėl priežasčių, susijusių su narkotikų vartojimu, rodiklis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3,24</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15,6</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0,88</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497E79">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Mirtingumas dėl priežasčių, susijusių su alkoholio vartojimu, rodiklis 100 000 gyventojų. </w:t>
            </w:r>
          </w:p>
        </w:tc>
        <w:tc>
          <w:tcPr>
            <w:tcW w:w="1559" w:type="dxa"/>
            <w:vMerge w:val="restart"/>
            <w:tcBorders>
              <w:top w:val="nil"/>
              <w:left w:val="single" w:sz="4" w:space="0" w:color="auto"/>
              <w:bottom w:val="single" w:sz="4" w:space="0" w:color="000000"/>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20,48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25,85</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65,41</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0,79</w:t>
            </w:r>
          </w:p>
        </w:tc>
      </w:tr>
      <w:tr w:rsidR="00B33E14" w:rsidRPr="00B33E14" w:rsidTr="00732CCF">
        <w:trPr>
          <w:trHeight w:val="396"/>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732CCF" w:rsidP="0065501C">
            <w:pPr>
              <w:tabs>
                <w:tab w:val="clear" w:pos="1134"/>
              </w:tabs>
              <w:spacing w:line="240" w:lineRule="auto"/>
              <w:jc w:val="left"/>
              <w:rPr>
                <w:rFonts w:eastAsia="Times New Roman" w:cs="Times New Roman"/>
                <w:color w:val="000000"/>
                <w:sz w:val="20"/>
                <w:szCs w:val="24"/>
                <w:lang w:eastAsia="lt-LT"/>
              </w:rPr>
            </w:pPr>
            <w:r>
              <w:rPr>
                <w:rFonts w:eastAsia="Times New Roman" w:cs="Times New Roman"/>
                <w:color w:val="000000"/>
                <w:sz w:val="20"/>
                <w:szCs w:val="24"/>
                <w:lang w:eastAsia="lt-LT"/>
              </w:rPr>
              <w:t xml:space="preserve">Standartizuotas mirtingumo </w:t>
            </w:r>
            <w:r w:rsidR="0065501C" w:rsidRPr="00B33E14">
              <w:rPr>
                <w:rFonts w:eastAsia="Times New Roman" w:cs="Times New Roman"/>
                <w:color w:val="000000"/>
                <w:sz w:val="20"/>
                <w:szCs w:val="24"/>
                <w:lang w:eastAsia="lt-LT"/>
              </w:rPr>
              <w:t xml:space="preserve">dėl priežasčių, susijusių su alkoholio vartojimu, rodiklis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20,74</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25,7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61,5</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w:t>
            </w:r>
          </w:p>
        </w:tc>
      </w:tr>
      <w:tr w:rsidR="00B33E14" w:rsidRPr="00B33E14" w:rsidTr="00512861">
        <w:trPr>
          <w:trHeight w:val="487"/>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Nusikalstamos veikos, susijusios su disponavimu </w:t>
            </w:r>
            <w:r w:rsidR="00732CCF">
              <w:rPr>
                <w:rFonts w:eastAsia="Times New Roman" w:cs="Times New Roman"/>
                <w:color w:val="000000"/>
                <w:sz w:val="20"/>
                <w:szCs w:val="24"/>
                <w:lang w:eastAsia="lt-LT"/>
              </w:rPr>
              <w:t xml:space="preserve">narkotinėmis medžiagomis ir jų </w:t>
            </w:r>
            <w:r w:rsidRPr="00B33E14">
              <w:rPr>
                <w:rFonts w:eastAsia="Times New Roman" w:cs="Times New Roman"/>
                <w:color w:val="000000"/>
                <w:sz w:val="20"/>
                <w:szCs w:val="24"/>
                <w:lang w:eastAsia="lt-LT"/>
              </w:rPr>
              <w:t xml:space="preserve">kontrabanda (nusikaltimai).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40,97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65,24</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234,9</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0,6</w:t>
            </w:r>
          </w:p>
        </w:tc>
      </w:tr>
      <w:tr w:rsidR="00B33E14" w:rsidRPr="00B33E14" w:rsidTr="00B86376">
        <w:trPr>
          <w:trHeight w:val="562"/>
        </w:trPr>
        <w:tc>
          <w:tcPr>
            <w:tcW w:w="653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lastRenderedPageBreak/>
              <w:t xml:space="preserve"> Gyventojų skaičius, tenkantis vienai licencijai verstis mažmenine prekyba tabako gaminiais. </w:t>
            </w:r>
          </w:p>
        </w:tc>
        <w:tc>
          <w:tcPr>
            <w:tcW w:w="1559" w:type="dxa"/>
            <w:tcBorders>
              <w:top w:val="single" w:sz="4" w:space="0" w:color="auto"/>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160</w:t>
            </w:r>
          </w:p>
        </w:tc>
        <w:tc>
          <w:tcPr>
            <w:tcW w:w="1275"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174</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124</w:t>
            </w: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319</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w:t>
            </w:r>
          </w:p>
        </w:tc>
      </w:tr>
      <w:tr w:rsidR="00B33E14" w:rsidRPr="00B33E14" w:rsidTr="00B86376">
        <w:trPr>
          <w:trHeight w:val="39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Gyventojų skaičius, tenkantis vienai licencijai verstis mažmenine prekyba alkoholiniais gėrimais.</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131</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150</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283</w:t>
            </w:r>
          </w:p>
        </w:tc>
        <w:tc>
          <w:tcPr>
            <w:tcW w:w="1984" w:type="dxa"/>
            <w:tcBorders>
              <w:top w:val="single" w:sz="4" w:space="0" w:color="auto"/>
              <w:left w:val="nil"/>
              <w:bottom w:val="single" w:sz="4" w:space="0" w:color="auto"/>
              <w:right w:val="single" w:sz="4" w:space="0" w:color="auto"/>
            </w:tcBorders>
            <w:shd w:val="clear" w:color="000000" w:fill="FF5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w:t>
            </w:r>
          </w:p>
        </w:tc>
      </w:tr>
      <w:tr w:rsidR="0065501C" w:rsidRPr="00B33E14" w:rsidTr="00512861">
        <w:trPr>
          <w:trHeight w:val="32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b/>
                <w:bCs/>
                <w:color w:val="000000"/>
                <w:sz w:val="20"/>
                <w:szCs w:val="24"/>
                <w:lang w:eastAsia="lt-LT"/>
              </w:rPr>
              <w:t>3.2. Skatinti sveikos mitybos įpročius</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Kūdikių, išimtinai žindytų iki 6 mėn. amžiaus, dalis (proc.).</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37,82</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31,27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44,9</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w:t>
            </w:r>
          </w:p>
        </w:tc>
      </w:tr>
      <w:tr w:rsidR="0065501C" w:rsidRPr="00B33E14" w:rsidTr="00512861">
        <w:trPr>
          <w:trHeight w:val="353"/>
        </w:trPr>
        <w:tc>
          <w:tcPr>
            <w:tcW w:w="15324" w:type="dxa"/>
            <w:gridSpan w:val="7"/>
            <w:tcBorders>
              <w:top w:val="single" w:sz="4" w:space="0" w:color="auto"/>
              <w:left w:val="single" w:sz="4" w:space="0" w:color="auto"/>
              <w:bottom w:val="single" w:sz="4" w:space="0" w:color="auto"/>
              <w:right w:val="single" w:sz="4" w:space="0" w:color="000000"/>
            </w:tcBorders>
            <w:shd w:val="clear" w:color="000000" w:fill="E6B8B7"/>
            <w:vAlign w:val="center"/>
            <w:hideMark/>
          </w:tcPr>
          <w:p w:rsidR="0065501C" w:rsidRPr="00B33E14" w:rsidRDefault="0065501C" w:rsidP="00512861">
            <w:pPr>
              <w:tabs>
                <w:tab w:val="clear" w:pos="1134"/>
              </w:tabs>
              <w:spacing w:after="120"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4 tikslas. Užtikrinti kokybišką ir efektyvią sveikatos priežiūrą, orientuotą į gyventojų poreikius</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4.1. Užtikrinti sveikatos sistemos tvarumą ir kokybę, plėtojant sveikatos technologijas, kurių efektyvumas pagrįstas mokslo įrodymais</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Išvengiamų hospitalizacijų skaičius 1 000 gyventojų.</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9982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32,98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33,38</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56,2</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Išvengiamų hospitalizacijų dėl diabeto ir jo komplikacijų skaičius 1 000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1884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7,52</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5,6</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3,5</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8,7</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1,1</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4.2. Plėtoti sveikatos infrastuktūrą ir gerinti sveikatos priežiūros paslaugų kokybę, saugą, prieinamumą ir į pacientą orientuotą sveikatos priežiūrą</w:t>
            </w:r>
          </w:p>
        </w:tc>
      </w:tr>
      <w:tr w:rsidR="00B33E14" w:rsidRPr="00B33E14" w:rsidTr="00B86376">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 Slaugytojų, tenkančių vienam gydytojui, skaičius.</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2,14</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w:t>
            </w:r>
          </w:p>
        </w:tc>
        <w:tc>
          <w:tcPr>
            <w:tcW w:w="1984" w:type="dxa"/>
            <w:tcBorders>
              <w:top w:val="nil"/>
              <w:left w:val="nil"/>
              <w:bottom w:val="single" w:sz="4" w:space="0" w:color="auto"/>
              <w:right w:val="single" w:sz="4" w:space="0" w:color="auto"/>
            </w:tcBorders>
            <w:shd w:val="clear" w:color="000000" w:fill="FF5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Šeimos medicinos paslaugas teikiančių gydytojų skaičius 10 000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8,6</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6,81</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21,5</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Apsilankymų pas gydytojus skaičius, tenkantis vienam gyventojui.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2719524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8,03</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5,9</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10,1</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w:t>
            </w:r>
          </w:p>
        </w:tc>
      </w:tr>
      <w:tr w:rsidR="00B33E14" w:rsidRPr="00B33E14" w:rsidTr="00B33E14">
        <w:trPr>
          <w:trHeight w:val="37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Sergamumas vaistams atsparia tuberkulioze 10 000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3,63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4,4</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14,3</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w:t>
            </w:r>
          </w:p>
        </w:tc>
      </w:tr>
      <w:tr w:rsidR="00B33E14" w:rsidRPr="00B33E14" w:rsidTr="00B33E14">
        <w:trPr>
          <w:trHeight w:val="36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Sergamumas ŽIV ir lytiškai plintančiomis ligomis (B20-B24, A50-A64) 10 000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101</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3,34</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3,45</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8,4</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65501C" w:rsidRPr="00B33E14" w:rsidTr="00B33E14">
        <w:trPr>
          <w:trHeight w:val="360"/>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4.3. Pagerinti motinos ir vaiko sveikatą</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Kūdikių (vaikų iki 1 m. amžiaus) mirtingumas 1 000 gyvų gimusių kūdikių.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12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3,8</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16</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2 metų amžiaus vaikų MMR1 (tymų, epideminio parotito, raudonukės vakcina, 1 dozė)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3733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92,42</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93,36</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85,3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100</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1 metų amžiaus vaikų DTP3 (difterijos, stabligės, kokliušo vakcina, 3 dozės) skiepijimo apimtys.</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3670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91,83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92,9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81</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99,4</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B33E14" w:rsidRPr="00B33E14" w:rsidTr="00B33E14">
        <w:trPr>
          <w:trHeight w:val="39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Tikslinės populiacijos dalis (proc.), dalyvavusi vaikų krūminių dantų dengimo silantinėmis medžiagomis</w:t>
            </w:r>
            <w:r w:rsidR="00016524">
              <w:rPr>
                <w:rFonts w:eastAsia="Times New Roman" w:cs="Times New Roman"/>
                <w:color w:val="000000"/>
                <w:sz w:val="20"/>
                <w:szCs w:val="24"/>
                <w:lang w:eastAsia="lt-LT"/>
              </w:rPr>
              <w:t>,</w:t>
            </w:r>
            <w:r w:rsidRPr="00B33E14">
              <w:rPr>
                <w:rFonts w:eastAsia="Times New Roman" w:cs="Times New Roman"/>
                <w:color w:val="000000"/>
                <w:sz w:val="20"/>
                <w:szCs w:val="24"/>
                <w:lang w:eastAsia="lt-LT"/>
              </w:rPr>
              <w:t xml:space="preserve"> programoje.</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15,89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20,94</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76,4</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0,8</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Mokinių dantų ėduonies intensyvumo indeksas</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3,85</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3,41</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8,1</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Paauglių (15–17 m.) gimdymų skaičius 1 000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25</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5,57</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5,85</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15,5</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65501C" w:rsidRPr="00B33E14" w:rsidTr="00B33E14">
        <w:trPr>
          <w:trHeight w:val="31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2DCDB"/>
            <w:vAlign w:val="center"/>
            <w:hideMark/>
          </w:tcPr>
          <w:p w:rsidR="0065501C" w:rsidRPr="00B33E14" w:rsidRDefault="0065501C" w:rsidP="0065501C">
            <w:pPr>
              <w:tabs>
                <w:tab w:val="clear" w:pos="1134"/>
              </w:tabs>
              <w:spacing w:line="240" w:lineRule="auto"/>
              <w:jc w:val="left"/>
              <w:rPr>
                <w:rFonts w:eastAsia="Times New Roman" w:cs="Times New Roman"/>
                <w:b/>
                <w:bCs/>
                <w:color w:val="000000"/>
                <w:sz w:val="20"/>
                <w:szCs w:val="24"/>
                <w:lang w:eastAsia="lt-LT"/>
              </w:rPr>
            </w:pPr>
            <w:r w:rsidRPr="00B33E14">
              <w:rPr>
                <w:rFonts w:eastAsia="Times New Roman" w:cs="Times New Roman"/>
                <w:b/>
                <w:bCs/>
                <w:color w:val="000000"/>
                <w:sz w:val="20"/>
                <w:szCs w:val="24"/>
                <w:lang w:eastAsia="lt-LT"/>
              </w:rPr>
              <w:t>4.4. Stiprinti lėtinių neinfekcinių ligų prevenciją ir kontrolę</w:t>
            </w:r>
          </w:p>
        </w:tc>
      </w:tr>
      <w:tr w:rsidR="00B33E14" w:rsidRPr="00B33E14" w:rsidTr="00512861">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Mirtingumas nuo kraujotakos sistemos ligų rodiklis (I00-I99) 100 000 gyventojų. </w:t>
            </w:r>
          </w:p>
        </w:tc>
        <w:tc>
          <w:tcPr>
            <w:tcW w:w="1559" w:type="dxa"/>
            <w:vMerge w:val="restart"/>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2153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711,3</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768,12</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572,28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1264,65</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w:t>
            </w:r>
          </w:p>
        </w:tc>
      </w:tr>
      <w:tr w:rsidR="00B33E14" w:rsidRPr="00B33E14" w:rsidTr="00512861">
        <w:trPr>
          <w:trHeight w:val="564"/>
        </w:trPr>
        <w:tc>
          <w:tcPr>
            <w:tcW w:w="653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Standartizuotas mirtingumo nuo kraujotakos </w:t>
            </w:r>
            <w:r w:rsidRPr="00B33E14">
              <w:rPr>
                <w:rFonts w:eastAsia="Times New Roman" w:cs="Times New Roman"/>
                <w:color w:val="000000"/>
                <w:sz w:val="20"/>
                <w:szCs w:val="24"/>
                <w:lang w:eastAsia="lt-LT"/>
              </w:rPr>
              <w:br/>
              <w:t xml:space="preserve">sistemos ligų rodiklis (I00-I99) 100 000 gyventojų.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704,27</w:t>
            </w:r>
          </w:p>
        </w:tc>
        <w:tc>
          <w:tcPr>
            <w:tcW w:w="1275"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804,06</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684,4</w:t>
            </w: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1094,26</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w:t>
            </w:r>
          </w:p>
        </w:tc>
      </w:tr>
      <w:tr w:rsidR="00B33E14" w:rsidRPr="00B33E14" w:rsidTr="00512861">
        <w:trPr>
          <w:trHeight w:val="475"/>
        </w:trPr>
        <w:tc>
          <w:tcPr>
            <w:tcW w:w="653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lastRenderedPageBreak/>
              <w:t xml:space="preserve">Mirtingumas nuo piktybinių navikų </w:t>
            </w:r>
            <w:r w:rsidRPr="00B33E14">
              <w:rPr>
                <w:rFonts w:eastAsia="Times New Roman" w:cs="Times New Roman"/>
                <w:color w:val="000000"/>
                <w:sz w:val="20"/>
                <w:szCs w:val="24"/>
                <w:lang w:eastAsia="lt-LT"/>
              </w:rPr>
              <w:br/>
              <w:t xml:space="preserve">rodiklis (C00-C97) 100 000 gyventojų.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827</w:t>
            </w: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273,22</w:t>
            </w:r>
          </w:p>
        </w:tc>
        <w:tc>
          <w:tcPr>
            <w:tcW w:w="1275"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273,77</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sz w:val="20"/>
                <w:szCs w:val="24"/>
                <w:lang w:eastAsia="lt-LT"/>
              </w:rPr>
            </w:pPr>
            <w:r w:rsidRPr="00B33E14">
              <w:rPr>
                <w:rFonts w:eastAsia="Times New Roman" w:cs="Times New Roman"/>
                <w:sz w:val="20"/>
                <w:szCs w:val="24"/>
                <w:lang w:eastAsia="lt-LT"/>
              </w:rPr>
              <w:t>214,2</w:t>
            </w:r>
          </w:p>
        </w:tc>
        <w:tc>
          <w:tcPr>
            <w:tcW w:w="1418" w:type="dxa"/>
            <w:tcBorders>
              <w:top w:val="single" w:sz="4" w:space="0" w:color="auto"/>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379,12</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B33E14" w:rsidRPr="00B33E14" w:rsidTr="00732CCF">
        <w:trPr>
          <w:trHeight w:val="541"/>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Standartizuotas mirtingumo nuo piktybinių navikų </w:t>
            </w:r>
            <w:r w:rsidRPr="00B33E14">
              <w:rPr>
                <w:rFonts w:eastAsia="Times New Roman" w:cs="Times New Roman"/>
                <w:color w:val="000000"/>
                <w:sz w:val="20"/>
                <w:szCs w:val="24"/>
                <w:lang w:eastAsia="lt-LT"/>
              </w:rPr>
              <w:br/>
              <w:t xml:space="preserve">rodiklis (C00-C97)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266,59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278,19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216,4</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ascii="Calibri" w:eastAsia="Times New Roman" w:hAnsi="Calibri" w:cs="Times New Roman"/>
                <w:sz w:val="20"/>
                <w:szCs w:val="24"/>
                <w:lang w:eastAsia="lt-LT"/>
              </w:rPr>
            </w:pPr>
            <w:r w:rsidRPr="00B33E14">
              <w:rPr>
                <w:rFonts w:ascii="Calibri" w:eastAsia="Times New Roman" w:hAnsi="Calibri" w:cs="Times New Roman"/>
                <w:sz w:val="20"/>
                <w:szCs w:val="24"/>
                <w:lang w:eastAsia="lt-LT"/>
              </w:rPr>
              <w:t>322,5</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w:t>
            </w:r>
          </w:p>
        </w:tc>
      </w:tr>
      <w:tr w:rsidR="00B33E14" w:rsidRPr="00B33E14" w:rsidTr="00B33E14">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Mirtingu</w:t>
            </w:r>
            <w:r w:rsidR="002132B7">
              <w:rPr>
                <w:rFonts w:eastAsia="Times New Roman" w:cs="Times New Roman"/>
                <w:color w:val="000000"/>
                <w:sz w:val="20"/>
                <w:szCs w:val="24"/>
                <w:lang w:eastAsia="lt-LT"/>
              </w:rPr>
              <w:t xml:space="preserve">mas nuo cerebrovaskulinių ligų </w:t>
            </w:r>
            <w:r w:rsidRPr="00B33E14">
              <w:rPr>
                <w:rFonts w:eastAsia="Times New Roman" w:cs="Times New Roman"/>
                <w:color w:val="000000"/>
                <w:sz w:val="20"/>
                <w:szCs w:val="24"/>
                <w:lang w:eastAsia="lt-LT"/>
              </w:rPr>
              <w:t xml:space="preserve">rodiklis (I60-I69) 100 000 gyventojų. </w:t>
            </w:r>
          </w:p>
        </w:tc>
        <w:tc>
          <w:tcPr>
            <w:tcW w:w="1559" w:type="dxa"/>
            <w:vMerge w:val="restart"/>
            <w:tcBorders>
              <w:top w:val="nil"/>
              <w:left w:val="single" w:sz="4" w:space="0" w:color="auto"/>
              <w:bottom w:val="single" w:sz="4" w:space="0" w:color="000000"/>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408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134,79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187,9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91,37</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481,21</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w:t>
            </w:r>
          </w:p>
        </w:tc>
      </w:tr>
      <w:tr w:rsidR="00B33E14" w:rsidRPr="00B33E14" w:rsidTr="00B86376">
        <w:trPr>
          <w:trHeight w:val="571"/>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Standartizuotas mirtingumo nuo cerebrovaskulinių </w:t>
            </w:r>
            <w:r w:rsidRPr="00B33E14">
              <w:rPr>
                <w:rFonts w:eastAsia="Times New Roman" w:cs="Times New Roman"/>
                <w:color w:val="000000"/>
                <w:sz w:val="20"/>
                <w:szCs w:val="24"/>
                <w:lang w:eastAsia="lt-LT"/>
              </w:rPr>
              <w:br/>
              <w:t xml:space="preserve">ligų rodiklis (I60-I69) 100 000 gyventojų. </w:t>
            </w:r>
          </w:p>
        </w:tc>
        <w:tc>
          <w:tcPr>
            <w:tcW w:w="1559" w:type="dxa"/>
            <w:vMerge/>
            <w:tcBorders>
              <w:top w:val="nil"/>
              <w:left w:val="single" w:sz="4" w:space="0" w:color="auto"/>
              <w:bottom w:val="single" w:sz="4" w:space="0" w:color="000000"/>
              <w:right w:val="single" w:sz="4" w:space="0" w:color="auto"/>
            </w:tcBorders>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133,36</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196,1</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89,8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430,53</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0,7</w:t>
            </w:r>
          </w:p>
        </w:tc>
      </w:tr>
      <w:tr w:rsidR="00B33E14" w:rsidRPr="00B33E14" w:rsidTr="00B86376">
        <w:trPr>
          <w:trHeight w:val="315"/>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Sergamumas II tipo cukriniu diabetu (E11) 10 000 gyventojų.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2835</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68,9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43,69</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13,8</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71,8</w:t>
            </w:r>
          </w:p>
        </w:tc>
        <w:tc>
          <w:tcPr>
            <w:tcW w:w="1984" w:type="dxa"/>
            <w:tcBorders>
              <w:top w:val="single" w:sz="4" w:space="0" w:color="auto"/>
              <w:left w:val="nil"/>
              <w:bottom w:val="single" w:sz="4" w:space="0" w:color="auto"/>
              <w:right w:val="single" w:sz="4" w:space="0" w:color="auto"/>
            </w:tcBorders>
            <w:shd w:val="clear" w:color="000000" w:fill="FF5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1,6</w:t>
            </w:r>
          </w:p>
        </w:tc>
      </w:tr>
      <w:tr w:rsidR="00B33E14" w:rsidRPr="00B33E14" w:rsidTr="00732CCF">
        <w:trPr>
          <w:trHeight w:val="57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016524">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Tikslinės populiacijos dalis (proc.), dalyvavusi atrankinės </w:t>
            </w:r>
            <w:r w:rsidR="00016524">
              <w:rPr>
                <w:rFonts w:eastAsia="Times New Roman" w:cs="Times New Roman"/>
                <w:color w:val="000000"/>
                <w:sz w:val="20"/>
                <w:szCs w:val="24"/>
                <w:lang w:eastAsia="lt-LT"/>
              </w:rPr>
              <w:t>M</w:t>
            </w:r>
            <w:r w:rsidRPr="00B33E14">
              <w:rPr>
                <w:rFonts w:eastAsia="Times New Roman" w:cs="Times New Roman"/>
                <w:color w:val="000000"/>
                <w:sz w:val="20"/>
                <w:szCs w:val="24"/>
                <w:lang w:eastAsia="lt-LT"/>
              </w:rPr>
              <w:t>amografinės patikros dėl krūties vėžio finansavimo programoje.</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52,04</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43,66</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12,2</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61,23</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w:t>
            </w:r>
          </w:p>
        </w:tc>
      </w:tr>
      <w:tr w:rsidR="00B33E14" w:rsidRPr="00B33E14" w:rsidTr="00732CCF">
        <w:trPr>
          <w:trHeight w:val="75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016524">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Tikslinės populiacijos dalis (proc.), dalyvavusi </w:t>
            </w:r>
            <w:r w:rsidR="00016524">
              <w:rPr>
                <w:rFonts w:eastAsia="Times New Roman" w:cs="Times New Roman"/>
                <w:color w:val="000000"/>
                <w:sz w:val="20"/>
                <w:szCs w:val="24"/>
                <w:lang w:eastAsia="lt-LT"/>
              </w:rPr>
              <w:t>G</w:t>
            </w:r>
            <w:r w:rsidRPr="00B33E14">
              <w:rPr>
                <w:rFonts w:eastAsia="Times New Roman" w:cs="Times New Roman"/>
                <w:color w:val="000000"/>
                <w:sz w:val="20"/>
                <w:szCs w:val="24"/>
                <w:lang w:eastAsia="lt-LT"/>
              </w:rPr>
              <w:t xml:space="preserve">imdos kaklelio </w:t>
            </w:r>
            <w:r w:rsidR="002132B7">
              <w:rPr>
                <w:rFonts w:eastAsia="Times New Roman" w:cs="Times New Roman"/>
                <w:color w:val="000000"/>
                <w:sz w:val="20"/>
                <w:szCs w:val="24"/>
                <w:lang w:eastAsia="lt-LT"/>
              </w:rPr>
              <w:t xml:space="preserve">piktybinių navikų </w:t>
            </w:r>
            <w:r w:rsidRPr="00B33E14">
              <w:rPr>
                <w:rFonts w:eastAsia="Times New Roman" w:cs="Times New Roman"/>
                <w:color w:val="000000"/>
                <w:sz w:val="20"/>
                <w:szCs w:val="24"/>
                <w:lang w:eastAsia="lt-LT"/>
              </w:rPr>
              <w:t>prevencinių priemonių, apmokamų iš Privalomojo sve</w:t>
            </w:r>
            <w:r w:rsidR="00732CCF">
              <w:rPr>
                <w:rFonts w:eastAsia="Times New Roman" w:cs="Times New Roman"/>
                <w:color w:val="000000"/>
                <w:sz w:val="20"/>
                <w:szCs w:val="24"/>
                <w:lang w:eastAsia="lt-LT"/>
              </w:rPr>
              <w:t xml:space="preserve">ikatos draudimo biudžeto lėšų, </w:t>
            </w:r>
            <w:r w:rsidRPr="00B33E14">
              <w:rPr>
                <w:rFonts w:eastAsia="Times New Roman" w:cs="Times New Roman"/>
                <w:color w:val="000000"/>
                <w:sz w:val="20"/>
                <w:szCs w:val="24"/>
                <w:lang w:eastAsia="lt-LT"/>
              </w:rPr>
              <w:t xml:space="preserve">finansavimo programoje.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14953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54,5</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49,56</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27,1</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74,89</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1,1</w:t>
            </w:r>
          </w:p>
        </w:tc>
      </w:tr>
      <w:tr w:rsidR="00B33E14" w:rsidRPr="00B33E14" w:rsidTr="00B33E14">
        <w:trPr>
          <w:trHeight w:val="63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016524">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Tikslinės populiacijos dalis (proc.), dalyvavusi </w:t>
            </w:r>
            <w:r w:rsidR="00016524">
              <w:rPr>
                <w:rFonts w:eastAsia="Times New Roman" w:cs="Times New Roman"/>
                <w:color w:val="000000"/>
                <w:sz w:val="20"/>
                <w:szCs w:val="24"/>
                <w:lang w:eastAsia="lt-LT"/>
              </w:rPr>
              <w:t>S</w:t>
            </w:r>
            <w:r w:rsidRPr="00B33E14">
              <w:rPr>
                <w:rFonts w:eastAsia="Times New Roman" w:cs="Times New Roman"/>
                <w:color w:val="000000"/>
                <w:sz w:val="20"/>
                <w:szCs w:val="24"/>
                <w:lang w:eastAsia="lt-LT"/>
              </w:rPr>
              <w:t>toro</w:t>
            </w:r>
            <w:r w:rsidR="002132B7">
              <w:rPr>
                <w:rFonts w:eastAsia="Times New Roman" w:cs="Times New Roman"/>
                <w:color w:val="000000"/>
                <w:sz w:val="20"/>
                <w:szCs w:val="24"/>
                <w:lang w:eastAsia="lt-LT"/>
              </w:rPr>
              <w:t xml:space="preserve">sios žarnos vėžio ankstyvosios </w:t>
            </w:r>
            <w:r w:rsidRPr="00B33E14">
              <w:rPr>
                <w:rFonts w:eastAsia="Times New Roman" w:cs="Times New Roman"/>
                <w:color w:val="000000"/>
                <w:sz w:val="20"/>
                <w:szCs w:val="24"/>
                <w:lang w:eastAsia="lt-LT"/>
              </w:rPr>
              <w:t xml:space="preserve">diagnostikos finansavimo programoje.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26,5</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21,2</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5,3</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30</w:t>
            </w:r>
          </w:p>
        </w:tc>
        <w:tc>
          <w:tcPr>
            <w:tcW w:w="1984" w:type="dxa"/>
            <w:tcBorders>
              <w:top w:val="nil"/>
              <w:left w:val="nil"/>
              <w:bottom w:val="single" w:sz="4" w:space="0" w:color="auto"/>
              <w:right w:val="single" w:sz="4" w:space="0" w:color="auto"/>
            </w:tcBorders>
            <w:shd w:val="clear" w:color="000000" w:fill="00B05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1,2</w:t>
            </w:r>
          </w:p>
        </w:tc>
      </w:tr>
      <w:tr w:rsidR="00B33E14" w:rsidRPr="00B33E14" w:rsidTr="00B33E14">
        <w:trPr>
          <w:trHeight w:val="660"/>
        </w:trPr>
        <w:tc>
          <w:tcPr>
            <w:tcW w:w="6536" w:type="dxa"/>
            <w:tcBorders>
              <w:top w:val="nil"/>
              <w:left w:val="single" w:sz="4" w:space="0" w:color="auto"/>
              <w:bottom w:val="single" w:sz="4" w:space="0" w:color="auto"/>
              <w:right w:val="single" w:sz="4" w:space="0" w:color="auto"/>
            </w:tcBorders>
            <w:shd w:val="clear" w:color="000000" w:fill="FDE9D9"/>
            <w:vAlign w:val="center"/>
            <w:hideMark/>
          </w:tcPr>
          <w:p w:rsidR="0065501C" w:rsidRPr="00B33E14" w:rsidRDefault="0065501C" w:rsidP="00016524">
            <w:pPr>
              <w:tabs>
                <w:tab w:val="clear" w:pos="1134"/>
              </w:tabs>
              <w:spacing w:line="240" w:lineRule="auto"/>
              <w:jc w:val="left"/>
              <w:rPr>
                <w:rFonts w:eastAsia="Times New Roman" w:cs="Times New Roman"/>
                <w:color w:val="000000"/>
                <w:sz w:val="20"/>
                <w:szCs w:val="24"/>
                <w:lang w:eastAsia="lt-LT"/>
              </w:rPr>
            </w:pPr>
            <w:r w:rsidRPr="00B33E14">
              <w:rPr>
                <w:rFonts w:eastAsia="Times New Roman" w:cs="Times New Roman"/>
                <w:color w:val="000000"/>
                <w:sz w:val="20"/>
                <w:szCs w:val="24"/>
                <w:lang w:eastAsia="lt-LT"/>
              </w:rPr>
              <w:t xml:space="preserve">Tikslinės populiacijos dalis (proc.), dalyvavusi </w:t>
            </w:r>
            <w:r w:rsidR="00016524">
              <w:rPr>
                <w:rFonts w:eastAsia="Times New Roman" w:cs="Times New Roman"/>
                <w:color w:val="000000"/>
                <w:sz w:val="20"/>
                <w:szCs w:val="24"/>
                <w:lang w:eastAsia="lt-LT"/>
              </w:rPr>
              <w:t>A</w:t>
            </w:r>
            <w:r w:rsidRPr="00B33E14">
              <w:rPr>
                <w:rFonts w:eastAsia="Times New Roman" w:cs="Times New Roman"/>
                <w:color w:val="000000"/>
                <w:sz w:val="20"/>
                <w:szCs w:val="24"/>
                <w:lang w:eastAsia="lt-LT"/>
              </w:rPr>
              <w:t>smenų, prisk</w:t>
            </w:r>
            <w:r w:rsidR="00732CCF">
              <w:rPr>
                <w:rFonts w:eastAsia="Times New Roman" w:cs="Times New Roman"/>
                <w:color w:val="000000"/>
                <w:sz w:val="20"/>
                <w:szCs w:val="24"/>
                <w:lang w:eastAsia="lt-LT"/>
              </w:rPr>
              <w:t>irtinų šir</w:t>
            </w:r>
            <w:r w:rsidR="002132B7">
              <w:rPr>
                <w:rFonts w:eastAsia="Times New Roman" w:cs="Times New Roman"/>
                <w:color w:val="000000"/>
                <w:sz w:val="20"/>
                <w:szCs w:val="24"/>
                <w:lang w:eastAsia="lt-LT"/>
              </w:rPr>
              <w:t xml:space="preserve">dies ir kraujagyslių </w:t>
            </w:r>
            <w:r w:rsidRPr="00B33E14">
              <w:rPr>
                <w:rFonts w:eastAsia="Times New Roman" w:cs="Times New Roman"/>
                <w:color w:val="000000"/>
                <w:sz w:val="20"/>
                <w:szCs w:val="24"/>
                <w:lang w:eastAsia="lt-LT"/>
              </w:rPr>
              <w:t xml:space="preserve">ligų didelės rizikos grupei, atrankos ir prevencijos priemonių finansavimo programoje. </w:t>
            </w:r>
          </w:p>
        </w:tc>
        <w:tc>
          <w:tcPr>
            <w:tcW w:w="1559" w:type="dxa"/>
            <w:tcBorders>
              <w:top w:val="nil"/>
              <w:left w:val="nil"/>
              <w:bottom w:val="single" w:sz="4" w:space="0" w:color="auto"/>
              <w:right w:val="single" w:sz="4" w:space="0" w:color="auto"/>
            </w:tcBorders>
            <w:shd w:val="clear" w:color="000000" w:fill="FDE9D9"/>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31,39</w:t>
            </w:r>
          </w:p>
        </w:tc>
        <w:tc>
          <w:tcPr>
            <w:tcW w:w="1275"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34,67</w:t>
            </w:r>
          </w:p>
        </w:tc>
        <w:tc>
          <w:tcPr>
            <w:tcW w:w="1134"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7,6</w:t>
            </w:r>
          </w:p>
        </w:tc>
        <w:tc>
          <w:tcPr>
            <w:tcW w:w="1418" w:type="dxa"/>
            <w:tcBorders>
              <w:top w:val="nil"/>
              <w:left w:val="nil"/>
              <w:bottom w:val="single" w:sz="4" w:space="0" w:color="auto"/>
              <w:right w:val="single" w:sz="4" w:space="0" w:color="auto"/>
            </w:tcBorders>
            <w:shd w:val="clear" w:color="000000" w:fill="FDE9D9"/>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51,86</w:t>
            </w:r>
          </w:p>
        </w:tc>
        <w:tc>
          <w:tcPr>
            <w:tcW w:w="1984" w:type="dxa"/>
            <w:tcBorders>
              <w:top w:val="nil"/>
              <w:left w:val="nil"/>
              <w:bottom w:val="single" w:sz="4" w:space="0" w:color="auto"/>
              <w:right w:val="single" w:sz="4" w:space="0" w:color="auto"/>
            </w:tcBorders>
            <w:shd w:val="clear" w:color="000000" w:fill="FFFF00"/>
            <w:noWrap/>
            <w:vAlign w:val="center"/>
            <w:hideMark/>
          </w:tcPr>
          <w:p w:rsidR="0065501C" w:rsidRPr="00B33E14" w:rsidRDefault="0065501C" w:rsidP="0065501C">
            <w:pPr>
              <w:tabs>
                <w:tab w:val="clear" w:pos="1134"/>
              </w:tabs>
              <w:spacing w:line="240" w:lineRule="auto"/>
              <w:jc w:val="center"/>
              <w:rPr>
                <w:rFonts w:eastAsia="Times New Roman" w:cs="Times New Roman"/>
                <w:color w:val="000000"/>
                <w:sz w:val="20"/>
                <w:szCs w:val="24"/>
                <w:lang w:eastAsia="lt-LT"/>
              </w:rPr>
            </w:pPr>
            <w:r w:rsidRPr="00B33E14">
              <w:rPr>
                <w:rFonts w:eastAsia="Times New Roman" w:cs="Times New Roman"/>
                <w:color w:val="000000"/>
                <w:sz w:val="20"/>
                <w:szCs w:val="24"/>
                <w:lang w:eastAsia="lt-LT"/>
              </w:rPr>
              <w:t>0,9</w:t>
            </w:r>
          </w:p>
        </w:tc>
      </w:tr>
    </w:tbl>
    <w:p w:rsidR="0065501C" w:rsidRPr="0065501C" w:rsidRDefault="0065501C" w:rsidP="0065501C"/>
    <w:p w:rsidR="005667F0" w:rsidRPr="005667F0" w:rsidRDefault="00512861" w:rsidP="00512861">
      <w:pPr>
        <w:ind w:left="720"/>
        <w:jc w:val="center"/>
      </w:pPr>
      <w:r>
        <w:t>_____________________________________</w:t>
      </w:r>
    </w:p>
    <w:sectPr w:rsidR="005667F0" w:rsidRPr="005667F0" w:rsidSect="00B33E14">
      <w:pgSz w:w="16838" w:h="11906" w:orient="landscape" w:code="9"/>
      <w:pgMar w:top="993"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81" w:rsidRDefault="00995E81" w:rsidP="00353619">
      <w:pPr>
        <w:spacing w:line="240" w:lineRule="auto"/>
      </w:pPr>
      <w:r>
        <w:separator/>
      </w:r>
    </w:p>
  </w:endnote>
  <w:endnote w:type="continuationSeparator" w:id="0">
    <w:p w:rsidR="00995E81" w:rsidRDefault="00995E81" w:rsidP="00353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4" w:rsidRDefault="00674824">
    <w:pPr>
      <w:pStyle w:val="Porat"/>
      <w:jc w:val="right"/>
    </w:pPr>
    <w:r>
      <w:fldChar w:fldCharType="begin"/>
    </w:r>
    <w:r>
      <w:instrText xml:space="preserve"> PAGE   \* MERGEFORMAT </w:instrText>
    </w:r>
    <w:r>
      <w:fldChar w:fldCharType="separate"/>
    </w:r>
    <w:r>
      <w:rPr>
        <w:noProof/>
      </w:rPr>
      <w:t>2</w:t>
    </w:r>
    <w:r>
      <w:rPr>
        <w:noProof/>
      </w:rPr>
      <w:fldChar w:fldCharType="end"/>
    </w:r>
  </w:p>
  <w:p w:rsidR="00674824" w:rsidRDefault="0067482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78167"/>
      <w:docPartObj>
        <w:docPartGallery w:val="Page Numbers (Bottom of Page)"/>
        <w:docPartUnique/>
      </w:docPartObj>
    </w:sdtPr>
    <w:sdtEndPr>
      <w:rPr>
        <w:rFonts w:cs="Times New Roman"/>
        <w:noProof/>
        <w:szCs w:val="24"/>
      </w:rPr>
    </w:sdtEndPr>
    <w:sdtContent>
      <w:p w:rsidR="00674824" w:rsidRPr="00353619" w:rsidRDefault="00674824">
        <w:pPr>
          <w:pStyle w:val="Porat"/>
          <w:jc w:val="right"/>
          <w:rPr>
            <w:rFonts w:cs="Times New Roman"/>
            <w:szCs w:val="24"/>
          </w:rPr>
        </w:pPr>
        <w:r w:rsidRPr="00353619">
          <w:rPr>
            <w:rFonts w:cs="Times New Roman"/>
            <w:szCs w:val="24"/>
          </w:rPr>
          <w:fldChar w:fldCharType="begin"/>
        </w:r>
        <w:r w:rsidRPr="00353619">
          <w:rPr>
            <w:rFonts w:cs="Times New Roman"/>
            <w:szCs w:val="24"/>
          </w:rPr>
          <w:instrText xml:space="preserve"> PAGE   \* MERGEFORMAT </w:instrText>
        </w:r>
        <w:r w:rsidRPr="00353619">
          <w:rPr>
            <w:rFonts w:cs="Times New Roman"/>
            <w:szCs w:val="24"/>
          </w:rPr>
          <w:fldChar w:fldCharType="separate"/>
        </w:r>
        <w:r w:rsidR="001F457E">
          <w:rPr>
            <w:rFonts w:cs="Times New Roman"/>
            <w:noProof/>
            <w:szCs w:val="24"/>
          </w:rPr>
          <w:t>33</w:t>
        </w:r>
        <w:r w:rsidRPr="00353619">
          <w:rPr>
            <w:rFonts w:cs="Times New Roman"/>
            <w:noProof/>
            <w:szCs w:val="24"/>
          </w:rPr>
          <w:fldChar w:fldCharType="end"/>
        </w:r>
      </w:p>
    </w:sdtContent>
  </w:sdt>
  <w:p w:rsidR="00674824" w:rsidRDefault="0067482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81" w:rsidRDefault="00995E81" w:rsidP="00353619">
      <w:pPr>
        <w:spacing w:line="240" w:lineRule="auto"/>
      </w:pPr>
      <w:r>
        <w:separator/>
      </w:r>
    </w:p>
  </w:footnote>
  <w:footnote w:type="continuationSeparator" w:id="0">
    <w:p w:rsidR="00995E81" w:rsidRDefault="00995E81" w:rsidP="003536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4" w:rsidRDefault="00674824">
    <w:pPr>
      <w:pStyle w:val="Antrats"/>
      <w:jc w:val="right"/>
    </w:pPr>
  </w:p>
  <w:p w:rsidR="00674824" w:rsidRDefault="00674824" w:rsidP="00F809F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37D"/>
    <w:multiLevelType w:val="hybridMultilevel"/>
    <w:tmpl w:val="8AC2A1D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793445"/>
    <w:multiLevelType w:val="multilevel"/>
    <w:tmpl w:val="4CE2FA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CF6E67"/>
    <w:multiLevelType w:val="hybridMultilevel"/>
    <w:tmpl w:val="5986EB9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795101"/>
    <w:multiLevelType w:val="multilevel"/>
    <w:tmpl w:val="587C1D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6566B42"/>
    <w:multiLevelType w:val="hybridMultilevel"/>
    <w:tmpl w:val="2C54F85A"/>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C7079AC"/>
    <w:multiLevelType w:val="hybridMultilevel"/>
    <w:tmpl w:val="511C38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EF931FC"/>
    <w:multiLevelType w:val="hybridMultilevel"/>
    <w:tmpl w:val="FBC2E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2EA66E5"/>
    <w:multiLevelType w:val="hybridMultilevel"/>
    <w:tmpl w:val="D5A0F518"/>
    <w:lvl w:ilvl="0" w:tplc="E6583A12">
      <w:start w:val="1"/>
      <w:numFmt w:val="decimal"/>
      <w:pStyle w:val="Antrat1"/>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10F700C"/>
    <w:multiLevelType w:val="hybridMultilevel"/>
    <w:tmpl w:val="8312E0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13B1D9C"/>
    <w:multiLevelType w:val="multilevel"/>
    <w:tmpl w:val="4CE2FA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19B7982"/>
    <w:multiLevelType w:val="hybridMultilevel"/>
    <w:tmpl w:val="675459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0AD2137"/>
    <w:multiLevelType w:val="multilevel"/>
    <w:tmpl w:val="E60CD6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1B767C8"/>
    <w:multiLevelType w:val="hybridMultilevel"/>
    <w:tmpl w:val="447EE636"/>
    <w:lvl w:ilvl="0" w:tplc="13445888">
      <w:start w:val="1"/>
      <w:numFmt w:val="decimal"/>
      <w:pStyle w:val="Pavadinimas"/>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09A1F80"/>
    <w:multiLevelType w:val="multilevel"/>
    <w:tmpl w:val="4CE2FA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9AD270F"/>
    <w:multiLevelType w:val="hybridMultilevel"/>
    <w:tmpl w:val="4D58AD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8"/>
  </w:num>
  <w:num w:numId="5">
    <w:abstractNumId w:val="10"/>
  </w:num>
  <w:num w:numId="6">
    <w:abstractNumId w:val="7"/>
    <w:lvlOverride w:ilvl="0">
      <w:startOverride w:val="1"/>
    </w:lvlOverride>
  </w:num>
  <w:num w:numId="7">
    <w:abstractNumId w:val="7"/>
    <w:lvlOverride w:ilvl="0">
      <w:startOverride w:val="3"/>
    </w:lvlOverride>
  </w:num>
  <w:num w:numId="8">
    <w:abstractNumId w:val="13"/>
  </w:num>
  <w:num w:numId="9">
    <w:abstractNumId w:val="9"/>
  </w:num>
  <w:num w:numId="10">
    <w:abstractNumId w:val="11"/>
  </w:num>
  <w:num w:numId="11">
    <w:abstractNumId w:val="6"/>
  </w:num>
  <w:num w:numId="12">
    <w:abstractNumId w:val="1"/>
  </w:num>
  <w:num w:numId="13">
    <w:abstractNumId w:val="7"/>
    <w:lvlOverride w:ilvl="0">
      <w:startOverride w:val="3"/>
    </w:lvlOverride>
  </w:num>
  <w:num w:numId="14">
    <w:abstractNumId w:val="3"/>
  </w:num>
  <w:num w:numId="15">
    <w:abstractNumId w:val="14"/>
  </w:num>
  <w:num w:numId="16">
    <w:abstractNumId w:val="7"/>
    <w:lvlOverride w:ilvl="0">
      <w:startOverride w:val="1"/>
    </w:lvlOverride>
  </w:num>
  <w:num w:numId="17">
    <w:abstractNumId w:val="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26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19"/>
    <w:rsid w:val="00016524"/>
    <w:rsid w:val="00022DF5"/>
    <w:rsid w:val="00025C2C"/>
    <w:rsid w:val="0003020A"/>
    <w:rsid w:val="0006371A"/>
    <w:rsid w:val="00073F4B"/>
    <w:rsid w:val="0009349D"/>
    <w:rsid w:val="000C2335"/>
    <w:rsid w:val="000E09FF"/>
    <w:rsid w:val="00106028"/>
    <w:rsid w:val="0011216D"/>
    <w:rsid w:val="00133EE7"/>
    <w:rsid w:val="001402CF"/>
    <w:rsid w:val="00153716"/>
    <w:rsid w:val="0017273E"/>
    <w:rsid w:val="001745E4"/>
    <w:rsid w:val="001A1F25"/>
    <w:rsid w:val="001E2101"/>
    <w:rsid w:val="001F457E"/>
    <w:rsid w:val="002132B7"/>
    <w:rsid w:val="0021376D"/>
    <w:rsid w:val="00214403"/>
    <w:rsid w:val="002159BE"/>
    <w:rsid w:val="00215EA1"/>
    <w:rsid w:val="00226CB3"/>
    <w:rsid w:val="00230F23"/>
    <w:rsid w:val="0025647A"/>
    <w:rsid w:val="002635CA"/>
    <w:rsid w:val="002822B2"/>
    <w:rsid w:val="00292822"/>
    <w:rsid w:val="00330C78"/>
    <w:rsid w:val="00353619"/>
    <w:rsid w:val="00365FDE"/>
    <w:rsid w:val="00393CB5"/>
    <w:rsid w:val="00393D06"/>
    <w:rsid w:val="0039511C"/>
    <w:rsid w:val="003C1248"/>
    <w:rsid w:val="003D707D"/>
    <w:rsid w:val="00424CB4"/>
    <w:rsid w:val="004260D3"/>
    <w:rsid w:val="00430223"/>
    <w:rsid w:val="00491310"/>
    <w:rsid w:val="00497E79"/>
    <w:rsid w:val="004B60AF"/>
    <w:rsid w:val="004E3086"/>
    <w:rsid w:val="004E5550"/>
    <w:rsid w:val="00511FB9"/>
    <w:rsid w:val="00512861"/>
    <w:rsid w:val="00564036"/>
    <w:rsid w:val="005667F0"/>
    <w:rsid w:val="005B7008"/>
    <w:rsid w:val="00612CE0"/>
    <w:rsid w:val="0062069B"/>
    <w:rsid w:val="0062782D"/>
    <w:rsid w:val="0064315F"/>
    <w:rsid w:val="00646712"/>
    <w:rsid w:val="0065501C"/>
    <w:rsid w:val="0066716F"/>
    <w:rsid w:val="00674824"/>
    <w:rsid w:val="006846F2"/>
    <w:rsid w:val="006964E7"/>
    <w:rsid w:val="006A194C"/>
    <w:rsid w:val="006D30BA"/>
    <w:rsid w:val="007058DF"/>
    <w:rsid w:val="00732CCF"/>
    <w:rsid w:val="00735C0D"/>
    <w:rsid w:val="00750DF0"/>
    <w:rsid w:val="00787B95"/>
    <w:rsid w:val="007D6B77"/>
    <w:rsid w:val="007E03A7"/>
    <w:rsid w:val="007F6C2E"/>
    <w:rsid w:val="00814D13"/>
    <w:rsid w:val="00824AEE"/>
    <w:rsid w:val="00847113"/>
    <w:rsid w:val="00874A27"/>
    <w:rsid w:val="008800BF"/>
    <w:rsid w:val="008912C0"/>
    <w:rsid w:val="00896D2E"/>
    <w:rsid w:val="008B17B8"/>
    <w:rsid w:val="008B1B52"/>
    <w:rsid w:val="008B306F"/>
    <w:rsid w:val="008B4093"/>
    <w:rsid w:val="008B41D1"/>
    <w:rsid w:val="008E384E"/>
    <w:rsid w:val="008F097B"/>
    <w:rsid w:val="008F21E4"/>
    <w:rsid w:val="0092689A"/>
    <w:rsid w:val="00933925"/>
    <w:rsid w:val="00963515"/>
    <w:rsid w:val="00992B3C"/>
    <w:rsid w:val="00995E81"/>
    <w:rsid w:val="009B2252"/>
    <w:rsid w:val="009E2D71"/>
    <w:rsid w:val="00A01445"/>
    <w:rsid w:val="00A2436D"/>
    <w:rsid w:val="00A42CE8"/>
    <w:rsid w:val="00A700F0"/>
    <w:rsid w:val="00A71A36"/>
    <w:rsid w:val="00A77B49"/>
    <w:rsid w:val="00A77F38"/>
    <w:rsid w:val="00A85284"/>
    <w:rsid w:val="00A910F6"/>
    <w:rsid w:val="00A976B5"/>
    <w:rsid w:val="00AB5A86"/>
    <w:rsid w:val="00AC29E0"/>
    <w:rsid w:val="00AC670F"/>
    <w:rsid w:val="00B01BD9"/>
    <w:rsid w:val="00B15E23"/>
    <w:rsid w:val="00B22DFB"/>
    <w:rsid w:val="00B33E14"/>
    <w:rsid w:val="00B509FA"/>
    <w:rsid w:val="00B71408"/>
    <w:rsid w:val="00B73DA4"/>
    <w:rsid w:val="00B86376"/>
    <w:rsid w:val="00B9498C"/>
    <w:rsid w:val="00BA7025"/>
    <w:rsid w:val="00BB354D"/>
    <w:rsid w:val="00BF0A1E"/>
    <w:rsid w:val="00C07D68"/>
    <w:rsid w:val="00C2178A"/>
    <w:rsid w:val="00C83A68"/>
    <w:rsid w:val="00CF0193"/>
    <w:rsid w:val="00D14DF0"/>
    <w:rsid w:val="00D36C95"/>
    <w:rsid w:val="00D5289D"/>
    <w:rsid w:val="00D60A5F"/>
    <w:rsid w:val="00D9564B"/>
    <w:rsid w:val="00DC3C16"/>
    <w:rsid w:val="00DD66BD"/>
    <w:rsid w:val="00DE78CA"/>
    <w:rsid w:val="00E050EB"/>
    <w:rsid w:val="00E11435"/>
    <w:rsid w:val="00E30063"/>
    <w:rsid w:val="00E5393A"/>
    <w:rsid w:val="00E546D8"/>
    <w:rsid w:val="00E62F04"/>
    <w:rsid w:val="00E95756"/>
    <w:rsid w:val="00EB3147"/>
    <w:rsid w:val="00EB7D1D"/>
    <w:rsid w:val="00ED09CB"/>
    <w:rsid w:val="00F062DF"/>
    <w:rsid w:val="00F11661"/>
    <w:rsid w:val="00F302E4"/>
    <w:rsid w:val="00F809F4"/>
    <w:rsid w:val="00FA422B"/>
    <w:rsid w:val="00FC5A2A"/>
    <w:rsid w:val="00FC7999"/>
    <w:rsid w:val="00FF5C9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E2101"/>
    <w:pPr>
      <w:tabs>
        <w:tab w:val="left" w:pos="1134"/>
      </w:tabs>
      <w:spacing w:after="0" w:line="36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17273E"/>
    <w:pPr>
      <w:keepNext/>
      <w:keepLines/>
      <w:numPr>
        <w:numId w:val="2"/>
      </w:numPr>
      <w:spacing w:before="240" w:after="120"/>
      <w:jc w:val="left"/>
      <w:outlineLvl w:val="0"/>
    </w:pPr>
    <w:rPr>
      <w:rFonts w:eastAsiaTheme="majorEastAsia" w:cstheme="majorBidi"/>
      <w:b/>
      <w:bCs/>
      <w:szCs w:val="28"/>
    </w:rPr>
  </w:style>
  <w:style w:type="paragraph" w:styleId="Antrat2">
    <w:name w:val="heading 2"/>
    <w:basedOn w:val="prastasis"/>
    <w:next w:val="prastasis"/>
    <w:link w:val="Antrat2Diagrama"/>
    <w:uiPriority w:val="9"/>
    <w:unhideWhenUsed/>
    <w:qFormat/>
    <w:rsid w:val="0006371A"/>
    <w:pPr>
      <w:keepNext/>
      <w:keepLines/>
      <w:spacing w:before="200"/>
      <w:jc w:val="left"/>
      <w:outlineLvl w:val="1"/>
    </w:pPr>
    <w:rPr>
      <w:rFonts w:eastAsiaTheme="majorEastAsia" w:cstheme="majorBidi"/>
      <w:bCs/>
      <w:caps/>
      <w:szCs w:val="26"/>
    </w:rPr>
  </w:style>
  <w:style w:type="paragraph" w:styleId="Antrat3">
    <w:name w:val="heading 3"/>
    <w:basedOn w:val="prastasis"/>
    <w:next w:val="prastasis"/>
    <w:link w:val="Antrat3Diagrama"/>
    <w:uiPriority w:val="9"/>
    <w:unhideWhenUsed/>
    <w:qFormat/>
    <w:rsid w:val="00DD66BD"/>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53619"/>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53619"/>
  </w:style>
  <w:style w:type="paragraph" w:styleId="Porat">
    <w:name w:val="footer"/>
    <w:basedOn w:val="prastasis"/>
    <w:link w:val="PoratDiagrama"/>
    <w:uiPriority w:val="99"/>
    <w:unhideWhenUsed/>
    <w:rsid w:val="00353619"/>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53619"/>
  </w:style>
  <w:style w:type="paragraph" w:styleId="Pavadinimas">
    <w:name w:val="Title"/>
    <w:basedOn w:val="Antrat1"/>
    <w:next w:val="Antrat1"/>
    <w:link w:val="PavadinimasDiagrama"/>
    <w:autoRedefine/>
    <w:uiPriority w:val="10"/>
    <w:qFormat/>
    <w:rsid w:val="0017273E"/>
    <w:pPr>
      <w:numPr>
        <w:numId w:val="1"/>
      </w:numPr>
      <w:spacing w:after="300" w:line="240" w:lineRule="auto"/>
      <w:contextualSpacing/>
      <w:jc w:val="center"/>
    </w:pPr>
    <w:rPr>
      <w:spacing w:val="5"/>
      <w:kern w:val="28"/>
      <w:sz w:val="28"/>
      <w:szCs w:val="52"/>
    </w:rPr>
  </w:style>
  <w:style w:type="character" w:customStyle="1" w:styleId="PavadinimasDiagrama">
    <w:name w:val="Pavadinimas Diagrama"/>
    <w:basedOn w:val="Numatytasispastraiposriftas"/>
    <w:link w:val="Pavadinimas"/>
    <w:uiPriority w:val="10"/>
    <w:rsid w:val="0017273E"/>
    <w:rPr>
      <w:rFonts w:ascii="Times New Roman" w:eastAsiaTheme="majorEastAsia" w:hAnsi="Times New Roman" w:cstheme="majorBidi"/>
      <w:b/>
      <w:bCs/>
      <w:spacing w:val="5"/>
      <w:kern w:val="28"/>
      <w:sz w:val="28"/>
      <w:szCs w:val="52"/>
    </w:rPr>
  </w:style>
  <w:style w:type="paragraph" w:styleId="Sraopastraipa">
    <w:name w:val="List Paragraph"/>
    <w:basedOn w:val="prastasis"/>
    <w:uiPriority w:val="34"/>
    <w:qFormat/>
    <w:rsid w:val="001E2101"/>
    <w:pPr>
      <w:tabs>
        <w:tab w:val="clear" w:pos="1134"/>
      </w:tabs>
      <w:spacing w:after="200" w:line="276" w:lineRule="auto"/>
      <w:ind w:left="720"/>
      <w:contextualSpacing/>
      <w:jc w:val="left"/>
    </w:pPr>
    <w:rPr>
      <w:rFonts w:asciiTheme="minorHAnsi" w:hAnsiTheme="minorHAnsi"/>
      <w:sz w:val="22"/>
    </w:rPr>
  </w:style>
  <w:style w:type="character" w:customStyle="1" w:styleId="Antrat1Diagrama">
    <w:name w:val="Antraštė 1 Diagrama"/>
    <w:basedOn w:val="Numatytasispastraiposriftas"/>
    <w:link w:val="Antrat1"/>
    <w:uiPriority w:val="9"/>
    <w:rsid w:val="0017273E"/>
    <w:rPr>
      <w:rFonts w:ascii="Times New Roman" w:eastAsiaTheme="majorEastAsia" w:hAnsi="Times New Roman" w:cstheme="majorBidi"/>
      <w:b/>
      <w:bCs/>
      <w:sz w:val="24"/>
      <w:szCs w:val="28"/>
    </w:rPr>
  </w:style>
  <w:style w:type="table" w:styleId="Lentelstinklelis">
    <w:name w:val="Table Grid"/>
    <w:basedOn w:val="prastojilentel"/>
    <w:uiPriority w:val="59"/>
    <w:rsid w:val="00A7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77B49"/>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77B49"/>
    <w:rPr>
      <w:rFonts w:ascii="Tahoma" w:hAnsi="Tahoma" w:cs="Tahoma"/>
      <w:sz w:val="16"/>
      <w:szCs w:val="16"/>
    </w:rPr>
  </w:style>
  <w:style w:type="character" w:customStyle="1" w:styleId="Antrat2Diagrama">
    <w:name w:val="Antraštė 2 Diagrama"/>
    <w:basedOn w:val="Numatytasispastraiposriftas"/>
    <w:link w:val="Antrat2"/>
    <w:uiPriority w:val="9"/>
    <w:rsid w:val="0006371A"/>
    <w:rPr>
      <w:rFonts w:ascii="Times New Roman" w:eastAsiaTheme="majorEastAsia" w:hAnsi="Times New Roman" w:cstheme="majorBidi"/>
      <w:bCs/>
      <w:caps/>
      <w:sz w:val="24"/>
      <w:szCs w:val="26"/>
    </w:rPr>
  </w:style>
  <w:style w:type="paragraph" w:styleId="Turinioantrat">
    <w:name w:val="TOC Heading"/>
    <w:basedOn w:val="Antrat1"/>
    <w:next w:val="prastasis"/>
    <w:uiPriority w:val="39"/>
    <w:unhideWhenUsed/>
    <w:qFormat/>
    <w:rsid w:val="004E5550"/>
    <w:pPr>
      <w:numPr>
        <w:numId w:val="0"/>
      </w:numPr>
      <w:tabs>
        <w:tab w:val="clear" w:pos="1134"/>
      </w:tabs>
      <w:spacing w:before="480" w:after="0" w:line="276" w:lineRule="auto"/>
      <w:outlineLvl w:val="9"/>
    </w:pPr>
    <w:rPr>
      <w:rFonts w:asciiTheme="majorHAnsi" w:hAnsiTheme="majorHAnsi"/>
      <w:color w:val="365F91" w:themeColor="accent1" w:themeShade="BF"/>
      <w:sz w:val="28"/>
      <w:lang w:val="en-US" w:eastAsia="ja-JP"/>
    </w:rPr>
  </w:style>
  <w:style w:type="paragraph" w:styleId="Turinys1">
    <w:name w:val="toc 1"/>
    <w:basedOn w:val="prastasis"/>
    <w:next w:val="prastasis"/>
    <w:autoRedefine/>
    <w:uiPriority w:val="39"/>
    <w:unhideWhenUsed/>
    <w:qFormat/>
    <w:rsid w:val="008E384E"/>
    <w:pPr>
      <w:tabs>
        <w:tab w:val="clear" w:pos="1134"/>
        <w:tab w:val="left" w:pos="440"/>
        <w:tab w:val="right" w:leader="dot" w:pos="9911"/>
      </w:tabs>
      <w:spacing w:after="100"/>
      <w:jc w:val="left"/>
    </w:pPr>
  </w:style>
  <w:style w:type="paragraph" w:styleId="Turinys2">
    <w:name w:val="toc 2"/>
    <w:basedOn w:val="prastasis"/>
    <w:next w:val="prastasis"/>
    <w:autoRedefine/>
    <w:uiPriority w:val="39"/>
    <w:unhideWhenUsed/>
    <w:qFormat/>
    <w:rsid w:val="008E384E"/>
    <w:pPr>
      <w:tabs>
        <w:tab w:val="clear" w:pos="1134"/>
        <w:tab w:val="left" w:pos="953"/>
        <w:tab w:val="left" w:pos="1100"/>
        <w:tab w:val="right" w:leader="dot" w:pos="9911"/>
      </w:tabs>
      <w:spacing w:after="100"/>
      <w:jc w:val="left"/>
    </w:pPr>
  </w:style>
  <w:style w:type="character" w:styleId="Hipersaitas">
    <w:name w:val="Hyperlink"/>
    <w:basedOn w:val="Numatytasispastraiposriftas"/>
    <w:uiPriority w:val="99"/>
    <w:unhideWhenUsed/>
    <w:rsid w:val="004E5550"/>
    <w:rPr>
      <w:color w:val="0000FF" w:themeColor="hyperlink"/>
      <w:u w:val="single"/>
    </w:rPr>
  </w:style>
  <w:style w:type="paragraph" w:styleId="Turinys3">
    <w:name w:val="toc 3"/>
    <w:basedOn w:val="prastasis"/>
    <w:next w:val="prastasis"/>
    <w:autoRedefine/>
    <w:uiPriority w:val="39"/>
    <w:unhideWhenUsed/>
    <w:qFormat/>
    <w:rsid w:val="000E09FF"/>
    <w:pPr>
      <w:tabs>
        <w:tab w:val="clear" w:pos="1134"/>
      </w:tabs>
      <w:spacing w:after="100" w:line="276" w:lineRule="auto"/>
      <w:ind w:left="440"/>
      <w:jc w:val="left"/>
    </w:pPr>
    <w:rPr>
      <w:rFonts w:asciiTheme="minorHAnsi" w:eastAsiaTheme="minorEastAsia" w:hAnsiTheme="minorHAnsi"/>
      <w:sz w:val="22"/>
      <w:lang w:val="en-US" w:eastAsia="ja-JP"/>
    </w:rPr>
  </w:style>
  <w:style w:type="character" w:customStyle="1" w:styleId="Antrat3Diagrama">
    <w:name w:val="Antraštė 3 Diagrama"/>
    <w:basedOn w:val="Numatytasispastraiposriftas"/>
    <w:link w:val="Antrat3"/>
    <w:uiPriority w:val="9"/>
    <w:rsid w:val="00DD66BD"/>
    <w:rPr>
      <w:rFonts w:asciiTheme="majorHAnsi" w:eastAsiaTheme="majorEastAsia" w:hAnsiTheme="majorHAnsi" w:cstheme="majorBidi"/>
      <w:b/>
      <w:bCs/>
      <w:color w:val="4F81BD" w:themeColor="accent1"/>
      <w:sz w:val="24"/>
    </w:rPr>
  </w:style>
  <w:style w:type="paragraph" w:styleId="prastasistinklapis">
    <w:name w:val="Normal (Web)"/>
    <w:basedOn w:val="prastasis"/>
    <w:uiPriority w:val="99"/>
    <w:semiHidden/>
    <w:unhideWhenUsed/>
    <w:rsid w:val="00D5289D"/>
    <w:pPr>
      <w:tabs>
        <w:tab w:val="clear" w:pos="1134"/>
      </w:tabs>
      <w:spacing w:before="100" w:beforeAutospacing="1" w:after="100" w:afterAutospacing="1" w:line="240" w:lineRule="auto"/>
      <w:jc w:val="left"/>
    </w:pPr>
    <w:rPr>
      <w:rFonts w:eastAsia="Times New Roman" w:cs="Times New Roman"/>
      <w:szCs w:val="24"/>
      <w:lang w:eastAsia="lt-LT"/>
    </w:rPr>
  </w:style>
  <w:style w:type="paragraph" w:styleId="Betarp">
    <w:name w:val="No Spacing"/>
    <w:uiPriority w:val="1"/>
    <w:qFormat/>
    <w:rsid w:val="00B509FA"/>
    <w:pPr>
      <w:spacing w:after="0" w:line="240" w:lineRule="auto"/>
    </w:pPr>
    <w:rPr>
      <w:rFonts w:ascii="Calibri" w:eastAsia="Times New Roman" w:hAnsi="Calibri" w:cs="Times New Roman"/>
      <w:lang w:eastAsia="lt-LT"/>
    </w:rPr>
  </w:style>
  <w:style w:type="character" w:styleId="Perirtashipersaitas">
    <w:name w:val="FollowedHyperlink"/>
    <w:basedOn w:val="Numatytasispastraiposriftas"/>
    <w:uiPriority w:val="99"/>
    <w:semiHidden/>
    <w:unhideWhenUsed/>
    <w:rsid w:val="00AB5A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E2101"/>
    <w:pPr>
      <w:tabs>
        <w:tab w:val="left" w:pos="1134"/>
      </w:tabs>
      <w:spacing w:after="0" w:line="36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17273E"/>
    <w:pPr>
      <w:keepNext/>
      <w:keepLines/>
      <w:numPr>
        <w:numId w:val="2"/>
      </w:numPr>
      <w:spacing w:before="240" w:after="120"/>
      <w:jc w:val="left"/>
      <w:outlineLvl w:val="0"/>
    </w:pPr>
    <w:rPr>
      <w:rFonts w:eastAsiaTheme="majorEastAsia" w:cstheme="majorBidi"/>
      <w:b/>
      <w:bCs/>
      <w:szCs w:val="28"/>
    </w:rPr>
  </w:style>
  <w:style w:type="paragraph" w:styleId="Antrat2">
    <w:name w:val="heading 2"/>
    <w:basedOn w:val="prastasis"/>
    <w:next w:val="prastasis"/>
    <w:link w:val="Antrat2Diagrama"/>
    <w:uiPriority w:val="9"/>
    <w:unhideWhenUsed/>
    <w:qFormat/>
    <w:rsid w:val="0006371A"/>
    <w:pPr>
      <w:keepNext/>
      <w:keepLines/>
      <w:spacing w:before="200"/>
      <w:jc w:val="left"/>
      <w:outlineLvl w:val="1"/>
    </w:pPr>
    <w:rPr>
      <w:rFonts w:eastAsiaTheme="majorEastAsia" w:cstheme="majorBidi"/>
      <w:bCs/>
      <w:caps/>
      <w:szCs w:val="26"/>
    </w:rPr>
  </w:style>
  <w:style w:type="paragraph" w:styleId="Antrat3">
    <w:name w:val="heading 3"/>
    <w:basedOn w:val="prastasis"/>
    <w:next w:val="prastasis"/>
    <w:link w:val="Antrat3Diagrama"/>
    <w:uiPriority w:val="9"/>
    <w:unhideWhenUsed/>
    <w:qFormat/>
    <w:rsid w:val="00DD66BD"/>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53619"/>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53619"/>
  </w:style>
  <w:style w:type="paragraph" w:styleId="Porat">
    <w:name w:val="footer"/>
    <w:basedOn w:val="prastasis"/>
    <w:link w:val="PoratDiagrama"/>
    <w:uiPriority w:val="99"/>
    <w:unhideWhenUsed/>
    <w:rsid w:val="00353619"/>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53619"/>
  </w:style>
  <w:style w:type="paragraph" w:styleId="Pavadinimas">
    <w:name w:val="Title"/>
    <w:basedOn w:val="Antrat1"/>
    <w:next w:val="Antrat1"/>
    <w:link w:val="PavadinimasDiagrama"/>
    <w:autoRedefine/>
    <w:uiPriority w:val="10"/>
    <w:qFormat/>
    <w:rsid w:val="0017273E"/>
    <w:pPr>
      <w:numPr>
        <w:numId w:val="1"/>
      </w:numPr>
      <w:spacing w:after="300" w:line="240" w:lineRule="auto"/>
      <w:contextualSpacing/>
      <w:jc w:val="center"/>
    </w:pPr>
    <w:rPr>
      <w:spacing w:val="5"/>
      <w:kern w:val="28"/>
      <w:sz w:val="28"/>
      <w:szCs w:val="52"/>
    </w:rPr>
  </w:style>
  <w:style w:type="character" w:customStyle="1" w:styleId="PavadinimasDiagrama">
    <w:name w:val="Pavadinimas Diagrama"/>
    <w:basedOn w:val="Numatytasispastraiposriftas"/>
    <w:link w:val="Pavadinimas"/>
    <w:uiPriority w:val="10"/>
    <w:rsid w:val="0017273E"/>
    <w:rPr>
      <w:rFonts w:ascii="Times New Roman" w:eastAsiaTheme="majorEastAsia" w:hAnsi="Times New Roman" w:cstheme="majorBidi"/>
      <w:b/>
      <w:bCs/>
      <w:spacing w:val="5"/>
      <w:kern w:val="28"/>
      <w:sz w:val="28"/>
      <w:szCs w:val="52"/>
    </w:rPr>
  </w:style>
  <w:style w:type="paragraph" w:styleId="Sraopastraipa">
    <w:name w:val="List Paragraph"/>
    <w:basedOn w:val="prastasis"/>
    <w:uiPriority w:val="34"/>
    <w:qFormat/>
    <w:rsid w:val="001E2101"/>
    <w:pPr>
      <w:tabs>
        <w:tab w:val="clear" w:pos="1134"/>
      </w:tabs>
      <w:spacing w:after="200" w:line="276" w:lineRule="auto"/>
      <w:ind w:left="720"/>
      <w:contextualSpacing/>
      <w:jc w:val="left"/>
    </w:pPr>
    <w:rPr>
      <w:rFonts w:asciiTheme="minorHAnsi" w:hAnsiTheme="minorHAnsi"/>
      <w:sz w:val="22"/>
    </w:rPr>
  </w:style>
  <w:style w:type="character" w:customStyle="1" w:styleId="Antrat1Diagrama">
    <w:name w:val="Antraštė 1 Diagrama"/>
    <w:basedOn w:val="Numatytasispastraiposriftas"/>
    <w:link w:val="Antrat1"/>
    <w:uiPriority w:val="9"/>
    <w:rsid w:val="0017273E"/>
    <w:rPr>
      <w:rFonts w:ascii="Times New Roman" w:eastAsiaTheme="majorEastAsia" w:hAnsi="Times New Roman" w:cstheme="majorBidi"/>
      <w:b/>
      <w:bCs/>
      <w:sz w:val="24"/>
      <w:szCs w:val="28"/>
    </w:rPr>
  </w:style>
  <w:style w:type="table" w:styleId="Lentelstinklelis">
    <w:name w:val="Table Grid"/>
    <w:basedOn w:val="prastojilentel"/>
    <w:uiPriority w:val="59"/>
    <w:rsid w:val="00A7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77B49"/>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77B49"/>
    <w:rPr>
      <w:rFonts w:ascii="Tahoma" w:hAnsi="Tahoma" w:cs="Tahoma"/>
      <w:sz w:val="16"/>
      <w:szCs w:val="16"/>
    </w:rPr>
  </w:style>
  <w:style w:type="character" w:customStyle="1" w:styleId="Antrat2Diagrama">
    <w:name w:val="Antraštė 2 Diagrama"/>
    <w:basedOn w:val="Numatytasispastraiposriftas"/>
    <w:link w:val="Antrat2"/>
    <w:uiPriority w:val="9"/>
    <w:rsid w:val="0006371A"/>
    <w:rPr>
      <w:rFonts w:ascii="Times New Roman" w:eastAsiaTheme="majorEastAsia" w:hAnsi="Times New Roman" w:cstheme="majorBidi"/>
      <w:bCs/>
      <w:caps/>
      <w:sz w:val="24"/>
      <w:szCs w:val="26"/>
    </w:rPr>
  </w:style>
  <w:style w:type="paragraph" w:styleId="Turinioantrat">
    <w:name w:val="TOC Heading"/>
    <w:basedOn w:val="Antrat1"/>
    <w:next w:val="prastasis"/>
    <w:uiPriority w:val="39"/>
    <w:unhideWhenUsed/>
    <w:qFormat/>
    <w:rsid w:val="004E5550"/>
    <w:pPr>
      <w:numPr>
        <w:numId w:val="0"/>
      </w:numPr>
      <w:tabs>
        <w:tab w:val="clear" w:pos="1134"/>
      </w:tabs>
      <w:spacing w:before="480" w:after="0" w:line="276" w:lineRule="auto"/>
      <w:outlineLvl w:val="9"/>
    </w:pPr>
    <w:rPr>
      <w:rFonts w:asciiTheme="majorHAnsi" w:hAnsiTheme="majorHAnsi"/>
      <w:color w:val="365F91" w:themeColor="accent1" w:themeShade="BF"/>
      <w:sz w:val="28"/>
      <w:lang w:val="en-US" w:eastAsia="ja-JP"/>
    </w:rPr>
  </w:style>
  <w:style w:type="paragraph" w:styleId="Turinys1">
    <w:name w:val="toc 1"/>
    <w:basedOn w:val="prastasis"/>
    <w:next w:val="prastasis"/>
    <w:autoRedefine/>
    <w:uiPriority w:val="39"/>
    <w:unhideWhenUsed/>
    <w:qFormat/>
    <w:rsid w:val="008E384E"/>
    <w:pPr>
      <w:tabs>
        <w:tab w:val="clear" w:pos="1134"/>
        <w:tab w:val="left" w:pos="440"/>
        <w:tab w:val="right" w:leader="dot" w:pos="9911"/>
      </w:tabs>
      <w:spacing w:after="100"/>
      <w:jc w:val="left"/>
    </w:pPr>
  </w:style>
  <w:style w:type="paragraph" w:styleId="Turinys2">
    <w:name w:val="toc 2"/>
    <w:basedOn w:val="prastasis"/>
    <w:next w:val="prastasis"/>
    <w:autoRedefine/>
    <w:uiPriority w:val="39"/>
    <w:unhideWhenUsed/>
    <w:qFormat/>
    <w:rsid w:val="008E384E"/>
    <w:pPr>
      <w:tabs>
        <w:tab w:val="clear" w:pos="1134"/>
        <w:tab w:val="left" w:pos="953"/>
        <w:tab w:val="left" w:pos="1100"/>
        <w:tab w:val="right" w:leader="dot" w:pos="9911"/>
      </w:tabs>
      <w:spacing w:after="100"/>
      <w:jc w:val="left"/>
    </w:pPr>
  </w:style>
  <w:style w:type="character" w:styleId="Hipersaitas">
    <w:name w:val="Hyperlink"/>
    <w:basedOn w:val="Numatytasispastraiposriftas"/>
    <w:uiPriority w:val="99"/>
    <w:unhideWhenUsed/>
    <w:rsid w:val="004E5550"/>
    <w:rPr>
      <w:color w:val="0000FF" w:themeColor="hyperlink"/>
      <w:u w:val="single"/>
    </w:rPr>
  </w:style>
  <w:style w:type="paragraph" w:styleId="Turinys3">
    <w:name w:val="toc 3"/>
    <w:basedOn w:val="prastasis"/>
    <w:next w:val="prastasis"/>
    <w:autoRedefine/>
    <w:uiPriority w:val="39"/>
    <w:unhideWhenUsed/>
    <w:qFormat/>
    <w:rsid w:val="000E09FF"/>
    <w:pPr>
      <w:tabs>
        <w:tab w:val="clear" w:pos="1134"/>
      </w:tabs>
      <w:spacing w:after="100" w:line="276" w:lineRule="auto"/>
      <w:ind w:left="440"/>
      <w:jc w:val="left"/>
    </w:pPr>
    <w:rPr>
      <w:rFonts w:asciiTheme="minorHAnsi" w:eastAsiaTheme="minorEastAsia" w:hAnsiTheme="minorHAnsi"/>
      <w:sz w:val="22"/>
      <w:lang w:val="en-US" w:eastAsia="ja-JP"/>
    </w:rPr>
  </w:style>
  <w:style w:type="character" w:customStyle="1" w:styleId="Antrat3Diagrama">
    <w:name w:val="Antraštė 3 Diagrama"/>
    <w:basedOn w:val="Numatytasispastraiposriftas"/>
    <w:link w:val="Antrat3"/>
    <w:uiPriority w:val="9"/>
    <w:rsid w:val="00DD66BD"/>
    <w:rPr>
      <w:rFonts w:asciiTheme="majorHAnsi" w:eastAsiaTheme="majorEastAsia" w:hAnsiTheme="majorHAnsi" w:cstheme="majorBidi"/>
      <w:b/>
      <w:bCs/>
      <w:color w:val="4F81BD" w:themeColor="accent1"/>
      <w:sz w:val="24"/>
    </w:rPr>
  </w:style>
  <w:style w:type="paragraph" w:styleId="prastasistinklapis">
    <w:name w:val="Normal (Web)"/>
    <w:basedOn w:val="prastasis"/>
    <w:uiPriority w:val="99"/>
    <w:semiHidden/>
    <w:unhideWhenUsed/>
    <w:rsid w:val="00D5289D"/>
    <w:pPr>
      <w:tabs>
        <w:tab w:val="clear" w:pos="1134"/>
      </w:tabs>
      <w:spacing w:before="100" w:beforeAutospacing="1" w:after="100" w:afterAutospacing="1" w:line="240" w:lineRule="auto"/>
      <w:jc w:val="left"/>
    </w:pPr>
    <w:rPr>
      <w:rFonts w:eastAsia="Times New Roman" w:cs="Times New Roman"/>
      <w:szCs w:val="24"/>
      <w:lang w:eastAsia="lt-LT"/>
    </w:rPr>
  </w:style>
  <w:style w:type="paragraph" w:styleId="Betarp">
    <w:name w:val="No Spacing"/>
    <w:uiPriority w:val="1"/>
    <w:qFormat/>
    <w:rsid w:val="00B509FA"/>
    <w:pPr>
      <w:spacing w:after="0" w:line="240" w:lineRule="auto"/>
    </w:pPr>
    <w:rPr>
      <w:rFonts w:ascii="Calibri" w:eastAsia="Times New Roman" w:hAnsi="Calibri" w:cs="Times New Roman"/>
      <w:lang w:eastAsia="lt-LT"/>
    </w:rPr>
  </w:style>
  <w:style w:type="character" w:styleId="Perirtashipersaitas">
    <w:name w:val="FollowedHyperlink"/>
    <w:basedOn w:val="Numatytasispastraiposriftas"/>
    <w:uiPriority w:val="99"/>
    <w:semiHidden/>
    <w:unhideWhenUsed/>
    <w:rsid w:val="00AB5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238">
      <w:bodyDiv w:val="1"/>
      <w:marLeft w:val="0"/>
      <w:marRight w:val="0"/>
      <w:marTop w:val="0"/>
      <w:marBottom w:val="0"/>
      <w:divBdr>
        <w:top w:val="none" w:sz="0" w:space="0" w:color="auto"/>
        <w:left w:val="none" w:sz="0" w:space="0" w:color="auto"/>
        <w:bottom w:val="none" w:sz="0" w:space="0" w:color="auto"/>
        <w:right w:val="none" w:sz="0" w:space="0" w:color="auto"/>
      </w:divBdr>
    </w:div>
    <w:div w:id="1183780603">
      <w:bodyDiv w:val="1"/>
      <w:marLeft w:val="0"/>
      <w:marRight w:val="0"/>
      <w:marTop w:val="0"/>
      <w:marBottom w:val="0"/>
      <w:divBdr>
        <w:top w:val="none" w:sz="0" w:space="0" w:color="auto"/>
        <w:left w:val="none" w:sz="0" w:space="0" w:color="auto"/>
        <w:bottom w:val="none" w:sz="0" w:space="0" w:color="auto"/>
        <w:right w:val="none" w:sz="0" w:space="0" w:color="auto"/>
      </w:divBdr>
    </w:div>
    <w:div w:id="1367171214">
      <w:bodyDiv w:val="1"/>
      <w:marLeft w:val="0"/>
      <w:marRight w:val="0"/>
      <w:marTop w:val="0"/>
      <w:marBottom w:val="0"/>
      <w:divBdr>
        <w:top w:val="none" w:sz="0" w:space="0" w:color="auto"/>
        <w:left w:val="none" w:sz="0" w:space="0" w:color="auto"/>
        <w:bottom w:val="none" w:sz="0" w:space="0" w:color="auto"/>
        <w:right w:val="none" w:sz="0" w:space="0" w:color="auto"/>
      </w:divBdr>
    </w:div>
    <w:div w:id="20612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aunovsb.lt" TargetMode="External"/><Relationship Id="rId17" Type="http://schemas.openxmlformats.org/officeDocument/2006/relationships/image" Target="media/image2.png"/><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aunovsb.lt" TargetMode="External"/><Relationship Id="rId24" Type="http://schemas.openxmlformats.org/officeDocument/2006/relationships/chart" Target="charts/chart8.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1.xml"/><Relationship Id="rId10" Type="http://schemas.openxmlformats.org/officeDocument/2006/relationships/image" Target="media/image1.wmf"/><Relationship Id="rId19" Type="http://schemas.openxmlformats.org/officeDocument/2006/relationships/chart" Target="charts/chart4.xml"/><Relationship Id="rId31"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hyperlink" Target="file:///C:\Users\giedjusk\Downloads\t168196.docx"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chart" Target="charts/chart10.xml"/><Relationship Id="rId30"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evute\Desktop\Ievos%20HSIC\Ievos\Lenteles%20skaiciavimams\ievos%20su%202013%20meta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Eksportuota%20matricin&#279;%20lentel&#27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Eksportuota%20matricin&#279;%20lentel&#27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evute\Downloads\grafik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evute\Downloads\grafika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evute\Downloads\grafik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Lapas1!$A$3</c:f>
              <c:strCache>
                <c:ptCount val="1"/>
                <c:pt idx="0">
                  <c:v>Kaunas</c:v>
                </c:pt>
              </c:strCache>
            </c:strRef>
          </c:tx>
          <c:marker>
            <c:symbol val="none"/>
          </c:marker>
          <c:cat>
            <c:numRef>
              <c:f>Lapas1!$B$2:$K$2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Lapas1!$B$3:$K$3</c:f>
              <c:numCache>
                <c:formatCode>General</c:formatCode>
                <c:ptCount val="10"/>
                <c:pt idx="0">
                  <c:v>20.279999999999987</c:v>
                </c:pt>
                <c:pt idx="1">
                  <c:v>17.21</c:v>
                </c:pt>
                <c:pt idx="2">
                  <c:v>20.47</c:v>
                </c:pt>
                <c:pt idx="3">
                  <c:v>20.57</c:v>
                </c:pt>
                <c:pt idx="4">
                  <c:v>10.67</c:v>
                </c:pt>
                <c:pt idx="5">
                  <c:v>12.9</c:v>
                </c:pt>
                <c:pt idx="6">
                  <c:v>11.52</c:v>
                </c:pt>
                <c:pt idx="7">
                  <c:v>7.98</c:v>
                </c:pt>
                <c:pt idx="8">
                  <c:v>8.7800000000000011</c:v>
                </c:pt>
                <c:pt idx="9">
                  <c:v>7.28</c:v>
                </c:pt>
              </c:numCache>
            </c:numRef>
          </c:val>
          <c:smooth val="0"/>
        </c:ser>
        <c:ser>
          <c:idx val="1"/>
          <c:order val="1"/>
          <c:tx>
            <c:strRef>
              <c:f>Lapas1!$A$4</c:f>
              <c:strCache>
                <c:ptCount val="1"/>
                <c:pt idx="0">
                  <c:v>Lietuva</c:v>
                </c:pt>
              </c:strCache>
            </c:strRef>
          </c:tx>
          <c:marker>
            <c:symbol val="none"/>
          </c:marker>
          <c:cat>
            <c:numRef>
              <c:f>Lapas1!$B$2:$K$2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Lapas1!$B$4:$K$4</c:f>
              <c:numCache>
                <c:formatCode>General</c:formatCode>
                <c:ptCount val="10"/>
                <c:pt idx="0">
                  <c:v>13.51</c:v>
                </c:pt>
                <c:pt idx="1">
                  <c:v>14.48</c:v>
                </c:pt>
                <c:pt idx="2">
                  <c:v>14.46</c:v>
                </c:pt>
                <c:pt idx="3">
                  <c:v>13.94</c:v>
                </c:pt>
                <c:pt idx="4">
                  <c:v>10.450000000000006</c:v>
                </c:pt>
                <c:pt idx="5">
                  <c:v>9.5</c:v>
                </c:pt>
                <c:pt idx="6">
                  <c:v>9.49</c:v>
                </c:pt>
                <c:pt idx="7">
                  <c:v>8.4600000000000026</c:v>
                </c:pt>
                <c:pt idx="8">
                  <c:v>8.2900000000000009</c:v>
                </c:pt>
                <c:pt idx="9">
                  <c:v>7.68</c:v>
                </c:pt>
              </c:numCache>
            </c:numRef>
          </c:val>
          <c:smooth val="0"/>
        </c:ser>
        <c:dLbls>
          <c:showLegendKey val="0"/>
          <c:showVal val="0"/>
          <c:showCatName val="0"/>
          <c:showSerName val="0"/>
          <c:showPercent val="0"/>
          <c:showBubbleSize val="0"/>
        </c:dLbls>
        <c:marker val="1"/>
        <c:smooth val="0"/>
        <c:axId val="144288384"/>
        <c:axId val="144294272"/>
      </c:lineChart>
      <c:catAx>
        <c:axId val="144288384"/>
        <c:scaling>
          <c:orientation val="minMax"/>
        </c:scaling>
        <c:delete val="0"/>
        <c:axPos val="b"/>
        <c:numFmt formatCode="General" sourceLinked="1"/>
        <c:majorTickMark val="none"/>
        <c:minorTickMark val="none"/>
        <c:tickLblPos val="nextTo"/>
        <c:crossAx val="144294272"/>
        <c:crosses val="autoZero"/>
        <c:auto val="1"/>
        <c:lblAlgn val="ctr"/>
        <c:lblOffset val="100"/>
        <c:noMultiLvlLbl val="0"/>
      </c:catAx>
      <c:valAx>
        <c:axId val="144294272"/>
        <c:scaling>
          <c:orientation val="minMax"/>
        </c:scaling>
        <c:delete val="0"/>
        <c:axPos val="l"/>
        <c:majorGridlines/>
        <c:title>
          <c:tx>
            <c:rich>
              <a:bodyPr/>
              <a:lstStyle/>
              <a:p>
                <a:pPr>
                  <a:defRPr/>
                </a:pPr>
                <a:r>
                  <a:rPr lang="en-US"/>
                  <a:t>Rodiklis 100 000 gyv.</a:t>
                </a:r>
              </a:p>
            </c:rich>
          </c:tx>
          <c:overlay val="0"/>
        </c:title>
        <c:numFmt formatCode="General" sourceLinked="1"/>
        <c:majorTickMark val="none"/>
        <c:minorTickMark val="none"/>
        <c:tickLblPos val="nextTo"/>
        <c:crossAx val="14428838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pie3DChart>
        <c:varyColors val="1"/>
        <c:ser>
          <c:idx val="0"/>
          <c:order val="0"/>
          <c:explosion val="25"/>
          <c:dLbls>
            <c:dLbl>
              <c:idx val="8"/>
              <c:layout>
                <c:manualLayout>
                  <c:x val="6.3251462578761658E-2"/>
                  <c:y val="-3.747848344240625E-2"/>
                </c:manualLayout>
              </c:layout>
              <c:showLegendKey val="0"/>
              <c:showVal val="0"/>
              <c:showCatName val="0"/>
              <c:showSerName val="0"/>
              <c:showPercent val="1"/>
              <c:showBubbleSize val="0"/>
              <c:extLst>
                <c:ext xmlns:c15="http://schemas.microsoft.com/office/drawing/2012/chart" uri="{CE6537A1-D6FC-4f65-9D91-7224C49458BB}"/>
              </c:extLst>
            </c:dLbl>
            <c:numFmt formatCode="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'Kauno m'!$Q$24:$Q$32</c:f>
              <c:strCache>
                <c:ptCount val="9"/>
                <c:pt idx="0">
                  <c:v>Kitos</c:v>
                </c:pt>
                <c:pt idx="1">
                  <c:v>Jersiniozė</c:v>
                </c:pt>
                <c:pt idx="2">
                  <c:v>Maisto toksinės infekcijos  </c:v>
                </c:pt>
                <c:pt idx="3">
                  <c:v>Kampilobakteriozė</c:v>
                </c:pt>
                <c:pt idx="4">
                  <c:v>Norwalk veiksnio</c:v>
                </c:pt>
                <c:pt idx="5">
                  <c:v>Salmoneliozė</c:v>
                </c:pt>
                <c:pt idx="6">
                  <c:v>Rotovirusinis enteritas</c:v>
                </c:pt>
                <c:pt idx="7">
                  <c:v>Nepatikslintos bakterinės</c:v>
                </c:pt>
                <c:pt idx="8">
                  <c:v>Virusinės nepatikslintos</c:v>
                </c:pt>
              </c:strCache>
            </c:strRef>
          </c:cat>
          <c:val>
            <c:numRef>
              <c:f>'Kauno m'!$R$24:$R$32</c:f>
              <c:numCache>
                <c:formatCode>0</c:formatCode>
                <c:ptCount val="9"/>
                <c:pt idx="0">
                  <c:v>15</c:v>
                </c:pt>
                <c:pt idx="1">
                  <c:v>14</c:v>
                </c:pt>
                <c:pt idx="2">
                  <c:v>74</c:v>
                </c:pt>
                <c:pt idx="3">
                  <c:v>83</c:v>
                </c:pt>
                <c:pt idx="4">
                  <c:v>107</c:v>
                </c:pt>
                <c:pt idx="5">
                  <c:v>111</c:v>
                </c:pt>
                <c:pt idx="6">
                  <c:v>579</c:v>
                </c:pt>
                <c:pt idx="7">
                  <c:v>591</c:v>
                </c:pt>
                <c:pt idx="8">
                  <c:v>849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486344654446774"/>
          <c:y val="4.0591339152294903E-2"/>
          <c:w val="0.35136542269355142"/>
          <c:h val="0.91955332119977917"/>
        </c:manualLayout>
      </c:layou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zero"/>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246157712969996"/>
          <c:y val="3.9348244355695734E-2"/>
          <c:w val="0.78505168350912136"/>
          <c:h val="0.66732932452556126"/>
        </c:manualLayout>
      </c:layout>
      <c:lineChart>
        <c:grouping val="standard"/>
        <c:varyColors val="0"/>
        <c:ser>
          <c:idx val="0"/>
          <c:order val="0"/>
          <c:tx>
            <c:strRef>
              <c:f>Apskritis!$A$229</c:f>
              <c:strCache>
                <c:ptCount val="1"/>
                <c:pt idx="0">
                  <c:v>Kauno apsk.</c:v>
                </c:pt>
              </c:strCache>
            </c:strRef>
          </c:tx>
          <c:cat>
            <c:numRef>
              <c:f>Apskritis!$F$228:$S$228</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Apskritis!$F$229:$S$229</c:f>
              <c:numCache>
                <c:formatCode>General</c:formatCode>
                <c:ptCount val="14"/>
                <c:pt idx="0">
                  <c:v>3.1</c:v>
                </c:pt>
                <c:pt idx="1">
                  <c:v>4.8</c:v>
                </c:pt>
                <c:pt idx="2">
                  <c:v>3.5</c:v>
                </c:pt>
                <c:pt idx="3">
                  <c:v>4.5</c:v>
                </c:pt>
                <c:pt idx="4">
                  <c:v>6.7</c:v>
                </c:pt>
                <c:pt idx="5">
                  <c:v>9.5</c:v>
                </c:pt>
                <c:pt idx="6">
                  <c:v>7.2</c:v>
                </c:pt>
                <c:pt idx="7">
                  <c:v>9.4</c:v>
                </c:pt>
                <c:pt idx="8" formatCode="0.0">
                  <c:v>6.1</c:v>
                </c:pt>
                <c:pt idx="9" formatCode="0.0">
                  <c:v>5.9</c:v>
                </c:pt>
                <c:pt idx="10">
                  <c:v>6.7</c:v>
                </c:pt>
                <c:pt idx="11">
                  <c:v>4.9000000000000004</c:v>
                </c:pt>
                <c:pt idx="12">
                  <c:v>3.2</c:v>
                </c:pt>
                <c:pt idx="13">
                  <c:v>3.1</c:v>
                </c:pt>
              </c:numCache>
            </c:numRef>
          </c:val>
          <c:smooth val="0"/>
        </c:ser>
        <c:ser>
          <c:idx val="1"/>
          <c:order val="1"/>
          <c:tx>
            <c:strRef>
              <c:f>Apskritis!$A$230</c:f>
              <c:strCache>
                <c:ptCount val="1"/>
                <c:pt idx="0">
                  <c:v>Kauno m.</c:v>
                </c:pt>
              </c:strCache>
            </c:strRef>
          </c:tx>
          <c:cat>
            <c:numRef>
              <c:f>Apskritis!$F$228:$S$228</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Apskritis!$F$230:$S$230</c:f>
              <c:numCache>
                <c:formatCode>General</c:formatCode>
                <c:ptCount val="14"/>
                <c:pt idx="0">
                  <c:v>3.6</c:v>
                </c:pt>
                <c:pt idx="1">
                  <c:v>6.3</c:v>
                </c:pt>
                <c:pt idx="2">
                  <c:v>4.5</c:v>
                </c:pt>
                <c:pt idx="3">
                  <c:v>5.6</c:v>
                </c:pt>
                <c:pt idx="4">
                  <c:v>7.8</c:v>
                </c:pt>
                <c:pt idx="5">
                  <c:v>10.4</c:v>
                </c:pt>
                <c:pt idx="6">
                  <c:v>8</c:v>
                </c:pt>
                <c:pt idx="7">
                  <c:v>10.9</c:v>
                </c:pt>
                <c:pt idx="8">
                  <c:v>6.3</c:v>
                </c:pt>
                <c:pt idx="9">
                  <c:v>5.8</c:v>
                </c:pt>
                <c:pt idx="10">
                  <c:v>7.3</c:v>
                </c:pt>
                <c:pt idx="11">
                  <c:v>6.2</c:v>
                </c:pt>
                <c:pt idx="12">
                  <c:v>4.3</c:v>
                </c:pt>
                <c:pt idx="13">
                  <c:v>3.7</c:v>
                </c:pt>
              </c:numCache>
            </c:numRef>
          </c:val>
          <c:smooth val="0"/>
        </c:ser>
        <c:ser>
          <c:idx val="2"/>
          <c:order val="2"/>
          <c:tx>
            <c:strRef>
              <c:f>Apskritis!$A$231</c:f>
              <c:strCache>
                <c:ptCount val="1"/>
                <c:pt idx="0">
                  <c:v>Lietuva</c:v>
                </c:pt>
              </c:strCache>
            </c:strRef>
          </c:tx>
          <c:cat>
            <c:numRef>
              <c:f>Apskritis!$F$228:$S$228</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Apskritis!$F$231:$S$231</c:f>
              <c:numCache>
                <c:formatCode>General</c:formatCode>
                <c:ptCount val="14"/>
                <c:pt idx="2" formatCode="0.00">
                  <c:v>3.3</c:v>
                </c:pt>
                <c:pt idx="3" formatCode="0.0">
                  <c:v>5.4</c:v>
                </c:pt>
                <c:pt idx="4" formatCode="0.00">
                  <c:v>6.9</c:v>
                </c:pt>
                <c:pt idx="5" formatCode="0.00">
                  <c:v>10.4</c:v>
                </c:pt>
                <c:pt idx="6" formatCode="0.00">
                  <c:v>6.9</c:v>
                </c:pt>
                <c:pt idx="7" formatCode="0.00">
                  <c:v>9.3000000000000007</c:v>
                </c:pt>
                <c:pt idx="8" formatCode="0.00">
                  <c:v>6.1</c:v>
                </c:pt>
                <c:pt idx="9" formatCode="0.0">
                  <c:v>5.3</c:v>
                </c:pt>
                <c:pt idx="10" formatCode="0.0">
                  <c:v>6.4</c:v>
                </c:pt>
                <c:pt idx="11">
                  <c:v>5.2</c:v>
                </c:pt>
                <c:pt idx="12">
                  <c:v>3.5</c:v>
                </c:pt>
                <c:pt idx="13">
                  <c:v>3.3</c:v>
                </c:pt>
              </c:numCache>
            </c:numRef>
          </c:val>
          <c:smooth val="0"/>
        </c:ser>
        <c:dLbls>
          <c:showLegendKey val="0"/>
          <c:showVal val="0"/>
          <c:showCatName val="0"/>
          <c:showSerName val="0"/>
          <c:showPercent val="0"/>
          <c:showBubbleSize val="0"/>
        </c:dLbls>
        <c:marker val="1"/>
        <c:smooth val="0"/>
        <c:axId val="145643392"/>
        <c:axId val="145644928"/>
      </c:lineChart>
      <c:catAx>
        <c:axId val="145643392"/>
        <c:scaling>
          <c:orientation val="minMax"/>
        </c:scaling>
        <c:delete val="0"/>
        <c:axPos val="b"/>
        <c:numFmt formatCode="General" sourceLinked="1"/>
        <c:majorTickMark val="none"/>
        <c:minorTickMark val="none"/>
        <c:tickLblPos val="nextTo"/>
        <c:txPr>
          <a:bodyPr rot="0" vert="horz"/>
          <a:lstStyle/>
          <a:p>
            <a:pPr>
              <a:defRPr/>
            </a:pPr>
            <a:endParaRPr lang="lt-LT"/>
          </a:p>
        </c:txPr>
        <c:crossAx val="145644928"/>
        <c:crosses val="autoZero"/>
        <c:auto val="1"/>
        <c:lblAlgn val="ctr"/>
        <c:lblOffset val="100"/>
        <c:tickLblSkip val="1"/>
        <c:tickMarkSkip val="1"/>
        <c:noMultiLvlLbl val="0"/>
      </c:catAx>
      <c:valAx>
        <c:axId val="145644928"/>
        <c:scaling>
          <c:orientation val="minMax"/>
        </c:scaling>
        <c:delete val="0"/>
        <c:axPos val="l"/>
        <c:title>
          <c:tx>
            <c:rich>
              <a:bodyPr/>
              <a:lstStyle/>
              <a:p>
                <a:pPr>
                  <a:defRPr/>
                </a:pPr>
                <a:r>
                  <a:rPr lang="lt-LT"/>
                  <a:t>10 000 gyv.</a:t>
                </a:r>
              </a:p>
            </c:rich>
          </c:tx>
          <c:layout>
            <c:manualLayout>
              <c:xMode val="edge"/>
              <c:yMode val="edge"/>
              <c:x val="7.5033310784662591E-2"/>
              <c:y val="0.33888151719601162"/>
            </c:manualLayout>
          </c:layout>
          <c:overlay val="0"/>
        </c:title>
        <c:numFmt formatCode="General" sourceLinked="1"/>
        <c:majorTickMark val="none"/>
        <c:minorTickMark val="none"/>
        <c:tickLblPos val="nextTo"/>
        <c:txPr>
          <a:bodyPr rot="0" vert="horz"/>
          <a:lstStyle/>
          <a:p>
            <a:pPr>
              <a:defRPr/>
            </a:pPr>
            <a:endParaRPr lang="lt-LT"/>
          </a:p>
        </c:txPr>
        <c:crossAx val="145643392"/>
        <c:crosses val="autoZero"/>
        <c:crossBetween val="between"/>
      </c:valAx>
      <c:dTable>
        <c:showHorzBorder val="1"/>
        <c:showVertBorder val="1"/>
        <c:showOutline val="1"/>
        <c:showKeys val="1"/>
      </c:dTable>
      <c:spPr>
        <a:noFill/>
        <a:ln w="25400">
          <a:noFill/>
        </a:ln>
      </c:spPr>
    </c:plotArea>
    <c:plotVisOnly val="1"/>
    <c:dispBlanksAs val="gap"/>
    <c:showDLblsOverMax val="0"/>
  </c:chart>
  <c:spPr>
    <a:ln>
      <a:noFill/>
    </a:ln>
  </c:spPr>
  <c:txPr>
    <a:bodyPr/>
    <a:lstStyle/>
    <a:p>
      <a:pPr>
        <a:defRPr sz="900">
          <a:latin typeface="Times New Roman" pitchFamily="18" charset="0"/>
          <a:cs typeface="Times New Roman" pitchFamily="18" charset="0"/>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822614348734645"/>
          <c:y val="0.18256377952755906"/>
          <c:w val="0.75623403761318919"/>
          <c:h val="0.48761074096507195"/>
        </c:manualLayout>
      </c:layout>
      <c:lineChart>
        <c:grouping val="standard"/>
        <c:varyColors val="0"/>
        <c:ser>
          <c:idx val="0"/>
          <c:order val="0"/>
          <c:tx>
            <c:strRef>
              <c:f>Apskritis!$A$246</c:f>
              <c:strCache>
                <c:ptCount val="1"/>
                <c:pt idx="0">
                  <c:v>Kauno apsk.</c:v>
                </c:pt>
              </c:strCache>
            </c:strRef>
          </c:tx>
          <c:cat>
            <c:numRef>
              <c:f>Apskritis!$F$245:$S$245</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Apskritis!$F$246:$S$246</c:f>
              <c:numCache>
                <c:formatCode>General</c:formatCode>
                <c:ptCount val="14"/>
                <c:pt idx="0">
                  <c:v>0.8</c:v>
                </c:pt>
                <c:pt idx="1">
                  <c:v>1.1000000000000001</c:v>
                </c:pt>
                <c:pt idx="2">
                  <c:v>1.2</c:v>
                </c:pt>
                <c:pt idx="3">
                  <c:v>1.4</c:v>
                </c:pt>
                <c:pt idx="4">
                  <c:v>1.9000000000000001</c:v>
                </c:pt>
                <c:pt idx="5">
                  <c:v>1.2</c:v>
                </c:pt>
                <c:pt idx="6">
                  <c:v>1.5</c:v>
                </c:pt>
                <c:pt idx="7">
                  <c:v>1.5</c:v>
                </c:pt>
                <c:pt idx="8" formatCode="0.0">
                  <c:v>1.2</c:v>
                </c:pt>
                <c:pt idx="9" formatCode="0.0">
                  <c:v>1.4</c:v>
                </c:pt>
                <c:pt idx="10">
                  <c:v>1.2</c:v>
                </c:pt>
                <c:pt idx="11">
                  <c:v>0.8</c:v>
                </c:pt>
                <c:pt idx="12">
                  <c:v>0.70000000000000029</c:v>
                </c:pt>
                <c:pt idx="13">
                  <c:v>0.5</c:v>
                </c:pt>
              </c:numCache>
            </c:numRef>
          </c:val>
          <c:smooth val="0"/>
        </c:ser>
        <c:ser>
          <c:idx val="1"/>
          <c:order val="1"/>
          <c:tx>
            <c:strRef>
              <c:f>Apskritis!$A$247</c:f>
              <c:strCache>
                <c:ptCount val="1"/>
                <c:pt idx="0">
                  <c:v>Kauno m.</c:v>
                </c:pt>
              </c:strCache>
            </c:strRef>
          </c:tx>
          <c:cat>
            <c:numRef>
              <c:f>Apskritis!$F$245:$S$245</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Apskritis!$F$247:$S$247</c:f>
              <c:numCache>
                <c:formatCode>General</c:formatCode>
                <c:ptCount val="14"/>
                <c:pt idx="0">
                  <c:v>1</c:v>
                </c:pt>
                <c:pt idx="1">
                  <c:v>1.1000000000000001</c:v>
                </c:pt>
                <c:pt idx="2">
                  <c:v>1.4</c:v>
                </c:pt>
                <c:pt idx="3">
                  <c:v>1.7</c:v>
                </c:pt>
                <c:pt idx="4">
                  <c:v>2.5</c:v>
                </c:pt>
                <c:pt idx="5">
                  <c:v>1.4</c:v>
                </c:pt>
                <c:pt idx="6">
                  <c:v>1.9000000000000001</c:v>
                </c:pt>
                <c:pt idx="7">
                  <c:v>1.6</c:v>
                </c:pt>
                <c:pt idx="8">
                  <c:v>1.5</c:v>
                </c:pt>
                <c:pt idx="9">
                  <c:v>1.6</c:v>
                </c:pt>
                <c:pt idx="10">
                  <c:v>1.8</c:v>
                </c:pt>
                <c:pt idx="11">
                  <c:v>1.1000000000000001</c:v>
                </c:pt>
                <c:pt idx="12">
                  <c:v>0.9</c:v>
                </c:pt>
                <c:pt idx="13">
                  <c:v>0.5</c:v>
                </c:pt>
              </c:numCache>
            </c:numRef>
          </c:val>
          <c:smooth val="0"/>
        </c:ser>
        <c:ser>
          <c:idx val="2"/>
          <c:order val="2"/>
          <c:tx>
            <c:strRef>
              <c:f>Apskritis!$A$248</c:f>
              <c:strCache>
                <c:ptCount val="1"/>
                <c:pt idx="0">
                  <c:v>Lietuva</c:v>
                </c:pt>
              </c:strCache>
            </c:strRef>
          </c:tx>
          <c:cat>
            <c:numRef>
              <c:f>Apskritis!$F$245:$S$245</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Apskritis!$F$248:$S$248</c:f>
              <c:numCache>
                <c:formatCode>General</c:formatCode>
                <c:ptCount val="14"/>
                <c:pt idx="2" formatCode="0.00">
                  <c:v>0.8</c:v>
                </c:pt>
                <c:pt idx="3" formatCode="0.0">
                  <c:v>1.4</c:v>
                </c:pt>
                <c:pt idx="4" formatCode="0.00">
                  <c:v>1.4</c:v>
                </c:pt>
                <c:pt idx="5" formatCode="0.00">
                  <c:v>1.2</c:v>
                </c:pt>
                <c:pt idx="6" formatCode="0.00">
                  <c:v>1.7</c:v>
                </c:pt>
                <c:pt idx="7" formatCode="0.00">
                  <c:v>1.6</c:v>
                </c:pt>
                <c:pt idx="8" formatCode="0.00">
                  <c:v>1.4</c:v>
                </c:pt>
                <c:pt idx="9" formatCode="0.0">
                  <c:v>1.3</c:v>
                </c:pt>
                <c:pt idx="10" formatCode="0.0">
                  <c:v>1.1000000000000001</c:v>
                </c:pt>
                <c:pt idx="11">
                  <c:v>0.8</c:v>
                </c:pt>
                <c:pt idx="12">
                  <c:v>0.8</c:v>
                </c:pt>
                <c:pt idx="13">
                  <c:v>0.5</c:v>
                </c:pt>
              </c:numCache>
            </c:numRef>
          </c:val>
          <c:smooth val="0"/>
        </c:ser>
        <c:dLbls>
          <c:showLegendKey val="0"/>
          <c:showVal val="0"/>
          <c:showCatName val="0"/>
          <c:showSerName val="0"/>
          <c:showPercent val="0"/>
          <c:showBubbleSize val="0"/>
        </c:dLbls>
        <c:marker val="1"/>
        <c:smooth val="0"/>
        <c:axId val="146585856"/>
        <c:axId val="146595840"/>
      </c:lineChart>
      <c:catAx>
        <c:axId val="146585856"/>
        <c:scaling>
          <c:orientation val="minMax"/>
        </c:scaling>
        <c:delete val="0"/>
        <c:axPos val="b"/>
        <c:numFmt formatCode="General" sourceLinked="1"/>
        <c:majorTickMark val="none"/>
        <c:minorTickMark val="none"/>
        <c:tickLblPos val="nextTo"/>
        <c:txPr>
          <a:bodyPr rot="0" vert="horz"/>
          <a:lstStyle/>
          <a:p>
            <a:pPr>
              <a:defRPr/>
            </a:pPr>
            <a:endParaRPr lang="lt-LT"/>
          </a:p>
        </c:txPr>
        <c:crossAx val="146595840"/>
        <c:crosses val="autoZero"/>
        <c:auto val="1"/>
        <c:lblAlgn val="ctr"/>
        <c:lblOffset val="100"/>
        <c:tickLblSkip val="1"/>
        <c:tickMarkSkip val="1"/>
        <c:noMultiLvlLbl val="0"/>
      </c:catAx>
      <c:valAx>
        <c:axId val="146595840"/>
        <c:scaling>
          <c:orientation val="minMax"/>
        </c:scaling>
        <c:delete val="0"/>
        <c:axPos val="l"/>
        <c:title>
          <c:tx>
            <c:rich>
              <a:bodyPr/>
              <a:lstStyle/>
              <a:p>
                <a:pPr>
                  <a:defRPr/>
                </a:pPr>
                <a:r>
                  <a:rPr lang="lt-LT"/>
                  <a:t>10 000 gyv.</a:t>
                </a:r>
              </a:p>
            </c:rich>
          </c:tx>
          <c:layout>
            <c:manualLayout>
              <c:xMode val="edge"/>
              <c:yMode val="edge"/>
              <c:x val="6.8540703884407084E-2"/>
              <c:y val="0.31496419753130867"/>
            </c:manualLayout>
          </c:layout>
          <c:overlay val="0"/>
        </c:title>
        <c:numFmt formatCode="General" sourceLinked="1"/>
        <c:majorTickMark val="none"/>
        <c:minorTickMark val="none"/>
        <c:tickLblPos val="nextTo"/>
        <c:txPr>
          <a:bodyPr rot="0" vert="horz"/>
          <a:lstStyle/>
          <a:p>
            <a:pPr>
              <a:defRPr/>
            </a:pPr>
            <a:endParaRPr lang="lt-LT"/>
          </a:p>
        </c:txPr>
        <c:crossAx val="1465858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900">
          <a:latin typeface="Times New Roman" pitchFamily="18" charset="0"/>
          <a:cs typeface="Times New Roman" pitchFamily="18" charset="0"/>
        </a:defRPr>
      </a:pPr>
      <a:endParaRPr lang="lt-L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8231811023622069"/>
          <c:y val="4.9298153520283675E-2"/>
          <c:w val="0.81229687058348565"/>
          <c:h val="0.63027968872312079"/>
        </c:manualLayout>
      </c:layout>
      <c:lineChart>
        <c:grouping val="standard"/>
        <c:varyColors val="0"/>
        <c:ser>
          <c:idx val="0"/>
          <c:order val="0"/>
          <c:tx>
            <c:strRef>
              <c:f>Apskritis!$A$110</c:f>
              <c:strCache>
                <c:ptCount val="1"/>
                <c:pt idx="0">
                  <c:v>Kauno apsk.</c:v>
                </c:pt>
              </c:strCache>
            </c:strRef>
          </c:tx>
          <c:cat>
            <c:numRef>
              <c:f>Apskritis!$B$109:$Q$109</c:f>
              <c:numCache>
                <c:formatCode>General</c:formatCode>
                <c:ptCount val="16"/>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numCache>
            </c:numRef>
          </c:cat>
          <c:val>
            <c:numRef>
              <c:f>Apskritis!$B$110:$Q$110</c:f>
              <c:numCache>
                <c:formatCode>General</c:formatCode>
                <c:ptCount val="16"/>
                <c:pt idx="0">
                  <c:v>3.66</c:v>
                </c:pt>
                <c:pt idx="1">
                  <c:v>3.6</c:v>
                </c:pt>
                <c:pt idx="2">
                  <c:v>4.22</c:v>
                </c:pt>
                <c:pt idx="3">
                  <c:v>5.0599999999999996</c:v>
                </c:pt>
                <c:pt idx="4">
                  <c:v>7.04</c:v>
                </c:pt>
                <c:pt idx="5">
                  <c:v>6.28</c:v>
                </c:pt>
                <c:pt idx="6" formatCode="0.00">
                  <c:v>5.8</c:v>
                </c:pt>
                <c:pt idx="7">
                  <c:v>12.78</c:v>
                </c:pt>
                <c:pt idx="8">
                  <c:v>6.94</c:v>
                </c:pt>
                <c:pt idx="9">
                  <c:v>8.49</c:v>
                </c:pt>
                <c:pt idx="10" formatCode="0.0">
                  <c:v>7.91</c:v>
                </c:pt>
                <c:pt idx="11">
                  <c:v>10.3</c:v>
                </c:pt>
                <c:pt idx="12">
                  <c:v>16.399999999999999</c:v>
                </c:pt>
                <c:pt idx="13" formatCode="0.0">
                  <c:v>13.9</c:v>
                </c:pt>
                <c:pt idx="14">
                  <c:v>8.9</c:v>
                </c:pt>
                <c:pt idx="15">
                  <c:v>15.5</c:v>
                </c:pt>
              </c:numCache>
            </c:numRef>
          </c:val>
          <c:smooth val="0"/>
        </c:ser>
        <c:ser>
          <c:idx val="1"/>
          <c:order val="1"/>
          <c:tx>
            <c:strRef>
              <c:f>Apskritis!$A$111</c:f>
              <c:strCache>
                <c:ptCount val="1"/>
                <c:pt idx="0">
                  <c:v>Kauno m.</c:v>
                </c:pt>
              </c:strCache>
            </c:strRef>
          </c:tx>
          <c:cat>
            <c:numRef>
              <c:f>Apskritis!$B$109:$Q$109</c:f>
              <c:numCache>
                <c:formatCode>General</c:formatCode>
                <c:ptCount val="16"/>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numCache>
            </c:numRef>
          </c:cat>
          <c:val>
            <c:numRef>
              <c:f>Apskritis!$B$111:$Q$111</c:f>
              <c:numCache>
                <c:formatCode>General</c:formatCode>
                <c:ptCount val="16"/>
                <c:pt idx="0">
                  <c:v>5.52</c:v>
                </c:pt>
                <c:pt idx="1">
                  <c:v>5.05</c:v>
                </c:pt>
                <c:pt idx="2">
                  <c:v>5.6</c:v>
                </c:pt>
                <c:pt idx="3">
                  <c:v>6.2</c:v>
                </c:pt>
                <c:pt idx="4">
                  <c:v>8.08</c:v>
                </c:pt>
                <c:pt idx="5">
                  <c:v>6.6599999999999975</c:v>
                </c:pt>
                <c:pt idx="6">
                  <c:v>6.37</c:v>
                </c:pt>
                <c:pt idx="7">
                  <c:v>13.75</c:v>
                </c:pt>
                <c:pt idx="8">
                  <c:v>8.42</c:v>
                </c:pt>
                <c:pt idx="9" formatCode="0.00">
                  <c:v>9.8000000000000007</c:v>
                </c:pt>
                <c:pt idx="10">
                  <c:v>7.85</c:v>
                </c:pt>
                <c:pt idx="11">
                  <c:v>11.7</c:v>
                </c:pt>
                <c:pt idx="12">
                  <c:v>19.5</c:v>
                </c:pt>
                <c:pt idx="13">
                  <c:v>16.7</c:v>
                </c:pt>
                <c:pt idx="14">
                  <c:v>10</c:v>
                </c:pt>
                <c:pt idx="15">
                  <c:v>19</c:v>
                </c:pt>
              </c:numCache>
            </c:numRef>
          </c:val>
          <c:smooth val="0"/>
        </c:ser>
        <c:ser>
          <c:idx val="2"/>
          <c:order val="2"/>
          <c:tx>
            <c:strRef>
              <c:f>Apskritis!$A$112</c:f>
              <c:strCache>
                <c:ptCount val="1"/>
                <c:pt idx="0">
                  <c:v>Lietuva</c:v>
                </c:pt>
              </c:strCache>
            </c:strRef>
          </c:tx>
          <c:cat>
            <c:numRef>
              <c:f>Apskritis!$B$109:$Q$109</c:f>
              <c:numCache>
                <c:formatCode>General</c:formatCode>
                <c:ptCount val="16"/>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numCache>
            </c:numRef>
          </c:cat>
          <c:val>
            <c:numRef>
              <c:f>Apskritis!$B$112:$Q$112</c:f>
              <c:numCache>
                <c:formatCode>General</c:formatCode>
                <c:ptCount val="16"/>
                <c:pt idx="0">
                  <c:v>3.34</c:v>
                </c:pt>
                <c:pt idx="1">
                  <c:v>2.92</c:v>
                </c:pt>
                <c:pt idx="2">
                  <c:v>4.7699999999999996</c:v>
                </c:pt>
                <c:pt idx="3">
                  <c:v>5.81</c:v>
                </c:pt>
                <c:pt idx="4">
                  <c:v>9.18</c:v>
                </c:pt>
                <c:pt idx="5" formatCode="0.00">
                  <c:v>6.63</c:v>
                </c:pt>
                <c:pt idx="6" formatCode="0.00">
                  <c:v>8.77</c:v>
                </c:pt>
                <c:pt idx="7" formatCode="0.0">
                  <c:v>14.29</c:v>
                </c:pt>
                <c:pt idx="8" formatCode="0.00">
                  <c:v>5.45</c:v>
                </c:pt>
                <c:pt idx="9" formatCode="0.0">
                  <c:v>10.15</c:v>
                </c:pt>
                <c:pt idx="10" formatCode="0.00">
                  <c:v>8.2399999999999984</c:v>
                </c:pt>
                <c:pt idx="11" formatCode="0.0">
                  <c:v>7.7</c:v>
                </c:pt>
                <c:pt idx="12" formatCode="0.0">
                  <c:v>14.6</c:v>
                </c:pt>
                <c:pt idx="13" formatCode="0.0">
                  <c:v>12.7</c:v>
                </c:pt>
                <c:pt idx="14" formatCode="0.0">
                  <c:v>10.4</c:v>
                </c:pt>
                <c:pt idx="15" formatCode="0.0">
                  <c:v>11.8</c:v>
                </c:pt>
              </c:numCache>
            </c:numRef>
          </c:val>
          <c:smooth val="0"/>
        </c:ser>
        <c:dLbls>
          <c:showLegendKey val="0"/>
          <c:showVal val="0"/>
          <c:showCatName val="0"/>
          <c:showSerName val="0"/>
          <c:showPercent val="0"/>
          <c:showBubbleSize val="0"/>
        </c:dLbls>
        <c:marker val="1"/>
        <c:smooth val="0"/>
        <c:axId val="148388480"/>
        <c:axId val="148423040"/>
      </c:lineChart>
      <c:catAx>
        <c:axId val="148388480"/>
        <c:scaling>
          <c:orientation val="minMax"/>
        </c:scaling>
        <c:delete val="0"/>
        <c:axPos val="b"/>
        <c:numFmt formatCode="General" sourceLinked="1"/>
        <c:majorTickMark val="none"/>
        <c:minorTickMark val="none"/>
        <c:tickLblPos val="nextTo"/>
        <c:txPr>
          <a:bodyPr rot="0" vert="horz"/>
          <a:lstStyle/>
          <a:p>
            <a:pPr>
              <a:defRPr/>
            </a:pPr>
            <a:endParaRPr lang="lt-LT"/>
          </a:p>
        </c:txPr>
        <c:crossAx val="148423040"/>
        <c:crosses val="autoZero"/>
        <c:auto val="1"/>
        <c:lblAlgn val="ctr"/>
        <c:lblOffset val="100"/>
        <c:tickLblSkip val="1"/>
        <c:tickMarkSkip val="1"/>
        <c:noMultiLvlLbl val="0"/>
      </c:catAx>
      <c:valAx>
        <c:axId val="148423040"/>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lt-LT">
                    <a:latin typeface="Times New Roman" panose="02020603050405020304" pitchFamily="18" charset="0"/>
                    <a:cs typeface="Times New Roman" panose="02020603050405020304" pitchFamily="18" charset="0"/>
                  </a:rPr>
                  <a:t> 10 000 gyv.</a:t>
                </a:r>
              </a:p>
            </c:rich>
          </c:tx>
          <c:layout>
            <c:manualLayout>
              <c:xMode val="edge"/>
              <c:yMode val="edge"/>
              <c:x val="4.3076923076923103E-2"/>
              <c:y val="0.24515535034560471"/>
            </c:manualLayout>
          </c:layout>
          <c:overlay val="0"/>
        </c:title>
        <c:numFmt formatCode="General" sourceLinked="1"/>
        <c:majorTickMark val="none"/>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lt-LT"/>
          </a:p>
        </c:txPr>
        <c:crossAx val="148388480"/>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lt-LT"/>
          </a:p>
        </c:txPr>
      </c:dTable>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8146965353363418"/>
          <c:y val="4.0587332243846919E-2"/>
          <c:w val="0.71852908220433964"/>
          <c:h val="0.53739513692863872"/>
        </c:manualLayout>
      </c:layout>
      <c:lineChart>
        <c:grouping val="standard"/>
        <c:varyColors val="0"/>
        <c:ser>
          <c:idx val="0"/>
          <c:order val="0"/>
          <c:tx>
            <c:strRef>
              <c:f>Apskritis!$A$11</c:f>
              <c:strCache>
                <c:ptCount val="1"/>
                <c:pt idx="0">
                  <c:v>Rotavirusinis enteritas</c:v>
                </c:pt>
              </c:strCache>
            </c:strRef>
          </c:tx>
          <c:cat>
            <c:numRef>
              <c:f>Apskritis!$F$10:$S$10</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Apskritis!$F$11:$S$11</c:f>
              <c:numCache>
                <c:formatCode>General</c:formatCode>
                <c:ptCount val="14"/>
                <c:pt idx="0">
                  <c:v>5.6</c:v>
                </c:pt>
                <c:pt idx="1">
                  <c:v>6.2</c:v>
                </c:pt>
                <c:pt idx="2">
                  <c:v>8.08</c:v>
                </c:pt>
                <c:pt idx="3">
                  <c:v>6.6599999999999975</c:v>
                </c:pt>
                <c:pt idx="4">
                  <c:v>6.37</c:v>
                </c:pt>
                <c:pt idx="5">
                  <c:v>13.75</c:v>
                </c:pt>
                <c:pt idx="6">
                  <c:v>8.42</c:v>
                </c:pt>
                <c:pt idx="7" formatCode="0.00">
                  <c:v>9.8000000000000007</c:v>
                </c:pt>
                <c:pt idx="8">
                  <c:v>7.85</c:v>
                </c:pt>
                <c:pt idx="9">
                  <c:v>11.7</c:v>
                </c:pt>
                <c:pt idx="10">
                  <c:v>19.5</c:v>
                </c:pt>
                <c:pt idx="11">
                  <c:v>16.7</c:v>
                </c:pt>
                <c:pt idx="12">
                  <c:v>10</c:v>
                </c:pt>
                <c:pt idx="13">
                  <c:v>19</c:v>
                </c:pt>
              </c:numCache>
            </c:numRef>
          </c:val>
          <c:smooth val="0"/>
        </c:ser>
        <c:ser>
          <c:idx val="1"/>
          <c:order val="1"/>
          <c:tx>
            <c:strRef>
              <c:f>Apskritis!$A$12</c:f>
              <c:strCache>
                <c:ptCount val="1"/>
                <c:pt idx="0">
                  <c:v>salmoneliozė</c:v>
                </c:pt>
              </c:strCache>
            </c:strRef>
          </c:tx>
          <c:cat>
            <c:numRef>
              <c:f>Apskritis!$F$10:$S$10</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Apskritis!$F$12:$S$12</c:f>
              <c:numCache>
                <c:formatCode>General</c:formatCode>
                <c:ptCount val="14"/>
                <c:pt idx="0">
                  <c:v>3.6</c:v>
                </c:pt>
                <c:pt idx="1">
                  <c:v>6.3</c:v>
                </c:pt>
                <c:pt idx="2">
                  <c:v>4.5</c:v>
                </c:pt>
                <c:pt idx="3">
                  <c:v>5.6</c:v>
                </c:pt>
                <c:pt idx="4">
                  <c:v>7.8</c:v>
                </c:pt>
                <c:pt idx="5">
                  <c:v>10.4</c:v>
                </c:pt>
                <c:pt idx="6">
                  <c:v>8</c:v>
                </c:pt>
                <c:pt idx="7">
                  <c:v>10.9</c:v>
                </c:pt>
                <c:pt idx="8">
                  <c:v>6.3</c:v>
                </c:pt>
                <c:pt idx="9">
                  <c:v>5.8</c:v>
                </c:pt>
                <c:pt idx="10">
                  <c:v>7.3</c:v>
                </c:pt>
                <c:pt idx="11">
                  <c:v>6.2</c:v>
                </c:pt>
                <c:pt idx="12">
                  <c:v>4.3</c:v>
                </c:pt>
                <c:pt idx="13">
                  <c:v>3.7</c:v>
                </c:pt>
              </c:numCache>
            </c:numRef>
          </c:val>
          <c:smooth val="0"/>
        </c:ser>
        <c:ser>
          <c:idx val="2"/>
          <c:order val="2"/>
          <c:tx>
            <c:strRef>
              <c:f>Apskritis!$A$13</c:f>
              <c:strCache>
                <c:ptCount val="1"/>
                <c:pt idx="0">
                  <c:v>nepatikslintos bakterinės</c:v>
                </c:pt>
              </c:strCache>
            </c:strRef>
          </c:tx>
          <c:cat>
            <c:numRef>
              <c:f>Apskritis!$F$10:$S$10</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Apskritis!$F$13:$S$13</c:f>
              <c:numCache>
                <c:formatCode>General</c:formatCode>
                <c:ptCount val="14"/>
                <c:pt idx="0">
                  <c:v>22.5</c:v>
                </c:pt>
                <c:pt idx="1">
                  <c:v>27.3</c:v>
                </c:pt>
                <c:pt idx="2">
                  <c:v>24.1</c:v>
                </c:pt>
                <c:pt idx="3">
                  <c:v>24.2</c:v>
                </c:pt>
                <c:pt idx="4">
                  <c:v>34.5</c:v>
                </c:pt>
                <c:pt idx="5">
                  <c:v>31.4</c:v>
                </c:pt>
                <c:pt idx="6">
                  <c:v>26.4</c:v>
                </c:pt>
                <c:pt idx="7">
                  <c:v>26.3</c:v>
                </c:pt>
                <c:pt idx="8">
                  <c:v>25.9</c:v>
                </c:pt>
                <c:pt idx="9">
                  <c:v>26.4</c:v>
                </c:pt>
                <c:pt idx="10">
                  <c:v>29.5</c:v>
                </c:pt>
                <c:pt idx="11">
                  <c:v>22.9</c:v>
                </c:pt>
                <c:pt idx="12">
                  <c:v>22.1</c:v>
                </c:pt>
                <c:pt idx="13">
                  <c:v>19.5</c:v>
                </c:pt>
              </c:numCache>
            </c:numRef>
          </c:val>
          <c:smooth val="0"/>
        </c:ser>
        <c:ser>
          <c:idx val="3"/>
          <c:order val="3"/>
          <c:tx>
            <c:strRef>
              <c:f>Apskritis!$A$14</c:f>
              <c:strCache>
                <c:ptCount val="1"/>
                <c:pt idx="0">
                  <c:v>nepatikslintos virusinės</c:v>
                </c:pt>
              </c:strCache>
            </c:strRef>
          </c:tx>
          <c:cat>
            <c:numRef>
              <c:f>Apskritis!$F$10:$S$10</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Apskritis!$F$14:$S$14</c:f>
              <c:numCache>
                <c:formatCode>General</c:formatCode>
                <c:ptCount val="14"/>
                <c:pt idx="0">
                  <c:v>7.6</c:v>
                </c:pt>
                <c:pt idx="1">
                  <c:v>10.8</c:v>
                </c:pt>
                <c:pt idx="2">
                  <c:v>12.9</c:v>
                </c:pt>
                <c:pt idx="3">
                  <c:v>4.2</c:v>
                </c:pt>
                <c:pt idx="4">
                  <c:v>3.4</c:v>
                </c:pt>
                <c:pt idx="5">
                  <c:v>3.8</c:v>
                </c:pt>
                <c:pt idx="6">
                  <c:v>7.2</c:v>
                </c:pt>
                <c:pt idx="7">
                  <c:v>6.8</c:v>
                </c:pt>
                <c:pt idx="8">
                  <c:v>8.5</c:v>
                </c:pt>
                <c:pt idx="9">
                  <c:v>19.2</c:v>
                </c:pt>
                <c:pt idx="10">
                  <c:v>25.9</c:v>
                </c:pt>
                <c:pt idx="11">
                  <c:v>26.9</c:v>
                </c:pt>
                <c:pt idx="12">
                  <c:v>24.2</c:v>
                </c:pt>
                <c:pt idx="13">
                  <c:v>28</c:v>
                </c:pt>
              </c:numCache>
            </c:numRef>
          </c:val>
          <c:smooth val="0"/>
        </c:ser>
        <c:dLbls>
          <c:showLegendKey val="0"/>
          <c:showVal val="0"/>
          <c:showCatName val="0"/>
          <c:showSerName val="0"/>
          <c:showPercent val="0"/>
          <c:showBubbleSize val="0"/>
        </c:dLbls>
        <c:marker val="1"/>
        <c:smooth val="0"/>
        <c:axId val="148439040"/>
        <c:axId val="148440576"/>
      </c:lineChart>
      <c:catAx>
        <c:axId val="148439040"/>
        <c:scaling>
          <c:orientation val="minMax"/>
        </c:scaling>
        <c:delete val="0"/>
        <c:axPos val="b"/>
        <c:numFmt formatCode="General" sourceLinked="1"/>
        <c:majorTickMark val="none"/>
        <c:minorTickMark val="none"/>
        <c:tickLblPos val="nextTo"/>
        <c:txPr>
          <a:bodyPr rot="0" vert="horz"/>
          <a:lstStyle/>
          <a:p>
            <a:pPr>
              <a:defRPr/>
            </a:pPr>
            <a:endParaRPr lang="lt-LT"/>
          </a:p>
        </c:txPr>
        <c:crossAx val="148440576"/>
        <c:crosses val="autoZero"/>
        <c:auto val="1"/>
        <c:lblAlgn val="ctr"/>
        <c:lblOffset val="100"/>
        <c:tickLblSkip val="1"/>
        <c:tickMarkSkip val="1"/>
        <c:noMultiLvlLbl val="0"/>
      </c:catAx>
      <c:valAx>
        <c:axId val="148440576"/>
        <c:scaling>
          <c:orientation val="minMax"/>
        </c:scaling>
        <c:delete val="0"/>
        <c:axPos val="l"/>
        <c:title>
          <c:tx>
            <c:rich>
              <a:bodyPr/>
              <a:lstStyle/>
              <a:p>
                <a:pPr>
                  <a:defRPr/>
                </a:pPr>
                <a:r>
                  <a:rPr lang="lt-LT"/>
                  <a:t>10 000 gyv.</a:t>
                </a:r>
              </a:p>
            </c:rich>
          </c:tx>
          <c:layout>
            <c:manualLayout>
              <c:xMode val="edge"/>
              <c:yMode val="edge"/>
              <c:x val="6.2629763442266506E-2"/>
              <c:y val="0.21340268485622177"/>
            </c:manualLayout>
          </c:layout>
          <c:overlay val="0"/>
        </c:title>
        <c:numFmt formatCode="General" sourceLinked="1"/>
        <c:majorTickMark val="none"/>
        <c:minorTickMark val="none"/>
        <c:tickLblPos val="nextTo"/>
        <c:txPr>
          <a:bodyPr rot="0" vert="horz"/>
          <a:lstStyle/>
          <a:p>
            <a:pPr>
              <a:defRPr/>
            </a:pPr>
            <a:endParaRPr lang="lt-LT"/>
          </a:p>
        </c:txPr>
        <c:crossAx val="14843904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393815259073927"/>
          <c:y val="0.15718788104242901"/>
          <c:w val="0.34982360929315393"/>
          <c:h val="0.55268228036456069"/>
        </c:manualLayout>
      </c:layout>
      <c:radarChart>
        <c:radarStyle val="marker"/>
        <c:varyColors val="0"/>
        <c:ser>
          <c:idx val="0"/>
          <c:order val="0"/>
          <c:tx>
            <c:strRef>
              <c:f>Voratinkl_pagr_ligos!$B$38</c:f>
              <c:strCache>
                <c:ptCount val="1"/>
                <c:pt idx="0">
                  <c:v>Santykis, Kauno m./Lietuva</c:v>
                </c:pt>
              </c:strCache>
            </c:strRef>
          </c:tx>
          <c:spPr>
            <a:ln w="38100">
              <a:solidFill>
                <a:srgbClr val="DD0806"/>
              </a:solidFill>
              <a:prstDash val="solid"/>
            </a:ln>
          </c:spPr>
          <c:marker>
            <c:symbol val="none"/>
          </c:marker>
          <c:dLbls>
            <c:dLbl>
              <c:idx val="0"/>
              <c:layout>
                <c:manualLayout>
                  <c:x val="1.003056294099264E-2"/>
                  <c:y val="6.4113971418799334E-2"/>
                </c:manualLayout>
              </c:layout>
              <c:spPr>
                <a:solidFill>
                  <a:srgbClr val="00B050"/>
                </a:solidFill>
                <a:ln w="25400">
                  <a:noFill/>
                </a:ln>
              </c:spPr>
              <c:txPr>
                <a:bodyPr/>
                <a:lstStyle/>
                <a:p>
                  <a:pPr>
                    <a:defRPr sz="800" b="1" i="0" u="none" strike="noStrike" baseline="0">
                      <a:solidFill>
                        <a:schemeClr val="bg1"/>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1159656550468829E-2"/>
                  <c:y val="5.3290469694233678E-2"/>
                </c:manualLayout>
              </c:layout>
              <c:spPr>
                <a:solidFill>
                  <a:srgbClr val="FFFF00"/>
                </a:solidFill>
                <a:ln w="25400">
                  <a:noFill/>
                </a:ln>
              </c:spPr>
              <c:txPr>
                <a:bodyPr/>
                <a:lstStyle/>
                <a:p>
                  <a:pPr>
                    <a:defRPr sz="800" b="1" i="0" u="none" strike="noStrike" baseline="0">
                      <a:solidFill>
                        <a:sysClr val="windowText" lastClr="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5.5741360089186179E-3"/>
                  <c:y val="2.4048096192384769E-2"/>
                </c:manualLayout>
              </c:layout>
              <c:spPr>
                <a:solidFill>
                  <a:srgbClr val="FFFF00"/>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1181716833890751E-2"/>
                  <c:y val="2.4048096192384721E-2"/>
                </c:manualLayout>
              </c:layout>
              <c:spPr>
                <a:solidFill>
                  <a:srgbClr val="FCF305"/>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4.5104894551497687E-2"/>
                  <c:y val="-2.1961165765538831E-2"/>
                </c:manualLayout>
              </c:layout>
              <c:spPr>
                <a:solidFill>
                  <a:srgbClr val="FFFF00"/>
                </a:solidFill>
                <a:ln w="25400">
                  <a:noFill/>
                </a:ln>
              </c:spPr>
              <c:txPr>
                <a:bodyPr/>
                <a:lstStyle/>
                <a:p>
                  <a:pPr>
                    <a:defRPr sz="800" b="1" i="0" u="none" strike="noStrike" baseline="0">
                      <a:solidFill>
                        <a:sysClr val="windowText" lastClr="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9.3802345058627626E-3"/>
                  <c:y val="-2.2483936251844396E-2"/>
                </c:manualLayout>
              </c:layout>
              <c:spPr>
                <a:solidFill>
                  <a:srgbClr val="00B050"/>
                </a:solidFill>
                <a:ln w="25400">
                  <a:noFill/>
                </a:ln>
              </c:spPr>
              <c:txPr>
                <a:bodyPr/>
                <a:lstStyle/>
                <a:p>
                  <a:pPr>
                    <a:defRPr sz="800" b="1" i="0" u="none" strike="noStrike" baseline="0">
                      <a:solidFill>
                        <a:schemeClr val="bg1"/>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9.9552015928322662E-3"/>
                  <c:y val="-2.8427595808832237E-2"/>
                </c:manualLayout>
              </c:layout>
              <c:spPr>
                <a:solidFill>
                  <a:srgbClr val="00B050"/>
                </a:solidFill>
                <a:ln w="25400">
                  <a:noFill/>
                </a:ln>
              </c:spPr>
              <c:txPr>
                <a:bodyPr/>
                <a:lstStyle/>
                <a:p>
                  <a:pPr>
                    <a:defRPr sz="800" b="1" i="0" u="none" strike="noStrike" baseline="0">
                      <a:solidFill>
                        <a:srgbClr val="FFFFFF"/>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3912211978527896E-3"/>
                  <c:y val="-4.5155280791232232E-2"/>
                </c:manualLayout>
              </c:layout>
              <c:spPr>
                <a:solidFill>
                  <a:srgbClr val="FFFF00"/>
                </a:solidFill>
                <a:ln w="25400">
                  <a:noFill/>
                </a:ln>
              </c:spPr>
              <c:txPr>
                <a:bodyPr/>
                <a:lstStyle/>
                <a:p>
                  <a:pPr>
                    <a:defRPr sz="800" b="1" i="0" u="none" strike="noStrike" baseline="0">
                      <a:solidFill>
                        <a:sysClr val="windowText" lastClr="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1.9960079840319394E-3"/>
                  <c:y val="-6.7732824919042603E-2"/>
                </c:manualLayout>
              </c:layout>
              <c:spPr>
                <a:solidFill>
                  <a:srgbClr val="FFFF00"/>
                </a:solidFill>
                <a:ln w="25400">
                  <a:noFill/>
                </a:ln>
              </c:spPr>
              <c:txPr>
                <a:bodyPr/>
                <a:lstStyle/>
                <a:p>
                  <a:pPr>
                    <a:defRPr sz="800" b="1" i="0" u="none" strike="noStrike" baseline="0">
                      <a:solidFill>
                        <a:sysClr val="windowText" lastClr="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9"/>
              <c:spPr>
                <a:solidFill>
                  <a:srgbClr val="00B050"/>
                </a:solidFill>
                <a:ln w="25400">
                  <a:noFill/>
                </a:ln>
              </c:spPr>
              <c:txPr>
                <a:bodyPr/>
                <a:lstStyle/>
                <a:p>
                  <a:pPr>
                    <a:defRPr sz="800" b="1" i="0" u="none" strike="noStrike" baseline="0">
                      <a:solidFill>
                        <a:srgbClr val="FFFFFF"/>
                      </a:solidFill>
                      <a:latin typeface="Calibri"/>
                      <a:ea typeface="Calibri"/>
                      <a:cs typeface="Calibri"/>
                    </a:defRPr>
                  </a:pPr>
                  <a:endParaRPr lang="lt-LT"/>
                </a:p>
              </c:txPr>
              <c:showLegendKey val="0"/>
              <c:showVal val="1"/>
              <c:showCatName val="0"/>
              <c:showSerName val="0"/>
              <c:showPercent val="0"/>
              <c:showBubbleSize val="0"/>
            </c:dLbl>
            <c:dLbl>
              <c:idx val="10"/>
              <c:spPr>
                <a:solidFill>
                  <a:srgbClr val="00B050"/>
                </a:solidFill>
                <a:ln w="25400">
                  <a:noFill/>
                </a:ln>
              </c:spPr>
              <c:txPr>
                <a:bodyPr/>
                <a:lstStyle/>
                <a:p>
                  <a:pPr>
                    <a:defRPr sz="800" b="1" i="0" u="none" strike="noStrike" baseline="0">
                      <a:solidFill>
                        <a:schemeClr val="bg1"/>
                      </a:solidFill>
                      <a:latin typeface="Calibri"/>
                      <a:ea typeface="Calibri"/>
                      <a:cs typeface="Calibri"/>
                    </a:defRPr>
                  </a:pPr>
                  <a:endParaRPr lang="lt-LT"/>
                </a:p>
              </c:txPr>
              <c:showLegendKey val="0"/>
              <c:showVal val="1"/>
              <c:showCatName val="0"/>
              <c:showSerName val="0"/>
              <c:showPercent val="0"/>
              <c:showBubbleSize val="0"/>
            </c:dLbl>
            <c:dLbl>
              <c:idx val="11"/>
              <c:layout>
                <c:manualLayout>
                  <c:x val="4.1916167664670663E-2"/>
                  <c:y val="0"/>
                </c:manualLayout>
              </c:layout>
              <c:spPr>
                <a:solidFill>
                  <a:srgbClr val="FFFF00"/>
                </a:solidFill>
                <a:ln w="25400">
                  <a:noFill/>
                </a:ln>
              </c:spPr>
              <c:txPr>
                <a:bodyPr/>
                <a:lstStyle/>
                <a:p>
                  <a:pPr>
                    <a:defRPr sz="800" b="1" i="0" u="none" strike="noStrike" baseline="0">
                      <a:solidFill>
                        <a:sysClr val="windowText" lastClr="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9.3802345058626654E-3"/>
                  <c:y val="3.211990893120624E-2"/>
                </c:manualLayout>
              </c:layout>
              <c:spPr>
                <a:solidFill>
                  <a:srgbClr val="FFFF00"/>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3"/>
              <c:spPr>
                <a:solidFill>
                  <a:srgbClr val="FFFF00"/>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dLbl>
            <c:spPr>
              <a:solidFill>
                <a:srgbClr val="FFFFFF"/>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Voratinkl_pagr_ligos!$C$37:$P$37</c:f>
              <c:strCache>
                <c:ptCount val="14"/>
                <c:pt idx="0">
                  <c:v>Mirtingumas 100000 gyv.</c:v>
                </c:pt>
                <c:pt idx="1">
                  <c:v>Pėsčiųjų mirtingumas dėl transporto įvykių (V00-V08) 100000 gyv.</c:v>
                </c:pt>
                <c:pt idx="2">
                  <c:v>Mirusiųjų nuo piktybinių navikų sk. (C00-C97) 100000 gyv.</c:v>
                </c:pt>
                <c:pt idx="3">
                  <c:v>Mirusiųjų nuo kraujotakos sistemos ligų sk. (I00-I99) 100000 gyv</c:v>
                </c:pt>
                <c:pt idx="4">
                  <c:v>Mirusiųjų nuo išeminės širdies ligos sk. (I20-I25) 100000 gyv.</c:v>
                </c:pt>
                <c:pt idx="5">
                  <c:v>Mirusiųjų nuo cerebrovaskulinių ligų sk. (I60-I69) 100000 gyv.</c:v>
                </c:pt>
                <c:pt idx="6">
                  <c:v>Mirusiųjų dėl išorinių priežasčių sk. (V01-Y98) 100000 gyv.</c:v>
                </c:pt>
                <c:pt idx="7">
                  <c:v>Mirusiųjų transporto įvykiuose sk. (V01-V99) 100000 gyv.</c:v>
                </c:pt>
                <c:pt idx="8">
                  <c:v>Mirusiųjų dėl nukritimų sk. (W00-W19) 100000 gyv.</c:v>
                </c:pt>
                <c:pt idx="9">
                  <c:v>Mirusiųjų dėl atsitiktinių paskendimų sk. (W65-W74) 100000 gyv.</c:v>
                </c:pt>
                <c:pt idx="10">
                  <c:v>Mirusiųjų dėl natūralaus šalčio poveikio sk. (X31) 100000 gyv.</c:v>
                </c:pt>
                <c:pt idx="11">
                  <c:v>Savižudybių skaičius (X60-X84) 100000 gyv.</c:v>
                </c:pt>
                <c:pt idx="12">
                  <c:v>Mirusiųjų nuo alkoholio sąlygotų priežasčių sk. 100000 gyv.</c:v>
                </c:pt>
                <c:pt idx="13">
                  <c:v>Mirusiųjų nuo narkotikų sąlygotų priežasčių sk. 100000 gyv.</c:v>
                </c:pt>
              </c:strCache>
            </c:strRef>
          </c:cat>
          <c:val>
            <c:numRef>
              <c:f>Voratinkl_pagr_ligos!$C$38:$P$38</c:f>
              <c:numCache>
                <c:formatCode>0.00</c:formatCode>
                <c:ptCount val="14"/>
                <c:pt idx="0">
                  <c:v>0.8750366676444713</c:v>
                </c:pt>
                <c:pt idx="1">
                  <c:v>1.0767441860465121</c:v>
                </c:pt>
                <c:pt idx="2">
                  <c:v>0.958301880010065</c:v>
                </c:pt>
                <c:pt idx="3">
                  <c:v>0.87589234634231283</c:v>
                </c:pt>
                <c:pt idx="4">
                  <c:v>0.90252302163659504</c:v>
                </c:pt>
                <c:pt idx="5">
                  <c:v>0.6800611932687407</c:v>
                </c:pt>
                <c:pt idx="6">
                  <c:v>0.78306878306878303</c:v>
                </c:pt>
                <c:pt idx="7">
                  <c:v>0.75638686131386845</c:v>
                </c:pt>
                <c:pt idx="8">
                  <c:v>0.76055194805194759</c:v>
                </c:pt>
                <c:pt idx="9">
                  <c:v>0.46794871794871817</c:v>
                </c:pt>
                <c:pt idx="10">
                  <c:v>0.5429447852760737</c:v>
                </c:pt>
                <c:pt idx="11">
                  <c:v>0.77917981072555298</c:v>
                </c:pt>
                <c:pt idx="12">
                  <c:v>0.79226305609284331</c:v>
                </c:pt>
                <c:pt idx="13">
                  <c:v>0.90410958904109551</c:v>
                </c:pt>
              </c:numCache>
            </c:numRef>
          </c:val>
        </c:ser>
        <c:ser>
          <c:idx val="1"/>
          <c:order val="1"/>
          <c:tx>
            <c:strRef>
              <c:f>Voratinkl_pagr_ligos!$B$39</c:f>
              <c:strCache>
                <c:ptCount val="1"/>
                <c:pt idx="0">
                  <c:v>Lietuvos vidurkis = 1</c:v>
                </c:pt>
              </c:strCache>
            </c:strRef>
          </c:tx>
          <c:spPr>
            <a:ln w="38100">
              <a:solidFill>
                <a:srgbClr val="003366"/>
              </a:solidFill>
              <a:prstDash val="solid"/>
            </a:ln>
          </c:spPr>
          <c:marker>
            <c:symbol val="none"/>
          </c:marker>
          <c:cat>
            <c:strRef>
              <c:f>Voratinkl_pagr_ligos!$C$37:$P$37</c:f>
              <c:strCache>
                <c:ptCount val="14"/>
                <c:pt idx="0">
                  <c:v>Mirtingumas 100000 gyv.</c:v>
                </c:pt>
                <c:pt idx="1">
                  <c:v>Pėsčiųjų mirtingumas dėl transporto įvykių (V00-V08) 100000 gyv.</c:v>
                </c:pt>
                <c:pt idx="2">
                  <c:v>Mirusiųjų nuo piktybinių navikų sk. (C00-C97) 100000 gyv.</c:v>
                </c:pt>
                <c:pt idx="3">
                  <c:v>Mirusiųjų nuo kraujotakos sistemos ligų sk. (I00-I99) 100000 gyv</c:v>
                </c:pt>
                <c:pt idx="4">
                  <c:v>Mirusiųjų nuo išeminės širdies ligos sk. (I20-I25) 100000 gyv.</c:v>
                </c:pt>
                <c:pt idx="5">
                  <c:v>Mirusiųjų nuo cerebrovaskulinių ligų sk. (I60-I69) 100000 gyv.</c:v>
                </c:pt>
                <c:pt idx="6">
                  <c:v>Mirusiųjų dėl išorinių priežasčių sk. (V01-Y98) 100000 gyv.</c:v>
                </c:pt>
                <c:pt idx="7">
                  <c:v>Mirusiųjų transporto įvykiuose sk. (V01-V99) 100000 gyv.</c:v>
                </c:pt>
                <c:pt idx="8">
                  <c:v>Mirusiųjų dėl nukritimų sk. (W00-W19) 100000 gyv.</c:v>
                </c:pt>
                <c:pt idx="9">
                  <c:v>Mirusiųjų dėl atsitiktinių paskendimų sk. (W65-W74) 100000 gyv.</c:v>
                </c:pt>
                <c:pt idx="10">
                  <c:v>Mirusiųjų dėl natūralaus šalčio poveikio sk. (X31) 100000 gyv.</c:v>
                </c:pt>
                <c:pt idx="11">
                  <c:v>Savižudybių skaičius (X60-X84) 100000 gyv.</c:v>
                </c:pt>
                <c:pt idx="12">
                  <c:v>Mirusiųjų nuo alkoholio sąlygotų priežasčių sk. 100000 gyv.</c:v>
                </c:pt>
                <c:pt idx="13">
                  <c:v>Mirusiųjų nuo narkotikų sąlygotų priežasčių sk. 100000 gyv.</c:v>
                </c:pt>
              </c:strCache>
            </c:strRef>
          </c:cat>
          <c:val>
            <c:numRef>
              <c:f>Voratinkl_pagr_ligos!$C$39:$P$39</c:f>
              <c:numCache>
                <c:formatCode>0.00</c:formatCode>
                <c:ptCount val="14"/>
                <c:pt idx="0">
                  <c:v>1</c:v>
                </c:pt>
                <c:pt idx="1">
                  <c:v>1</c:v>
                </c:pt>
                <c:pt idx="2">
                  <c:v>1</c:v>
                </c:pt>
                <c:pt idx="3">
                  <c:v>1</c:v>
                </c:pt>
                <c:pt idx="4">
                  <c:v>1</c:v>
                </c:pt>
                <c:pt idx="5">
                  <c:v>1</c:v>
                </c:pt>
                <c:pt idx="6">
                  <c:v>1</c:v>
                </c:pt>
                <c:pt idx="7">
                  <c:v>1</c:v>
                </c:pt>
                <c:pt idx="8">
                  <c:v>1</c:v>
                </c:pt>
                <c:pt idx="9">
                  <c:v>1</c:v>
                </c:pt>
                <c:pt idx="10">
                  <c:v>1</c:v>
                </c:pt>
                <c:pt idx="11">
                  <c:v>1</c:v>
                </c:pt>
                <c:pt idx="12">
                  <c:v>1</c:v>
                </c:pt>
                <c:pt idx="13">
                  <c:v>1</c:v>
                </c:pt>
              </c:numCache>
            </c:numRef>
          </c:val>
        </c:ser>
        <c:dLbls>
          <c:showLegendKey val="0"/>
          <c:showVal val="0"/>
          <c:showCatName val="0"/>
          <c:showSerName val="0"/>
          <c:showPercent val="0"/>
          <c:showBubbleSize val="0"/>
        </c:dLbls>
        <c:axId val="145469824"/>
        <c:axId val="145471360"/>
      </c:radarChart>
      <c:catAx>
        <c:axId val="145469824"/>
        <c:scaling>
          <c:orientation val="minMax"/>
        </c:scaling>
        <c:delete val="0"/>
        <c:axPos val="b"/>
        <c:majorGridlines>
          <c:spPr>
            <a:ln w="3175">
              <a:solidFill>
                <a:srgbClr val="808080"/>
              </a:solidFill>
              <a:prstDash val="solid"/>
            </a:ln>
          </c:spPr>
        </c:majorGridlines>
        <c:numFmt formatCode="General" sourceLinked="1"/>
        <c:majorTickMark val="out"/>
        <c:minorTickMark val="none"/>
        <c:tickLblPos val="nextTo"/>
        <c:txPr>
          <a:bodyPr rot="0" vert="horz"/>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crossAx val="145471360"/>
        <c:crosses val="autoZero"/>
        <c:auto val="0"/>
        <c:lblAlgn val="ctr"/>
        <c:lblOffset val="100"/>
        <c:noMultiLvlLbl val="0"/>
      </c:catAx>
      <c:valAx>
        <c:axId val="145471360"/>
        <c:scaling>
          <c:orientation val="minMax"/>
        </c:scaling>
        <c:delete val="0"/>
        <c:axPos val="l"/>
        <c:majorGridlines>
          <c:spPr>
            <a:ln w="3175">
              <a:solidFill>
                <a:srgbClr val="808080"/>
              </a:solidFill>
              <a:prstDash val="solid"/>
            </a:ln>
          </c:spPr>
        </c:majorGridlines>
        <c:numFmt formatCode="0.00" sourceLinked="1"/>
        <c:majorTickMark val="cross"/>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lt-LT"/>
          </a:p>
        </c:txPr>
        <c:crossAx val="145469824"/>
        <c:crosses val="autoZero"/>
        <c:crossBetween val="between"/>
      </c:valAx>
      <c:spPr>
        <a:solidFill>
          <a:srgbClr val="FFFFFF"/>
        </a:solidFill>
        <a:ln w="25400">
          <a:noFill/>
        </a:ln>
      </c:spPr>
    </c:plotArea>
    <c:legend>
      <c:legendPos val="r"/>
      <c:layout>
        <c:manualLayout>
          <c:xMode val="edge"/>
          <c:yMode val="edge"/>
          <c:x val="0.28944723882758805"/>
          <c:y val="0.83038914530205898"/>
          <c:w val="0.39899498766667607"/>
          <c:h val="0.10346451526236386"/>
        </c:manualLayout>
      </c:layout>
      <c:overlay val="0"/>
      <c:spPr>
        <a:noFill/>
        <a:ln w="25400">
          <a:noFill/>
        </a:ln>
      </c:spPr>
      <c:txPr>
        <a:bodyPr/>
        <a:lstStyle/>
        <a:p>
          <a:pPr>
            <a:defRPr sz="845"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legend>
    <c:plotVisOnly val="1"/>
    <c:dispBlanksAs val="gap"/>
    <c:showDLblsOverMax val="0"/>
  </c:chart>
  <c:spPr>
    <a:noFill/>
    <a:ln w="3175">
      <a:noFill/>
      <a:prstDash val="solid"/>
    </a:ln>
  </c:spPr>
  <c:txPr>
    <a:bodyPr/>
    <a:lstStyle/>
    <a:p>
      <a:pPr>
        <a:defRPr sz="1000" b="0" i="0" u="none" strike="noStrike" baseline="0">
          <a:solidFill>
            <a:srgbClr val="000000"/>
          </a:solidFill>
          <a:latin typeface="Calibri"/>
          <a:ea typeface="Calibri"/>
          <a:cs typeface="Calibri"/>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1704598846440492"/>
          <c:y val="5.6132416249390318E-2"/>
          <c:w val="0.57132849713230294"/>
          <c:h val="0.69380024230831894"/>
        </c:manualLayout>
      </c:layout>
      <c:lineChart>
        <c:grouping val="standard"/>
        <c:varyColors val="0"/>
        <c:ser>
          <c:idx val="0"/>
          <c:order val="0"/>
          <c:tx>
            <c:strRef>
              <c:f>Sheet1!$A$4</c:f>
              <c:strCache>
                <c:ptCount val="1"/>
                <c:pt idx="0">
                  <c:v>Lietuva</c:v>
                </c:pt>
              </c:strCache>
            </c:strRef>
          </c:tx>
          <c:dLbls>
            <c:dLbl>
              <c:idx val="1"/>
              <c:layout>
                <c:manualLayout>
                  <c:x val="-2.5000000000000001E-2"/>
                  <c:y val="-3.24074074074074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444444444444488E-2"/>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66666666666672E-2"/>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444444444444564E-2"/>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7222222222222263E-2"/>
                  <c:y val="3.70370370370371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Sheet1!$B$3:$H$3</c:f>
              <c:numCache>
                <c:formatCode>General</c:formatCode>
                <c:ptCount val="7"/>
                <c:pt idx="0">
                  <c:v>2008</c:v>
                </c:pt>
                <c:pt idx="1">
                  <c:v>2009</c:v>
                </c:pt>
                <c:pt idx="2">
                  <c:v>2010</c:v>
                </c:pt>
                <c:pt idx="3">
                  <c:v>2011</c:v>
                </c:pt>
                <c:pt idx="4">
                  <c:v>2012</c:v>
                </c:pt>
                <c:pt idx="5">
                  <c:v>2013</c:v>
                </c:pt>
                <c:pt idx="6">
                  <c:v>2014</c:v>
                </c:pt>
              </c:numCache>
            </c:numRef>
          </c:cat>
          <c:val>
            <c:numRef>
              <c:f>Sheet1!$B$4:$H$4</c:f>
              <c:numCache>
                <c:formatCode>General</c:formatCode>
                <c:ptCount val="7"/>
                <c:pt idx="0">
                  <c:v>13.68</c:v>
                </c:pt>
                <c:pt idx="1">
                  <c:v>9.44</c:v>
                </c:pt>
                <c:pt idx="2">
                  <c:v>8.0500000000000007</c:v>
                </c:pt>
                <c:pt idx="3">
                  <c:v>8.77</c:v>
                </c:pt>
                <c:pt idx="4">
                  <c:v>8.61</c:v>
                </c:pt>
                <c:pt idx="5">
                  <c:v>9.24</c:v>
                </c:pt>
                <c:pt idx="6">
                  <c:v>8.49</c:v>
                </c:pt>
              </c:numCache>
            </c:numRef>
          </c:val>
          <c:smooth val="0"/>
        </c:ser>
        <c:ser>
          <c:idx val="1"/>
          <c:order val="1"/>
          <c:tx>
            <c:strRef>
              <c:f>Sheet1!$A$5</c:f>
              <c:strCache>
                <c:ptCount val="1"/>
                <c:pt idx="0">
                  <c:v>Kauno miesto sav.</c:v>
                </c:pt>
              </c:strCache>
            </c:strRef>
          </c:tx>
          <c:dLbls>
            <c:dLbl>
              <c:idx val="0"/>
              <c:layout>
                <c:manualLayout>
                  <c:x val="-4.722222222222229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722222222222229E-2"/>
                  <c:y val="1.38888888888889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4E-2"/>
                  <c:y val="-3.24074074074074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6111111111111191E-2"/>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333333333333381E-2"/>
                  <c:y val="3.240740740740743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666666666666664E-2"/>
                  <c:y val="-2.77777777777778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Sheet1!$B$3:$H$3</c:f>
              <c:numCache>
                <c:formatCode>General</c:formatCode>
                <c:ptCount val="7"/>
                <c:pt idx="0">
                  <c:v>2008</c:v>
                </c:pt>
                <c:pt idx="1">
                  <c:v>2009</c:v>
                </c:pt>
                <c:pt idx="2">
                  <c:v>2010</c:v>
                </c:pt>
                <c:pt idx="3">
                  <c:v>2011</c:v>
                </c:pt>
                <c:pt idx="4">
                  <c:v>2012</c:v>
                </c:pt>
                <c:pt idx="5">
                  <c:v>2013</c:v>
                </c:pt>
                <c:pt idx="6">
                  <c:v>2014</c:v>
                </c:pt>
              </c:numCache>
            </c:numRef>
          </c:cat>
          <c:val>
            <c:numRef>
              <c:f>Sheet1!$B$5:$H$5</c:f>
              <c:numCache>
                <c:formatCode>General</c:formatCode>
                <c:ptCount val="7"/>
                <c:pt idx="0">
                  <c:v>12.18</c:v>
                </c:pt>
                <c:pt idx="1">
                  <c:v>8.83</c:v>
                </c:pt>
                <c:pt idx="2">
                  <c:v>9.18</c:v>
                </c:pt>
                <c:pt idx="3">
                  <c:v>7.59</c:v>
                </c:pt>
                <c:pt idx="4">
                  <c:v>8.43</c:v>
                </c:pt>
                <c:pt idx="5">
                  <c:v>9.59</c:v>
                </c:pt>
                <c:pt idx="6">
                  <c:v>6.6599999999999975</c:v>
                </c:pt>
              </c:numCache>
            </c:numRef>
          </c:val>
          <c:smooth val="0"/>
        </c:ser>
        <c:dLbls>
          <c:showLegendKey val="0"/>
          <c:showVal val="0"/>
          <c:showCatName val="0"/>
          <c:showSerName val="0"/>
          <c:showPercent val="0"/>
          <c:showBubbleSize val="0"/>
        </c:dLbls>
        <c:marker val="1"/>
        <c:smooth val="0"/>
        <c:axId val="145480704"/>
        <c:axId val="146027648"/>
      </c:lineChart>
      <c:catAx>
        <c:axId val="145480704"/>
        <c:scaling>
          <c:orientation val="minMax"/>
        </c:scaling>
        <c:delete val="0"/>
        <c:axPos val="b"/>
        <c:title>
          <c:tx>
            <c:rich>
              <a:bodyPr/>
              <a:lstStyle/>
              <a:p>
                <a:pPr>
                  <a:defRPr/>
                </a:pPr>
                <a:r>
                  <a:rPr lang="en-US"/>
                  <a:t>Metai</a:t>
                </a:r>
              </a:p>
            </c:rich>
          </c:tx>
          <c:overlay val="0"/>
        </c:title>
        <c:numFmt formatCode="General" sourceLinked="1"/>
        <c:majorTickMark val="out"/>
        <c:minorTickMark val="none"/>
        <c:tickLblPos val="nextTo"/>
        <c:crossAx val="146027648"/>
        <c:crosses val="autoZero"/>
        <c:auto val="1"/>
        <c:lblAlgn val="ctr"/>
        <c:lblOffset val="100"/>
        <c:noMultiLvlLbl val="0"/>
      </c:catAx>
      <c:valAx>
        <c:axId val="146027648"/>
        <c:scaling>
          <c:orientation val="minMax"/>
        </c:scaling>
        <c:delete val="0"/>
        <c:axPos val="l"/>
        <c:majorGridlines>
          <c:spPr>
            <a:ln>
              <a:noFill/>
            </a:ln>
          </c:spPr>
        </c:majorGridlines>
        <c:title>
          <c:tx>
            <c:rich>
              <a:bodyPr rot="-5400000" vert="horz"/>
              <a:lstStyle/>
              <a:p>
                <a:pPr>
                  <a:defRPr/>
                </a:pPr>
                <a:r>
                  <a:rPr lang="en-US"/>
                  <a:t>100 000 gyv.</a:t>
                </a:r>
              </a:p>
            </c:rich>
          </c:tx>
          <c:overlay val="0"/>
        </c:title>
        <c:numFmt formatCode="General" sourceLinked="1"/>
        <c:majorTickMark val="out"/>
        <c:minorTickMark val="none"/>
        <c:tickLblPos val="nextTo"/>
        <c:crossAx val="145480704"/>
        <c:crosses val="autoZero"/>
        <c:crossBetween val="between"/>
      </c:valAx>
    </c:plotArea>
    <c:legend>
      <c:legendPos val="r"/>
      <c:layout>
        <c:manualLayout>
          <c:xMode val="edge"/>
          <c:yMode val="edge"/>
          <c:x val="0.72433273488928751"/>
          <c:y val="8.8527189134915224E-2"/>
          <c:w val="0.26130460801915045"/>
          <c:h val="0.3548602058974442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153838328348525"/>
          <c:y val="4.8855972211394372E-2"/>
          <c:w val="0.70753775102739047"/>
          <c:h val="0.72435331722148633"/>
        </c:manualLayout>
      </c:layout>
      <c:lineChart>
        <c:grouping val="standard"/>
        <c:varyColors val="0"/>
        <c:ser>
          <c:idx val="0"/>
          <c:order val="0"/>
          <c:tx>
            <c:strRef>
              <c:f>Sheet1!$A$10</c:f>
              <c:strCache>
                <c:ptCount val="1"/>
                <c:pt idx="0">
                  <c:v>Kauno miesto sav.</c:v>
                </c:pt>
              </c:strCache>
            </c:strRef>
          </c:tx>
          <c:cat>
            <c:strRef>
              <c:f>Sheet1!$B$9:$E$9</c:f>
              <c:strCache>
                <c:ptCount val="4"/>
                <c:pt idx="0">
                  <c:v>0-17 m.</c:v>
                </c:pt>
                <c:pt idx="1">
                  <c:v>18-44 m.</c:v>
                </c:pt>
                <c:pt idx="2">
                  <c:v>45-64 m.</c:v>
                </c:pt>
                <c:pt idx="3">
                  <c:v>65+ m.</c:v>
                </c:pt>
              </c:strCache>
            </c:strRef>
          </c:cat>
          <c:val>
            <c:numRef>
              <c:f>Sheet1!$B$10:$E$10</c:f>
              <c:numCache>
                <c:formatCode>General</c:formatCode>
                <c:ptCount val="4"/>
                <c:pt idx="0">
                  <c:v>1.9200000000000008</c:v>
                </c:pt>
                <c:pt idx="1">
                  <c:v>0.9</c:v>
                </c:pt>
                <c:pt idx="2">
                  <c:v>12.46</c:v>
                </c:pt>
                <c:pt idx="3">
                  <c:v>28.43</c:v>
                </c:pt>
              </c:numCache>
            </c:numRef>
          </c:val>
          <c:smooth val="0"/>
        </c:ser>
        <c:ser>
          <c:idx val="1"/>
          <c:order val="1"/>
          <c:tx>
            <c:strRef>
              <c:f>Sheet1!$A$11</c:f>
              <c:strCache>
                <c:ptCount val="1"/>
                <c:pt idx="0">
                  <c:v>Lietuva</c:v>
                </c:pt>
              </c:strCache>
            </c:strRef>
          </c:tx>
          <c:cat>
            <c:strRef>
              <c:f>Sheet1!$B$9:$E$9</c:f>
              <c:strCache>
                <c:ptCount val="4"/>
                <c:pt idx="0">
                  <c:v>0-17 m.</c:v>
                </c:pt>
                <c:pt idx="1">
                  <c:v>18-44 m.</c:v>
                </c:pt>
                <c:pt idx="2">
                  <c:v>45-64 m.</c:v>
                </c:pt>
                <c:pt idx="3">
                  <c:v>65+ m.</c:v>
                </c:pt>
              </c:strCache>
            </c:strRef>
          </c:cat>
          <c:val>
            <c:numRef>
              <c:f>Sheet1!$B$11:$E$11</c:f>
              <c:numCache>
                <c:formatCode>General</c:formatCode>
                <c:ptCount val="4"/>
                <c:pt idx="0">
                  <c:v>0.76000000000000045</c:v>
                </c:pt>
                <c:pt idx="1">
                  <c:v>3.46</c:v>
                </c:pt>
                <c:pt idx="2">
                  <c:v>13.07</c:v>
                </c:pt>
                <c:pt idx="3">
                  <c:v>37.620000000000012</c:v>
                </c:pt>
              </c:numCache>
            </c:numRef>
          </c:val>
          <c:smooth val="0"/>
        </c:ser>
        <c:dLbls>
          <c:showLegendKey val="0"/>
          <c:showVal val="0"/>
          <c:showCatName val="0"/>
          <c:showSerName val="0"/>
          <c:showPercent val="0"/>
          <c:showBubbleSize val="0"/>
        </c:dLbls>
        <c:marker val="1"/>
        <c:smooth val="0"/>
        <c:axId val="146044800"/>
        <c:axId val="146046336"/>
      </c:lineChart>
      <c:catAx>
        <c:axId val="146044800"/>
        <c:scaling>
          <c:orientation val="minMax"/>
        </c:scaling>
        <c:delete val="0"/>
        <c:axPos val="b"/>
        <c:numFmt formatCode="General" sourceLinked="0"/>
        <c:majorTickMark val="none"/>
        <c:minorTickMark val="none"/>
        <c:tickLblPos val="nextTo"/>
        <c:crossAx val="146046336"/>
        <c:crosses val="autoZero"/>
        <c:auto val="1"/>
        <c:lblAlgn val="ctr"/>
        <c:lblOffset val="100"/>
        <c:noMultiLvlLbl val="0"/>
      </c:catAx>
      <c:valAx>
        <c:axId val="146046336"/>
        <c:scaling>
          <c:orientation val="minMax"/>
        </c:scaling>
        <c:delete val="0"/>
        <c:axPos val="l"/>
        <c:majorGridlines>
          <c:spPr>
            <a:ln>
              <a:noFill/>
            </a:ln>
          </c:spPr>
        </c:majorGridlines>
        <c:title>
          <c:tx>
            <c:rich>
              <a:bodyPr/>
              <a:lstStyle/>
              <a:p>
                <a:pPr>
                  <a:defRPr/>
                </a:pPr>
                <a:r>
                  <a:rPr lang="en-US"/>
                  <a:t>100 000 gyv.</a:t>
                </a:r>
              </a:p>
            </c:rich>
          </c:tx>
          <c:layout>
            <c:manualLayout>
              <c:xMode val="edge"/>
              <c:yMode val="edge"/>
              <c:x val="0.18087855297157618"/>
              <c:y val="0.31752327988704443"/>
            </c:manualLayout>
          </c:layout>
          <c:overlay val="0"/>
        </c:title>
        <c:numFmt formatCode="General" sourceLinked="1"/>
        <c:majorTickMark val="none"/>
        <c:minorTickMark val="none"/>
        <c:tickLblPos val="nextTo"/>
        <c:crossAx val="14604480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Report!$B$43</c:f>
              <c:strCache>
                <c:ptCount val="1"/>
                <c:pt idx="0">
                  <c:v>Vyrai</c:v>
                </c:pt>
              </c:strCache>
            </c:strRef>
          </c:tx>
          <c:dLbls>
            <c:dLbl>
              <c:idx val="0"/>
              <c:layout>
                <c:manualLayout>
                  <c:x val="-4.7222222222222263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67E-3"/>
                  <c:y val="-9.259259259259274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67E-3"/>
                  <c:y val="4.2437781360066833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Report!$C$42:$F$42</c:f>
              <c:numCache>
                <c:formatCode>General</c:formatCode>
                <c:ptCount val="4"/>
                <c:pt idx="0">
                  <c:v>2011</c:v>
                </c:pt>
                <c:pt idx="1">
                  <c:v>2012</c:v>
                </c:pt>
                <c:pt idx="2">
                  <c:v>2013</c:v>
                </c:pt>
                <c:pt idx="3">
                  <c:v>2014</c:v>
                </c:pt>
              </c:numCache>
            </c:numRef>
          </c:cat>
          <c:val>
            <c:numRef>
              <c:f>Report!$C$43:$F$43</c:f>
              <c:numCache>
                <c:formatCode>General</c:formatCode>
                <c:ptCount val="4"/>
                <c:pt idx="0">
                  <c:v>63.6</c:v>
                </c:pt>
                <c:pt idx="1">
                  <c:v>63.5</c:v>
                </c:pt>
                <c:pt idx="2">
                  <c:v>93.9</c:v>
                </c:pt>
                <c:pt idx="3">
                  <c:v>58.5</c:v>
                </c:pt>
              </c:numCache>
            </c:numRef>
          </c:val>
          <c:smooth val="0"/>
        </c:ser>
        <c:ser>
          <c:idx val="1"/>
          <c:order val="1"/>
          <c:tx>
            <c:strRef>
              <c:f>Report!$B$44</c:f>
              <c:strCache>
                <c:ptCount val="1"/>
                <c:pt idx="0">
                  <c:v>Moterys</c:v>
                </c:pt>
              </c:strCache>
            </c:strRef>
          </c:tx>
          <c:dLbls>
            <c:dLbl>
              <c:idx val="0"/>
              <c:layout>
                <c:manualLayout>
                  <c:x val="-2.7777777777777821E-2"/>
                  <c:y val="-5.55555555555555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67E-3"/>
                  <c:y val="-2.77777777777779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Report!$C$42:$F$42</c:f>
              <c:numCache>
                <c:formatCode>General</c:formatCode>
                <c:ptCount val="4"/>
                <c:pt idx="0">
                  <c:v>2011</c:v>
                </c:pt>
                <c:pt idx="1">
                  <c:v>2012</c:v>
                </c:pt>
                <c:pt idx="2">
                  <c:v>2013</c:v>
                </c:pt>
                <c:pt idx="3">
                  <c:v>2014</c:v>
                </c:pt>
              </c:numCache>
            </c:numRef>
          </c:cat>
          <c:val>
            <c:numRef>
              <c:f>Report!$C$44:$F$44</c:f>
              <c:numCache>
                <c:formatCode>General</c:formatCode>
                <c:ptCount val="4"/>
                <c:pt idx="0">
                  <c:v>24.6</c:v>
                </c:pt>
                <c:pt idx="1">
                  <c:v>20.3</c:v>
                </c:pt>
                <c:pt idx="2">
                  <c:v>10</c:v>
                </c:pt>
                <c:pt idx="3">
                  <c:v>14.8</c:v>
                </c:pt>
              </c:numCache>
            </c:numRef>
          </c:val>
          <c:smooth val="0"/>
        </c:ser>
        <c:dLbls>
          <c:showLegendKey val="0"/>
          <c:showVal val="0"/>
          <c:showCatName val="0"/>
          <c:showSerName val="0"/>
          <c:showPercent val="0"/>
          <c:showBubbleSize val="0"/>
        </c:dLbls>
        <c:marker val="1"/>
        <c:smooth val="0"/>
        <c:axId val="146069760"/>
        <c:axId val="146350464"/>
      </c:lineChart>
      <c:catAx>
        <c:axId val="146069760"/>
        <c:scaling>
          <c:orientation val="minMax"/>
        </c:scaling>
        <c:delete val="0"/>
        <c:axPos val="b"/>
        <c:title>
          <c:tx>
            <c:rich>
              <a:bodyPr/>
              <a:lstStyle/>
              <a:p>
                <a:pPr>
                  <a:defRPr/>
                </a:pPr>
                <a:r>
                  <a:rPr lang="en-US"/>
                  <a:t>Metai</a:t>
                </a:r>
              </a:p>
            </c:rich>
          </c:tx>
          <c:overlay val="0"/>
        </c:title>
        <c:numFmt formatCode="General" sourceLinked="1"/>
        <c:majorTickMark val="out"/>
        <c:minorTickMark val="none"/>
        <c:tickLblPos val="nextTo"/>
        <c:crossAx val="146350464"/>
        <c:crosses val="autoZero"/>
        <c:auto val="1"/>
        <c:lblAlgn val="ctr"/>
        <c:lblOffset val="100"/>
        <c:noMultiLvlLbl val="0"/>
      </c:catAx>
      <c:valAx>
        <c:axId val="146350464"/>
        <c:scaling>
          <c:orientation val="minMax"/>
        </c:scaling>
        <c:delete val="0"/>
        <c:axPos val="l"/>
        <c:majorGridlines>
          <c:spPr>
            <a:ln>
              <a:noFill/>
            </a:ln>
          </c:spPr>
        </c:majorGridlines>
        <c:title>
          <c:tx>
            <c:rich>
              <a:bodyPr rot="-5400000" vert="horz"/>
              <a:lstStyle/>
              <a:p>
                <a:pPr>
                  <a:defRPr/>
                </a:pPr>
                <a:r>
                  <a:rPr lang="en-US"/>
                  <a:t>100 000 gyv.</a:t>
                </a:r>
              </a:p>
            </c:rich>
          </c:tx>
          <c:overlay val="0"/>
        </c:title>
        <c:numFmt formatCode="General" sourceLinked="1"/>
        <c:majorTickMark val="out"/>
        <c:minorTickMark val="none"/>
        <c:tickLblPos val="nextTo"/>
        <c:crossAx val="146069760"/>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513364545648025"/>
          <c:y val="0.10185185185185186"/>
          <c:w val="0.5162387553171045"/>
          <c:h val="0.78545251885293554"/>
        </c:manualLayout>
      </c:layout>
      <c:pie3DChart>
        <c:varyColors val="1"/>
        <c:ser>
          <c:idx val="0"/>
          <c:order val="0"/>
          <c:explosion val="25"/>
          <c:dLbls>
            <c:dLbl>
              <c:idx val="0"/>
              <c:layout>
                <c:manualLayout>
                  <c:x val="-0.1211750163560054"/>
                  <c:y val="-0.37394354219552478"/>
                </c:manualLayout>
              </c:layout>
              <c:tx>
                <c:rich>
                  <a:bodyPr/>
                  <a:lstStyle/>
                  <a:p>
                    <a:r>
                      <a:rPr lang="en-US">
                        <a:latin typeface="Times New Roman" pitchFamily="18" charset="0"/>
                        <a:cs typeface="Times New Roman" pitchFamily="18" charset="0"/>
                      </a:rPr>
                      <a:t>65%</a:t>
                    </a:r>
                  </a:p>
                </c:rich>
              </c:tx>
              <c:showLegendKey val="0"/>
              <c:showVal val="1"/>
              <c:showCatName val="0"/>
              <c:showSerName val="0"/>
              <c:showPercent val="1"/>
              <c:showBubbleSize val="0"/>
              <c:extLst>
                <c:ext xmlns:c15="http://schemas.microsoft.com/office/drawing/2012/chart" uri="{CE6537A1-D6FC-4f65-9D91-7224C49458BB}"/>
              </c:extLst>
            </c:dLbl>
            <c:dLbl>
              <c:idx val="1"/>
              <c:layout>
                <c:manualLayout>
                  <c:x val="3.0344527092216241E-3"/>
                  <c:y val="-3.1109288422280581E-2"/>
                </c:manualLayout>
              </c:layout>
              <c:tx>
                <c:rich>
                  <a:bodyPr/>
                  <a:lstStyle/>
                  <a:p>
                    <a:r>
                      <a:rPr lang="en-US">
                        <a:latin typeface="Times New Roman" pitchFamily="18" charset="0"/>
                        <a:cs typeface="Times New Roman" pitchFamily="18" charset="0"/>
                      </a:rPr>
                      <a:t> 6%</a:t>
                    </a:r>
                  </a:p>
                </c:rich>
              </c:tx>
              <c:showLegendKey val="0"/>
              <c:showVal val="1"/>
              <c:showCatName val="0"/>
              <c:showSerName val="0"/>
              <c:showPercent val="1"/>
              <c:showBubbleSize val="0"/>
              <c:extLst>
                <c:ext xmlns:c15="http://schemas.microsoft.com/office/drawing/2012/chart" uri="{CE6537A1-D6FC-4f65-9D91-7224C49458BB}"/>
              </c:extLst>
            </c:dLbl>
            <c:dLbl>
              <c:idx val="2"/>
              <c:layout>
                <c:manualLayout>
                  <c:x val="-1.1111111111111125E-4"/>
                  <c:y val="-0.10132691746864983"/>
                </c:manualLayout>
              </c:layout>
              <c:tx>
                <c:rich>
                  <a:bodyPr/>
                  <a:lstStyle/>
                  <a:p>
                    <a:r>
                      <a:rPr lang="en-US">
                        <a:latin typeface="Times New Roman" pitchFamily="18" charset="0"/>
                        <a:cs typeface="Times New Roman" pitchFamily="18" charset="0"/>
                      </a:rPr>
                      <a:t>6%</a:t>
                    </a:r>
                  </a:p>
                </c:rich>
              </c:tx>
              <c:showLegendKey val="0"/>
              <c:showVal val="1"/>
              <c:showCatName val="0"/>
              <c:showSerName val="0"/>
              <c:showPercent val="1"/>
              <c:showBubbleSize val="0"/>
              <c:extLst>
                <c:ext xmlns:c15="http://schemas.microsoft.com/office/drawing/2012/chart" uri="{CE6537A1-D6FC-4f65-9D91-7224C49458BB}"/>
              </c:extLst>
            </c:dLbl>
            <c:dLbl>
              <c:idx val="3"/>
              <c:layout>
                <c:manualLayout>
                  <c:x val="2.4430644994138388E-2"/>
                  <c:y val="-2.6229281089153109E-2"/>
                </c:manualLayout>
              </c:layout>
              <c:tx>
                <c:rich>
                  <a:bodyPr/>
                  <a:lstStyle/>
                  <a:p>
                    <a:r>
                      <a:rPr lang="en-US">
                        <a:latin typeface="Times New Roman" pitchFamily="18" charset="0"/>
                        <a:cs typeface="Times New Roman" pitchFamily="18" charset="0"/>
                      </a:rPr>
                      <a:t>12%</a:t>
                    </a:r>
                  </a:p>
                </c:rich>
              </c:tx>
              <c:showLegendKey val="0"/>
              <c:showVal val="1"/>
              <c:showCatName val="0"/>
              <c:showSerName val="0"/>
              <c:showPercent val="1"/>
              <c:showBubbleSize val="0"/>
              <c:extLst>
                <c:ext xmlns:c15="http://schemas.microsoft.com/office/drawing/2012/chart" uri="{CE6537A1-D6FC-4f65-9D91-7224C49458BB}"/>
              </c:extLst>
            </c:dLbl>
            <c:dLbl>
              <c:idx val="4"/>
              <c:layout>
                <c:manualLayout>
                  <c:x val="1.2174292402638851E-2"/>
                  <c:y val="-2.0027362640127128E-2"/>
                </c:manualLayout>
              </c:layout>
              <c:tx>
                <c:rich>
                  <a:bodyPr/>
                  <a:lstStyle/>
                  <a:p>
                    <a:r>
                      <a:rPr lang="en-US">
                        <a:latin typeface="Times New Roman" pitchFamily="18" charset="0"/>
                        <a:cs typeface="Times New Roman" pitchFamily="18" charset="0"/>
                      </a:rPr>
                      <a:t> 6%</a:t>
                    </a:r>
                  </a:p>
                </c:rich>
              </c:tx>
              <c:showLegendKey val="0"/>
              <c:showVal val="1"/>
              <c:showCatName val="0"/>
              <c:showSerName val="0"/>
              <c:showPercent val="1"/>
              <c:showBubbleSize val="0"/>
              <c:extLst>
                <c:ext xmlns:c15="http://schemas.microsoft.com/office/drawing/2012/chart" uri="{CE6537A1-D6FC-4f65-9D91-7224C49458BB}"/>
              </c:extLst>
            </c:dLbl>
            <c:dLbl>
              <c:idx val="5"/>
              <c:layout>
                <c:manualLayout>
                  <c:x val="2.2413167104112015E-2"/>
                  <c:y val="-2.4868766404199491E-3"/>
                </c:manualLayout>
              </c:layout>
              <c:tx>
                <c:rich>
                  <a:bodyPr/>
                  <a:lstStyle/>
                  <a:p>
                    <a:r>
                      <a:rPr lang="en-US">
                        <a:latin typeface="Times New Roman" pitchFamily="18" charset="0"/>
                        <a:cs typeface="Times New Roman" pitchFamily="18" charset="0"/>
                      </a:rPr>
                      <a:t> 5%</a:t>
                    </a:r>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1"/>
            <c:showBubbleSize val="0"/>
            <c:showLeaderLines val="1"/>
            <c:extLst>
              <c:ext xmlns:c15="http://schemas.microsoft.com/office/drawing/2012/chart" uri="{CE6537A1-D6FC-4f65-9D91-7224C49458BB}"/>
            </c:extLst>
          </c:dLbls>
          <c:cat>
            <c:strRef>
              <c:f>Report!$B$49:$B$54</c:f>
              <c:strCache>
                <c:ptCount val="6"/>
                <c:pt idx="0">
                  <c:v>Griuvimai lygioje vietoje</c:v>
                </c:pt>
                <c:pt idx="1">
                  <c:v>Griuvimas lygioje vietoje, paslydus einant ar užkliuvus</c:v>
                </c:pt>
                <c:pt idx="2">
                  <c:v>Nukritimai nuo kėdės</c:v>
                </c:pt>
                <c:pt idx="3">
                  <c:v>Nukritimai ant ir nuo laiptelių bei pakopų </c:v>
                </c:pt>
                <c:pt idx="4">
                  <c:v>Kritimas ant/nuo kitų pakėlimo įrenginių</c:v>
                </c:pt>
                <c:pt idx="5">
                  <c:v>Nepatikslintas nukritimas</c:v>
                </c:pt>
              </c:strCache>
            </c:strRef>
          </c:cat>
          <c:val>
            <c:numRef>
              <c:f>Report!$C$49:$C$54</c:f>
              <c:numCache>
                <c:formatCode>General</c:formatCode>
                <c:ptCount val="6"/>
                <c:pt idx="0">
                  <c:v>65</c:v>
                </c:pt>
                <c:pt idx="1">
                  <c:v>6</c:v>
                </c:pt>
                <c:pt idx="2">
                  <c:v>6</c:v>
                </c:pt>
                <c:pt idx="3">
                  <c:v>12</c:v>
                </c:pt>
                <c:pt idx="4">
                  <c:v>6</c:v>
                </c:pt>
                <c:pt idx="5">
                  <c:v>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760140455416161"/>
          <c:y val="0"/>
          <c:w val="0.32568413860410089"/>
          <c:h val="1"/>
        </c:manualLayout>
      </c:layout>
      <c:overlay val="0"/>
      <c:txPr>
        <a:bodyPr/>
        <a:lstStyle/>
        <a:p>
          <a:pPr>
            <a:defRPr>
              <a:latin typeface="Times New Roman" pitchFamily="18" charset="0"/>
              <a:cs typeface="Times New Roman" pitchFamily="18" charset="0"/>
            </a:defRPr>
          </a:pPr>
          <a:endParaRPr lang="lt-LT"/>
        </a:p>
      </c:txPr>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[grafikai.xlsx]Sheet1!$A$14</c:f>
              <c:strCache>
                <c:ptCount val="1"/>
                <c:pt idx="0">
                  <c:v>Kaunas</c:v>
                </c:pt>
              </c:strCache>
            </c:strRef>
          </c:tx>
          <c:cat>
            <c:numRef>
              <c:f>[grafikai.xlsx]Sheet1!$B$13:$K$13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[grafikai.xlsx]Sheet1!$B$14:$K$14</c:f>
              <c:numCache>
                <c:formatCode>General</c:formatCode>
                <c:ptCount val="10"/>
                <c:pt idx="0">
                  <c:v>2.21</c:v>
                </c:pt>
                <c:pt idx="1">
                  <c:v>2.2599999999999998</c:v>
                </c:pt>
                <c:pt idx="2">
                  <c:v>2.5499999999999998</c:v>
                </c:pt>
                <c:pt idx="3">
                  <c:v>2.7800000000000002</c:v>
                </c:pt>
                <c:pt idx="4">
                  <c:v>2.7800000000000002</c:v>
                </c:pt>
                <c:pt idx="5">
                  <c:v>2.98</c:v>
                </c:pt>
                <c:pt idx="6">
                  <c:v>2.66</c:v>
                </c:pt>
                <c:pt idx="7">
                  <c:v>3.34</c:v>
                </c:pt>
                <c:pt idx="8">
                  <c:v>5.84</c:v>
                </c:pt>
                <c:pt idx="9">
                  <c:v>6.9</c:v>
                </c:pt>
              </c:numCache>
            </c:numRef>
          </c:val>
          <c:smooth val="0"/>
        </c:ser>
        <c:ser>
          <c:idx val="1"/>
          <c:order val="1"/>
          <c:tx>
            <c:strRef>
              <c:f>[grafikai.xlsx]Sheet1!$A$15</c:f>
              <c:strCache>
                <c:ptCount val="1"/>
                <c:pt idx="0">
                  <c:v>Lietuva</c:v>
                </c:pt>
              </c:strCache>
            </c:strRef>
          </c:tx>
          <c:cat>
            <c:numRef>
              <c:f>[grafikai.xlsx]Sheet1!$B$13:$K$13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[grafikai.xlsx]Sheet1!$B$15:$K$15</c:f>
              <c:numCache>
                <c:formatCode>General</c:formatCode>
                <c:ptCount val="10"/>
                <c:pt idx="0">
                  <c:v>2.16</c:v>
                </c:pt>
                <c:pt idx="1">
                  <c:v>2.3299999999999987</c:v>
                </c:pt>
                <c:pt idx="2">
                  <c:v>2.3699999999999997</c:v>
                </c:pt>
                <c:pt idx="3">
                  <c:v>2.77</c:v>
                </c:pt>
                <c:pt idx="4">
                  <c:v>2.69</c:v>
                </c:pt>
                <c:pt idx="5">
                  <c:v>2.62</c:v>
                </c:pt>
                <c:pt idx="6">
                  <c:v>2.64</c:v>
                </c:pt>
                <c:pt idx="7">
                  <c:v>2.9499999999999997</c:v>
                </c:pt>
                <c:pt idx="8">
                  <c:v>3.66</c:v>
                </c:pt>
                <c:pt idx="9">
                  <c:v>4.38</c:v>
                </c:pt>
              </c:numCache>
            </c:numRef>
          </c:val>
          <c:smooth val="0"/>
        </c:ser>
        <c:dLbls>
          <c:showLegendKey val="0"/>
          <c:showVal val="0"/>
          <c:showCatName val="0"/>
          <c:showSerName val="0"/>
          <c:showPercent val="0"/>
          <c:showBubbleSize val="0"/>
        </c:dLbls>
        <c:marker val="1"/>
        <c:smooth val="0"/>
        <c:axId val="146406784"/>
        <c:axId val="146412672"/>
      </c:lineChart>
      <c:catAx>
        <c:axId val="146406784"/>
        <c:scaling>
          <c:orientation val="minMax"/>
        </c:scaling>
        <c:delete val="0"/>
        <c:axPos val="b"/>
        <c:numFmt formatCode="General" sourceLinked="1"/>
        <c:majorTickMark val="none"/>
        <c:minorTickMark val="none"/>
        <c:tickLblPos val="nextTo"/>
        <c:crossAx val="146412672"/>
        <c:crosses val="autoZero"/>
        <c:auto val="1"/>
        <c:lblAlgn val="ctr"/>
        <c:lblOffset val="100"/>
        <c:noMultiLvlLbl val="0"/>
      </c:catAx>
      <c:valAx>
        <c:axId val="146412672"/>
        <c:scaling>
          <c:orientation val="minMax"/>
        </c:scaling>
        <c:delete val="0"/>
        <c:axPos val="l"/>
        <c:majorGridlines>
          <c:spPr>
            <a:ln>
              <a:noFill/>
            </a:ln>
          </c:spPr>
        </c:majorGridlines>
        <c:title>
          <c:tx>
            <c:rich>
              <a:bodyPr rot="-5400000" vert="horz"/>
              <a:lstStyle/>
              <a:p>
                <a:pPr>
                  <a:defRPr/>
                </a:pPr>
                <a:r>
                  <a:rPr lang="lt-LT"/>
                  <a:t>1 000 gyventojų</a:t>
                </a:r>
              </a:p>
            </c:rich>
          </c:tx>
          <c:layout>
            <c:manualLayout>
              <c:xMode val="edge"/>
              <c:yMode val="edge"/>
              <c:x val="4.6855269644989289E-2"/>
              <c:y val="0.21051378759345099"/>
            </c:manualLayout>
          </c:layout>
          <c:overlay val="0"/>
        </c:title>
        <c:numFmt formatCode="General" sourceLinked="1"/>
        <c:majorTickMark val="none"/>
        <c:minorTickMark val="none"/>
        <c:tickLblPos val="nextTo"/>
        <c:crossAx val="14640678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[grafikai.xlsx]Sheet1!$A$29</c:f>
              <c:strCache>
                <c:ptCount val="1"/>
                <c:pt idx="0">
                  <c:v>Moterys</c:v>
                </c:pt>
              </c:strCache>
            </c:strRef>
          </c:tx>
          <c:invertIfNegative val="0"/>
          <c:cat>
            <c:numRef>
              <c:f>[grafikai.xlsx]Sheet1!$B$28:$K$28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[grafikai.xlsx]Sheet1!$B$29:$K$29</c:f>
              <c:numCache>
                <c:formatCode>General</c:formatCode>
                <c:ptCount val="10"/>
                <c:pt idx="0">
                  <c:v>2.3899999999999997</c:v>
                </c:pt>
                <c:pt idx="1">
                  <c:v>2.4</c:v>
                </c:pt>
                <c:pt idx="2">
                  <c:v>2.54</c:v>
                </c:pt>
                <c:pt idx="3">
                  <c:v>2.68</c:v>
                </c:pt>
                <c:pt idx="4">
                  <c:v>2.69</c:v>
                </c:pt>
                <c:pt idx="5">
                  <c:v>3.12</c:v>
                </c:pt>
                <c:pt idx="6">
                  <c:v>2.71</c:v>
                </c:pt>
                <c:pt idx="7">
                  <c:v>3.3699999999999997</c:v>
                </c:pt>
                <c:pt idx="8">
                  <c:v>6.02</c:v>
                </c:pt>
                <c:pt idx="9">
                  <c:v>7.02</c:v>
                </c:pt>
              </c:numCache>
            </c:numRef>
          </c:val>
        </c:ser>
        <c:ser>
          <c:idx val="1"/>
          <c:order val="1"/>
          <c:tx>
            <c:strRef>
              <c:f>[grafikai.xlsx]Sheet1!$A$30</c:f>
              <c:strCache>
                <c:ptCount val="1"/>
                <c:pt idx="0">
                  <c:v>Vyrai</c:v>
                </c:pt>
              </c:strCache>
            </c:strRef>
          </c:tx>
          <c:invertIfNegative val="0"/>
          <c:cat>
            <c:numRef>
              <c:f>[grafikai.xlsx]Sheet1!$B$28:$K$28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[grafikai.xlsx]Sheet1!$B$30:$K$30</c:f>
              <c:numCache>
                <c:formatCode>General</c:formatCode>
                <c:ptCount val="10"/>
                <c:pt idx="0">
                  <c:v>1.9900000000000009</c:v>
                </c:pt>
                <c:pt idx="1">
                  <c:v>2.08</c:v>
                </c:pt>
                <c:pt idx="2">
                  <c:v>2.56</c:v>
                </c:pt>
                <c:pt idx="3">
                  <c:v>2.9699999999999998</c:v>
                </c:pt>
                <c:pt idx="4">
                  <c:v>2.9</c:v>
                </c:pt>
                <c:pt idx="5">
                  <c:v>2.2799999999999998</c:v>
                </c:pt>
                <c:pt idx="6">
                  <c:v>2.6</c:v>
                </c:pt>
                <c:pt idx="7">
                  <c:v>3.3099999999999987</c:v>
                </c:pt>
                <c:pt idx="8">
                  <c:v>5.6099999999999985</c:v>
                </c:pt>
                <c:pt idx="9">
                  <c:v>6.74</c:v>
                </c:pt>
              </c:numCache>
            </c:numRef>
          </c:val>
        </c:ser>
        <c:dLbls>
          <c:showLegendKey val="0"/>
          <c:showVal val="0"/>
          <c:showCatName val="0"/>
          <c:showSerName val="0"/>
          <c:showPercent val="0"/>
          <c:showBubbleSize val="0"/>
        </c:dLbls>
        <c:gapWidth val="150"/>
        <c:axId val="146435072"/>
        <c:axId val="146440960"/>
      </c:barChart>
      <c:catAx>
        <c:axId val="146435072"/>
        <c:scaling>
          <c:orientation val="minMax"/>
        </c:scaling>
        <c:delete val="0"/>
        <c:axPos val="b"/>
        <c:numFmt formatCode="General" sourceLinked="1"/>
        <c:majorTickMark val="none"/>
        <c:minorTickMark val="none"/>
        <c:tickLblPos val="nextTo"/>
        <c:crossAx val="146440960"/>
        <c:crosses val="autoZero"/>
        <c:auto val="1"/>
        <c:lblAlgn val="ctr"/>
        <c:lblOffset val="100"/>
        <c:noMultiLvlLbl val="0"/>
      </c:catAx>
      <c:valAx>
        <c:axId val="146440960"/>
        <c:scaling>
          <c:orientation val="minMax"/>
        </c:scaling>
        <c:delete val="0"/>
        <c:axPos val="l"/>
        <c:majorGridlines/>
        <c:title>
          <c:tx>
            <c:rich>
              <a:bodyPr/>
              <a:lstStyle/>
              <a:p>
                <a:pPr>
                  <a:defRPr/>
                </a:pPr>
                <a:r>
                  <a:rPr lang="en-US"/>
                  <a:t>1 000 gyv.</a:t>
                </a:r>
              </a:p>
            </c:rich>
          </c:tx>
          <c:layout>
            <c:manualLayout>
              <c:xMode val="edge"/>
              <c:yMode val="edge"/>
              <c:x val="3.8479642415580516E-2"/>
              <c:y val="0.25198456095765853"/>
            </c:manualLayout>
          </c:layout>
          <c:overlay val="0"/>
        </c:title>
        <c:numFmt formatCode="General" sourceLinked="1"/>
        <c:majorTickMark val="none"/>
        <c:minorTickMark val="none"/>
        <c:tickLblPos val="nextTo"/>
        <c:crossAx val="14643507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[grafikai.xlsx]Sheet1!$B$40</c:f>
              <c:strCache>
                <c:ptCount val="1"/>
                <c:pt idx="0">
                  <c:v>Kaunas</c:v>
                </c:pt>
              </c:strCache>
            </c:strRef>
          </c:tx>
          <c:cat>
            <c:numRef>
              <c:f>[grafikai.xlsx]Sheet1!$C$39:$L$39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[grafikai.xlsx]Sheet1!$C$40:$L$40</c:f>
              <c:numCache>
                <c:formatCode>General</c:formatCode>
                <c:ptCount val="10"/>
                <c:pt idx="0">
                  <c:v>13.93</c:v>
                </c:pt>
                <c:pt idx="1">
                  <c:v>12.69</c:v>
                </c:pt>
                <c:pt idx="2">
                  <c:v>8.2199999999999989</c:v>
                </c:pt>
                <c:pt idx="3">
                  <c:v>11.38</c:v>
                </c:pt>
                <c:pt idx="4">
                  <c:v>8.7800000000000011</c:v>
                </c:pt>
                <c:pt idx="5">
                  <c:v>8.66</c:v>
                </c:pt>
                <c:pt idx="6">
                  <c:v>9.2100000000000009</c:v>
                </c:pt>
                <c:pt idx="7">
                  <c:v>9.9700000000000006</c:v>
                </c:pt>
                <c:pt idx="8">
                  <c:v>8.4500000000000028</c:v>
                </c:pt>
                <c:pt idx="9">
                  <c:v>8.33</c:v>
                </c:pt>
              </c:numCache>
            </c:numRef>
          </c:val>
          <c:smooth val="0"/>
        </c:ser>
        <c:ser>
          <c:idx val="1"/>
          <c:order val="1"/>
          <c:tx>
            <c:strRef>
              <c:f>[grafikai.xlsx]Sheet1!$B$41</c:f>
              <c:strCache>
                <c:ptCount val="1"/>
                <c:pt idx="0">
                  <c:v>Lietuva</c:v>
                </c:pt>
              </c:strCache>
            </c:strRef>
          </c:tx>
          <c:cat>
            <c:numRef>
              <c:f>[grafikai.xlsx]Sheet1!$C$39:$L$39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[grafikai.xlsx]Sheet1!$C$41:$L$41</c:f>
              <c:numCache>
                <c:formatCode>General</c:formatCode>
                <c:ptCount val="10"/>
                <c:pt idx="0">
                  <c:v>8.0500000000000007</c:v>
                </c:pt>
                <c:pt idx="1">
                  <c:v>7.98</c:v>
                </c:pt>
                <c:pt idx="2">
                  <c:v>6.94</c:v>
                </c:pt>
                <c:pt idx="3">
                  <c:v>6.6</c:v>
                </c:pt>
                <c:pt idx="4">
                  <c:v>6.92</c:v>
                </c:pt>
                <c:pt idx="5">
                  <c:v>6.22</c:v>
                </c:pt>
                <c:pt idx="6">
                  <c:v>6.26</c:v>
                </c:pt>
                <c:pt idx="7">
                  <c:v>6.91</c:v>
                </c:pt>
                <c:pt idx="8">
                  <c:v>6.87</c:v>
                </c:pt>
                <c:pt idx="9">
                  <c:v>5.9</c:v>
                </c:pt>
              </c:numCache>
            </c:numRef>
          </c:val>
          <c:smooth val="0"/>
        </c:ser>
        <c:dLbls>
          <c:showLegendKey val="0"/>
          <c:showVal val="0"/>
          <c:showCatName val="0"/>
          <c:showSerName val="0"/>
          <c:showPercent val="0"/>
          <c:showBubbleSize val="0"/>
        </c:dLbls>
        <c:marker val="1"/>
        <c:smooth val="0"/>
        <c:axId val="146397824"/>
        <c:axId val="146461056"/>
      </c:lineChart>
      <c:catAx>
        <c:axId val="146397824"/>
        <c:scaling>
          <c:orientation val="minMax"/>
        </c:scaling>
        <c:delete val="0"/>
        <c:axPos val="b"/>
        <c:numFmt formatCode="General" sourceLinked="1"/>
        <c:majorTickMark val="none"/>
        <c:minorTickMark val="none"/>
        <c:tickLblPos val="nextTo"/>
        <c:crossAx val="146461056"/>
        <c:crosses val="autoZero"/>
        <c:auto val="1"/>
        <c:lblAlgn val="ctr"/>
        <c:lblOffset val="100"/>
        <c:noMultiLvlLbl val="0"/>
      </c:catAx>
      <c:valAx>
        <c:axId val="146461056"/>
        <c:scaling>
          <c:orientation val="minMax"/>
        </c:scaling>
        <c:delete val="0"/>
        <c:axPos val="l"/>
        <c:majorGridlines/>
        <c:title>
          <c:tx>
            <c:rich>
              <a:bodyPr/>
              <a:lstStyle/>
              <a:p>
                <a:pPr>
                  <a:defRPr/>
                </a:pPr>
                <a:r>
                  <a:rPr lang="en-US"/>
                  <a:t>100 000 gyv.</a:t>
                </a:r>
              </a:p>
            </c:rich>
          </c:tx>
          <c:layout>
            <c:manualLayout>
              <c:xMode val="edge"/>
              <c:yMode val="edge"/>
              <c:x val="4.0322580645161324E-2"/>
              <c:y val="0.25198451756030515"/>
            </c:manualLayout>
          </c:layout>
          <c:overlay val="0"/>
        </c:title>
        <c:numFmt formatCode="General" sourceLinked="1"/>
        <c:majorTickMark val="none"/>
        <c:minorTickMark val="none"/>
        <c:tickLblPos val="nextTo"/>
        <c:crossAx val="14639782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9B85-7ACD-40DD-9EB3-AA104DFF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40069</Words>
  <Characters>22840</Characters>
  <Application>Microsoft Office Word</Application>
  <DocSecurity>0</DocSecurity>
  <Lines>190</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ATASKAITA</vt:lpstr>
      <vt:lpstr/>
    </vt:vector>
  </TitlesOfParts>
  <Company/>
  <LinksUpToDate>false</LinksUpToDate>
  <CharactersWithSpaces>62784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dc:title>
  <dc:subject>KAUNO MIESTO SAVIVALDYBĖS VISUOMENĖS SVEIKATOS STEBĖSENOS 2014 METŲ ATASKAITA</dc:subject>
  <dc:creator>Sveikatos apsaugos skyrius</dc:creator>
  <cp:lastModifiedBy>Giedrė Juškaitė</cp:lastModifiedBy>
  <cp:revision>2</cp:revision>
  <cp:lastPrinted>2016-04-29T07:48:00Z</cp:lastPrinted>
  <dcterms:created xsi:type="dcterms:W3CDTF">2016-12-15T08:53:00Z</dcterms:created>
  <dcterms:modified xsi:type="dcterms:W3CDTF">2016-12-15T08:53:00Z</dcterms:modified>
</cp:coreProperties>
</file>