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CF20C2">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CF20C2">
        <w:rPr>
          <w:lang w:val="lt-LT"/>
        </w:rPr>
        <w:t>A-</w:t>
      </w:r>
      <w:hyperlink r:id="rId8" w:history="1">
        <w:r w:rsidR="00CF20C2" w:rsidRPr="00E64166">
          <w:rPr>
            <w:rStyle w:val="Hipersaitas"/>
            <w:lang w:val="lt-LT"/>
          </w:rPr>
          <w:t>4162</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0B0BF7">
        <w:rPr>
          <w:b/>
          <w:lang w:val="lt-LT"/>
        </w:rPr>
        <w:t>PANEMUNĖS</w:t>
      </w:r>
      <w:r w:rsidR="00E606F8">
        <w:rPr>
          <w:b/>
          <w:lang w:val="lt-LT"/>
        </w:rPr>
        <w:t xml:space="preserve">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0B0BF7">
        <w:rPr>
          <w:lang w:val="lt-LT"/>
        </w:rPr>
        <w:t xml:space="preserve">Panemunės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lastRenderedPageBreak/>
        <w:t>9</w:t>
      </w:r>
      <w:r w:rsidR="00C004E1" w:rsidRPr="00D8275F">
        <w:rPr>
          <w:lang w:val="lt-LT"/>
        </w:rPr>
        <w:t>. Seniūni</w:t>
      </w:r>
      <w:r w:rsidR="00A252EB" w:rsidRPr="00D8275F">
        <w:rPr>
          <w:lang w:val="lt-LT"/>
        </w:rPr>
        <w:t xml:space="preserve">jos adresas – </w:t>
      </w:r>
      <w:r w:rsidR="00255384">
        <w:rPr>
          <w:lang w:val="lt-LT"/>
        </w:rPr>
        <w:t>Vaidoto</w:t>
      </w:r>
      <w:r w:rsidR="00A53979">
        <w:rPr>
          <w:lang w:val="lt-LT"/>
        </w:rPr>
        <w:t xml:space="preserve"> g. 11</w:t>
      </w:r>
      <w:r w:rsidR="00255384">
        <w:rPr>
          <w:lang w:val="lt-LT"/>
        </w:rPr>
        <w:t>5</w:t>
      </w:r>
      <w:r w:rsidR="00D5602C" w:rsidRPr="00D8275F">
        <w:rPr>
          <w:lang w:val="lt-LT"/>
        </w:rPr>
        <w:t>, Kaunas</w:t>
      </w:r>
      <w:r w:rsidR="00597F1D" w:rsidRPr="00D8275F">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w:t>
      </w:r>
      <w:r w:rsidR="00B67B47" w:rsidRPr="00D8275F">
        <w:rPr>
          <w:rFonts w:eastAsiaTheme="minorEastAsia"/>
          <w:lang w:val="lt-LT"/>
        </w:rPr>
        <w:lastRenderedPageBreak/>
        <w:t xml:space="preserve">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761AE0">
        <w:rPr>
          <w:rFonts w:eastAsiaTheme="minorEastAsia"/>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lastRenderedPageBreak/>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lastRenderedPageBreak/>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D8" w:rsidRDefault="00C34ED8">
      <w:r>
        <w:separator/>
      </w:r>
    </w:p>
  </w:endnote>
  <w:endnote w:type="continuationSeparator" w:id="0">
    <w:p w:rsidR="00C34ED8" w:rsidRDefault="00C3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D8" w:rsidRDefault="00C34ED8">
      <w:r>
        <w:separator/>
      </w:r>
    </w:p>
  </w:footnote>
  <w:footnote w:type="continuationSeparator" w:id="0">
    <w:p w:rsidR="00C34ED8" w:rsidRDefault="00C3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41EAE">
      <w:rPr>
        <w:rStyle w:val="Puslapionumeris"/>
        <w:noProof/>
      </w:rPr>
      <w:t>2</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A099A"/>
    <w:rsid w:val="000A49B9"/>
    <w:rsid w:val="000B0BF7"/>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55384"/>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4CE"/>
    <w:rsid w:val="00372A31"/>
    <w:rsid w:val="00372D1D"/>
    <w:rsid w:val="00382CA4"/>
    <w:rsid w:val="003861AE"/>
    <w:rsid w:val="00391A3F"/>
    <w:rsid w:val="003A46F1"/>
    <w:rsid w:val="003A70A5"/>
    <w:rsid w:val="003A7E1D"/>
    <w:rsid w:val="003B1A7B"/>
    <w:rsid w:val="003C1A33"/>
    <w:rsid w:val="003C48CB"/>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5031DD"/>
    <w:rsid w:val="00504E5C"/>
    <w:rsid w:val="0051000E"/>
    <w:rsid w:val="00522F34"/>
    <w:rsid w:val="00530F56"/>
    <w:rsid w:val="005351B2"/>
    <w:rsid w:val="0054150B"/>
    <w:rsid w:val="00551C6B"/>
    <w:rsid w:val="005537DB"/>
    <w:rsid w:val="00553E21"/>
    <w:rsid w:val="0056763B"/>
    <w:rsid w:val="00570686"/>
    <w:rsid w:val="005916B1"/>
    <w:rsid w:val="005920CA"/>
    <w:rsid w:val="00597F1D"/>
    <w:rsid w:val="005A1046"/>
    <w:rsid w:val="005A454C"/>
    <w:rsid w:val="005C165E"/>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F0D"/>
    <w:rsid w:val="006F2F7A"/>
    <w:rsid w:val="006F31E8"/>
    <w:rsid w:val="006F5B0F"/>
    <w:rsid w:val="006F66A1"/>
    <w:rsid w:val="006F7956"/>
    <w:rsid w:val="0070766F"/>
    <w:rsid w:val="007157B3"/>
    <w:rsid w:val="007215AF"/>
    <w:rsid w:val="00723B5D"/>
    <w:rsid w:val="007246AA"/>
    <w:rsid w:val="00724A92"/>
    <w:rsid w:val="00753C1D"/>
    <w:rsid w:val="00761AE0"/>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93C2A"/>
    <w:rsid w:val="00896177"/>
    <w:rsid w:val="008A3183"/>
    <w:rsid w:val="008A655D"/>
    <w:rsid w:val="008C7979"/>
    <w:rsid w:val="008D0305"/>
    <w:rsid w:val="008D2D3D"/>
    <w:rsid w:val="008D30BF"/>
    <w:rsid w:val="008D5879"/>
    <w:rsid w:val="008D6014"/>
    <w:rsid w:val="008D7D9C"/>
    <w:rsid w:val="008D7FBB"/>
    <w:rsid w:val="008E0C96"/>
    <w:rsid w:val="008F2F66"/>
    <w:rsid w:val="008F4407"/>
    <w:rsid w:val="008F5502"/>
    <w:rsid w:val="00900157"/>
    <w:rsid w:val="00903421"/>
    <w:rsid w:val="009108F9"/>
    <w:rsid w:val="00911BD6"/>
    <w:rsid w:val="00915342"/>
    <w:rsid w:val="009319A2"/>
    <w:rsid w:val="00942CBB"/>
    <w:rsid w:val="00943852"/>
    <w:rsid w:val="00947CA2"/>
    <w:rsid w:val="00952856"/>
    <w:rsid w:val="00956290"/>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7214D"/>
    <w:rsid w:val="00A75476"/>
    <w:rsid w:val="00A8542C"/>
    <w:rsid w:val="00A85580"/>
    <w:rsid w:val="00A86399"/>
    <w:rsid w:val="00A8709C"/>
    <w:rsid w:val="00AA32C6"/>
    <w:rsid w:val="00AB75EC"/>
    <w:rsid w:val="00AC0ABB"/>
    <w:rsid w:val="00AD723E"/>
    <w:rsid w:val="00AE3D61"/>
    <w:rsid w:val="00AF1873"/>
    <w:rsid w:val="00AF1E08"/>
    <w:rsid w:val="00AF2C3D"/>
    <w:rsid w:val="00B02D22"/>
    <w:rsid w:val="00B10641"/>
    <w:rsid w:val="00B15D68"/>
    <w:rsid w:val="00B370DC"/>
    <w:rsid w:val="00B375D0"/>
    <w:rsid w:val="00B41071"/>
    <w:rsid w:val="00B50096"/>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34ED8"/>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20C2"/>
    <w:rsid w:val="00CF6B54"/>
    <w:rsid w:val="00D00654"/>
    <w:rsid w:val="00D05A0F"/>
    <w:rsid w:val="00D12E29"/>
    <w:rsid w:val="00D13B53"/>
    <w:rsid w:val="00D17076"/>
    <w:rsid w:val="00D41EAE"/>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4166"/>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F0F7E"/>
    <w:rsid w:val="00F027F7"/>
    <w:rsid w:val="00F0461B"/>
    <w:rsid w:val="00F05EC1"/>
    <w:rsid w:val="00F10816"/>
    <w:rsid w:val="00F21093"/>
    <w:rsid w:val="00F4019D"/>
    <w:rsid w:val="00F40BB6"/>
    <w:rsid w:val="00F43A5B"/>
    <w:rsid w:val="00F537A4"/>
    <w:rsid w:val="00F64393"/>
    <w:rsid w:val="00F66D67"/>
    <w:rsid w:val="00F70AA5"/>
    <w:rsid w:val="00F72788"/>
    <w:rsid w:val="00F72B8A"/>
    <w:rsid w:val="00F73453"/>
    <w:rsid w:val="00F76141"/>
    <w:rsid w:val="00F777A7"/>
    <w:rsid w:val="00F96ABF"/>
    <w:rsid w:val="00FA78DC"/>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inuscep\Downloads\a21416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1B33D-7EA2-47B6-A6B8-ADBC778A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12410</Characters>
  <Application>Microsoft Office Word</Application>
  <DocSecurity>0</DocSecurity>
  <Lines>103</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PANEMUNĖS SENIŪNIJOS NUOSTATAI</dc:subject>
  <dc:creator>Personalo valdymo skyrius</dc:creator>
  <cp:lastModifiedBy>Linutė Ščepinienė</cp:lastModifiedBy>
  <cp:revision>2</cp:revision>
  <cp:lastPrinted>2014-12-29T12:49:00Z</cp:lastPrinted>
  <dcterms:created xsi:type="dcterms:W3CDTF">2022-02-07T09:13:00Z</dcterms:created>
  <dcterms:modified xsi:type="dcterms:W3CDTF">2022-02-07T09:13:00Z</dcterms:modified>
</cp:coreProperties>
</file>