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Spacing w:w="0" w:type="dxa"/>
        <w:tblCellMar>
          <w:left w:w="0" w:type="dxa"/>
          <w:right w:w="0" w:type="dxa"/>
        </w:tblCellMar>
        <w:tblLook w:val="04A0" w:firstRow="1" w:lastRow="0" w:firstColumn="1" w:lastColumn="0" w:noHBand="0" w:noVBand="1"/>
      </w:tblPr>
      <w:tblGrid>
        <w:gridCol w:w="6"/>
        <w:gridCol w:w="19"/>
        <w:gridCol w:w="9756"/>
      </w:tblGrid>
      <w:tr w:rsidR="00680B29" w:rsidRPr="00680B29" w:rsidTr="003F5E2E">
        <w:trPr>
          <w:tblCellSpacing w:w="0" w:type="dxa"/>
        </w:trPr>
        <w:tc>
          <w:tcPr>
            <w:tcW w:w="25" w:type="dxa"/>
            <w:gridSpan w:val="2"/>
          </w:tcPr>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p>
        </w:tc>
        <w:tc>
          <w:tcPr>
            <w:tcW w:w="9756" w:type="dxa"/>
          </w:tcPr>
          <w:p w:rsidR="00680B29" w:rsidRPr="00680B29" w:rsidRDefault="00680B29" w:rsidP="00E711D1">
            <w:pPr>
              <w:spacing w:after="0" w:line="240" w:lineRule="auto"/>
              <w:ind w:firstLine="993"/>
              <w:rPr>
                <w:rFonts w:ascii="Tahoma" w:eastAsia="Times New Roman" w:hAnsi="Tahoma" w:cs="Tahoma"/>
                <w:color w:val="333333"/>
                <w:sz w:val="24"/>
                <w:szCs w:val="24"/>
                <w:lang w:eastAsia="lt-LT"/>
              </w:rPr>
            </w:pPr>
          </w:p>
        </w:tc>
      </w:tr>
      <w:tr w:rsidR="001E47AB" w:rsidRPr="001E47AB" w:rsidTr="003F5E2E">
        <w:trPr>
          <w:tblCellSpacing w:w="0" w:type="dxa"/>
        </w:trPr>
        <w:tc>
          <w:tcPr>
            <w:tcW w:w="6" w:type="dxa"/>
            <w:hideMark/>
          </w:tcPr>
          <w:p w:rsidR="001E47AB" w:rsidRPr="001E47AB" w:rsidRDefault="001E47AB" w:rsidP="001E47AB">
            <w:pPr>
              <w:spacing w:after="0" w:line="240" w:lineRule="auto"/>
              <w:ind w:firstLine="851"/>
              <w:rPr>
                <w:rFonts w:ascii="Times New Roman" w:eastAsia="Times New Roman" w:hAnsi="Times New Roman" w:cs="Times New Roman"/>
                <w:color w:val="333333"/>
                <w:sz w:val="24"/>
                <w:szCs w:val="24"/>
                <w:lang w:eastAsia="lt-LT"/>
              </w:rPr>
            </w:pPr>
          </w:p>
        </w:tc>
        <w:tc>
          <w:tcPr>
            <w:tcW w:w="9775" w:type="dxa"/>
            <w:gridSpan w:val="2"/>
            <w:hideMark/>
          </w:tcPr>
          <w:tbl>
            <w:tblPr>
              <w:tblW w:w="9775" w:type="dxa"/>
              <w:tblCellSpacing w:w="0" w:type="dxa"/>
              <w:tblCellMar>
                <w:left w:w="0" w:type="dxa"/>
                <w:right w:w="0" w:type="dxa"/>
              </w:tblCellMar>
              <w:tblLook w:val="04A0" w:firstRow="1" w:lastRow="0" w:firstColumn="1" w:lastColumn="0" w:noHBand="0" w:noVBand="1"/>
            </w:tblPr>
            <w:tblGrid>
              <w:gridCol w:w="9775"/>
            </w:tblGrid>
            <w:tr w:rsidR="001E47AB" w:rsidRPr="001E47AB" w:rsidTr="003F5E2E">
              <w:trPr>
                <w:trHeight w:val="435"/>
                <w:tblCellSpacing w:w="0" w:type="dxa"/>
              </w:trPr>
              <w:tc>
                <w:tcPr>
                  <w:tcW w:w="5000" w:type="pct"/>
                  <w:shd w:val="clear" w:color="auto" w:fill="F5F5F5"/>
                  <w:tcMar>
                    <w:top w:w="45" w:type="dxa"/>
                    <w:left w:w="150" w:type="dxa"/>
                    <w:bottom w:w="45" w:type="dxa"/>
                    <w:right w:w="0" w:type="dxa"/>
                  </w:tcMar>
                  <w:vAlign w:val="center"/>
                  <w:hideMark/>
                </w:tcPr>
                <w:p w:rsidR="001E47AB" w:rsidRPr="001E47AB" w:rsidRDefault="001E47AB" w:rsidP="001E47AB">
                  <w:pPr>
                    <w:spacing w:after="0" w:line="240" w:lineRule="auto"/>
                    <w:ind w:firstLine="851"/>
                    <w:jc w:val="center"/>
                    <w:rPr>
                      <w:rFonts w:ascii="Times New Roman" w:eastAsia="Times New Roman" w:hAnsi="Times New Roman" w:cs="Times New Roman"/>
                      <w:b/>
                      <w:bCs/>
                      <w:color w:val="747272"/>
                      <w:sz w:val="32"/>
                      <w:szCs w:val="32"/>
                      <w:lang w:eastAsia="lt-LT"/>
                    </w:rPr>
                  </w:pPr>
                  <w:r w:rsidRPr="001E47AB">
                    <w:rPr>
                      <w:rFonts w:ascii="Times New Roman" w:eastAsia="Times New Roman" w:hAnsi="Times New Roman" w:cs="Times New Roman"/>
                      <w:b/>
                      <w:bCs/>
                      <w:color w:val="747272"/>
                      <w:sz w:val="32"/>
                      <w:szCs w:val="32"/>
                      <w:lang w:eastAsia="lt-LT"/>
                    </w:rPr>
                    <w:t>Kaip elgtis, pučiant stipriam vėjui</w:t>
                  </w:r>
                </w:p>
              </w:tc>
            </w:tr>
            <w:tr w:rsidR="001E47AB" w:rsidRPr="001E47AB" w:rsidTr="003F5E2E">
              <w:trPr>
                <w:trHeight w:val="8394"/>
                <w:tblCellSpacing w:w="0" w:type="dxa"/>
              </w:trPr>
              <w:tc>
                <w:tcPr>
                  <w:tcW w:w="5000" w:type="pct"/>
                  <w:tcMar>
                    <w:top w:w="150" w:type="dxa"/>
                    <w:left w:w="150" w:type="dxa"/>
                    <w:bottom w:w="150" w:type="dxa"/>
                    <w:right w:w="150" w:type="dxa"/>
                  </w:tcMar>
                  <w:hideMark/>
                </w:tcPr>
                <w:p w:rsidR="00601749" w:rsidRDefault="00601749" w:rsidP="001E47AB">
                  <w:pPr>
                    <w:spacing w:after="0" w:line="240" w:lineRule="auto"/>
                    <w:ind w:firstLine="851"/>
                    <w:rPr>
                      <w:rFonts w:ascii="Times New Roman" w:eastAsia="Times New Roman" w:hAnsi="Times New Roman" w:cs="Times New Roman"/>
                      <w:color w:val="333333"/>
                      <w:sz w:val="24"/>
                      <w:szCs w:val="24"/>
                      <w:lang w:eastAsia="lt-LT"/>
                    </w:rPr>
                  </w:pPr>
                </w:p>
                <w:p w:rsidR="003F5E2E" w:rsidRDefault="003F5E2E" w:rsidP="003F5E2E">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Pučiant</w:t>
                  </w:r>
                  <w:r w:rsidR="001E47AB" w:rsidRPr="001E47AB">
                    <w:rPr>
                      <w:rFonts w:ascii="Times New Roman" w:eastAsia="Times New Roman" w:hAnsi="Times New Roman" w:cs="Times New Roman"/>
                      <w:color w:val="333333"/>
                      <w:sz w:val="24"/>
                      <w:szCs w:val="24"/>
                      <w:lang w:eastAsia="lt-LT"/>
                    </w:rPr>
                    <w:t xml:space="preserve"> stipriam vėjui lūžta dideli medžiai, krinta jų šakos, griūna silpnos konstrukcijos statiniai, virsta nepritvirtinti įrenginiai. Be to, gali sutrikti ryšiai ir elektros energijos tiekimas. </w:t>
                  </w:r>
                </w:p>
                <w:p w:rsidR="003F5E2E" w:rsidRDefault="003F5E2E" w:rsidP="003F5E2E">
                  <w:pPr>
                    <w:spacing w:after="0" w:line="240" w:lineRule="auto"/>
                    <w:ind w:firstLine="851"/>
                    <w:jc w:val="both"/>
                    <w:rPr>
                      <w:rFonts w:ascii="Times New Roman" w:eastAsia="Times New Roman" w:hAnsi="Times New Roman" w:cs="Times New Roman"/>
                      <w:color w:val="333333"/>
                      <w:sz w:val="24"/>
                      <w:szCs w:val="24"/>
                      <w:lang w:eastAsia="lt-LT"/>
                    </w:rPr>
                  </w:pPr>
                </w:p>
                <w:p w:rsidR="001E47AB" w:rsidRPr="001E47AB" w:rsidRDefault="001E47AB" w:rsidP="003F5E2E">
                  <w:pPr>
                    <w:spacing w:after="0" w:line="240" w:lineRule="auto"/>
                    <w:ind w:firstLine="851"/>
                    <w:jc w:val="both"/>
                    <w:rPr>
                      <w:rFonts w:ascii="Times New Roman" w:eastAsia="Times New Roman" w:hAnsi="Times New Roman" w:cs="Times New Roman"/>
                      <w:color w:val="333333"/>
                      <w:sz w:val="24"/>
                      <w:szCs w:val="24"/>
                      <w:lang w:eastAsia="lt-LT"/>
                    </w:rPr>
                  </w:pPr>
                  <w:r w:rsidRPr="001E47AB">
                    <w:rPr>
                      <w:rFonts w:ascii="Times New Roman" w:eastAsia="Times New Roman" w:hAnsi="Times New Roman" w:cs="Times New Roman"/>
                      <w:color w:val="333333"/>
                      <w:sz w:val="24"/>
                      <w:szCs w:val="24"/>
                      <w:lang w:eastAsia="lt-LT"/>
                    </w:rPr>
                    <w:t>Priešgaisrinės apsaugos ir gelbėjimo departamentas įspėja ir rekomenduoja  kaip elgtis kilus stipriam vėjui</w:t>
                  </w:r>
                  <w:r w:rsidR="003F5E2E">
                    <w:rPr>
                      <w:rFonts w:ascii="Times New Roman" w:eastAsia="Times New Roman" w:hAnsi="Times New Roman" w:cs="Times New Roman"/>
                      <w:color w:val="333333"/>
                      <w:sz w:val="24"/>
                      <w:szCs w:val="24"/>
                      <w:lang w:eastAsia="lt-LT"/>
                    </w:rPr>
                    <w:t>:</w:t>
                  </w:r>
                  <w:r w:rsidRPr="001E47AB">
                    <w:rPr>
                      <w:rFonts w:ascii="Times New Roman" w:eastAsia="Times New Roman" w:hAnsi="Times New Roman" w:cs="Times New Roman"/>
                      <w:color w:val="333333"/>
                      <w:sz w:val="24"/>
                      <w:szCs w:val="24"/>
                      <w:lang w:eastAsia="lt-LT"/>
                    </w:rPr>
                    <w:t xml:space="preserve"> </w:t>
                  </w:r>
                </w:p>
                <w:p w:rsidR="001E47AB"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 xml:space="preserve">Perspėkite darbuotojus apie artėjantį pavojingą hidrometeorologinį reiškinį ir informuokite, kokie darbai turi būti nutraukti. Pučiant stipriam vėjui sustabdykite  krovos darbus su kranais bei kituose objektuose, nedirbkite su atvira ugnimi. </w:t>
                  </w:r>
                </w:p>
                <w:p w:rsidR="001E47AB" w:rsidRPr="003F5E2E" w:rsidRDefault="003F5E2E"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S</w:t>
                  </w:r>
                  <w:r w:rsidR="001E47AB" w:rsidRPr="003F5E2E">
                    <w:rPr>
                      <w:rFonts w:ascii="Times New Roman" w:eastAsia="Times New Roman" w:hAnsi="Times New Roman" w:cs="Times New Roman"/>
                      <w:color w:val="333333"/>
                      <w:sz w:val="24"/>
                      <w:szCs w:val="24"/>
                      <w:lang w:eastAsia="lt-LT"/>
                    </w:rPr>
                    <w:t>utvirtinkite laikinus pastatus, statinius, mechanizmus, laikinas konstrukcijas, įrenginius. Sandariai uždarykite pastatų langus, duris, stoglangius ir kitas angas;</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Išneškite iš balkonų daiktus, kuriuos gali pakelti vėjas arba juos gerai pritvirtinkite. Svarbesniuose objektuose patikrinkite avarinius elektros energijos šaltinius,  pasirūpinkite kuro atsargomis ir pasirenkite gamybos proceso avariniam sustabdymui;</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Nestovėkite po aukštais medžiais, prie elektros linijų, nestatykite automobilių po medžiais;</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Jei gyvenate kaime, uždarykite tvartų, namų duris, langus, langines;</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Namuose turėkite žibintuvėlį, atsarginių elementų, radijo imtuvą, žvakių;</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Nepalikite gyvenamosios vietos be ypatingos priežasties. Jeigu jūs vis dėl to privalote išvykti, išjunkite elektrą, užsukite dujų, vandens sklendes, uždarykite langus, langines, užrakinkite duris ir atlikite visus įprastus veiksmus, kuriuos darote išvykdami bent kelioms dienoms;</w:t>
                  </w:r>
                </w:p>
                <w:p w:rsidR="001E47AB" w:rsidRPr="003F5E2E" w:rsidRDefault="001E47AB" w:rsidP="003F5E2E">
                  <w:pPr>
                    <w:pStyle w:val="Sraopastraipa"/>
                    <w:numPr>
                      <w:ilvl w:val="0"/>
                      <w:numId w:val="1"/>
                    </w:numPr>
                    <w:tabs>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3F5E2E">
                    <w:rPr>
                      <w:rFonts w:ascii="Times New Roman" w:eastAsia="Times New Roman" w:hAnsi="Times New Roman" w:cs="Times New Roman"/>
                      <w:color w:val="333333"/>
                      <w:sz w:val="24"/>
                      <w:szCs w:val="24"/>
                      <w:lang w:eastAsia="lt-LT"/>
                    </w:rPr>
                    <w:t>Neužmirškite savo kaimynų: pasiteiraukite, ar jie girdėjo pranešimus. Gal šalia gyvena neįgalūs žmonės, vieniši seneliai ar mažamečiai vaikai, šiuo metu leidžiantys laiką be tėvų. Pasidomėkite, ar jais kas nors gali pasirūpinti, jei ne – padėkite jiems arba informuokite kaimynus,  kad</w:t>
                  </w:r>
                  <w:bookmarkStart w:id="0" w:name="_GoBack"/>
                  <w:bookmarkEnd w:id="0"/>
                  <w:r w:rsidRPr="003F5E2E">
                    <w:rPr>
                      <w:rFonts w:ascii="Times New Roman" w:eastAsia="Times New Roman" w:hAnsi="Times New Roman" w:cs="Times New Roman"/>
                      <w:color w:val="333333"/>
                      <w:sz w:val="24"/>
                      <w:szCs w:val="24"/>
                      <w:lang w:eastAsia="lt-LT"/>
                    </w:rPr>
                    <w:t xml:space="preserve"> nelaimės atveju jie gali skambinti  skubios pagalbos  telefonu 112.</w:t>
                  </w:r>
                </w:p>
              </w:tc>
            </w:tr>
          </w:tbl>
          <w:p w:rsidR="001E47AB" w:rsidRPr="001E47AB" w:rsidRDefault="001E47AB" w:rsidP="001E47AB">
            <w:pPr>
              <w:spacing w:after="0" w:line="240" w:lineRule="auto"/>
              <w:ind w:firstLine="851"/>
              <w:rPr>
                <w:rFonts w:ascii="Times New Roman" w:eastAsia="Times New Roman" w:hAnsi="Times New Roman" w:cs="Times New Roman"/>
                <w:color w:val="333333"/>
                <w:sz w:val="24"/>
                <w:szCs w:val="24"/>
                <w:lang w:eastAsia="lt-LT"/>
              </w:rPr>
            </w:pPr>
          </w:p>
        </w:tc>
      </w:tr>
    </w:tbl>
    <w:p w:rsidR="003F5E2E" w:rsidRPr="003F5E2E" w:rsidRDefault="003F5E2E" w:rsidP="003F5E2E">
      <w:pPr>
        <w:ind w:firstLine="851"/>
        <w:rPr>
          <w:rFonts w:ascii="Times New Roman" w:eastAsia="Calibri" w:hAnsi="Times New Roman" w:cs="Times New Roman"/>
          <w:sz w:val="24"/>
          <w:szCs w:val="24"/>
        </w:rPr>
      </w:pPr>
      <w:r w:rsidRPr="003F5E2E">
        <w:rPr>
          <w:rFonts w:ascii="Times New Roman" w:eastAsia="Calibri" w:hAnsi="Times New Roman" w:cs="Times New Roman"/>
          <w:sz w:val="24"/>
          <w:szCs w:val="24"/>
        </w:rPr>
        <w:t xml:space="preserve">          Parengta pagal Priešgaisrinės apsaugos ir gelbėjimo valdybos prie VRM informaciją </w:t>
      </w:r>
    </w:p>
    <w:p w:rsidR="007E0F1E" w:rsidRPr="00680B29" w:rsidRDefault="007E0F1E" w:rsidP="001E47AB">
      <w:pPr>
        <w:ind w:firstLine="851"/>
        <w:rPr>
          <w:sz w:val="24"/>
          <w:szCs w:val="24"/>
        </w:rPr>
      </w:pPr>
    </w:p>
    <w:sectPr w:rsidR="007E0F1E" w:rsidRPr="00680B29" w:rsidSect="00680B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6C7C"/>
    <w:multiLevelType w:val="hybridMultilevel"/>
    <w:tmpl w:val="E8CC58A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E47AB"/>
    <w:rsid w:val="003F5E2E"/>
    <w:rsid w:val="00601749"/>
    <w:rsid w:val="00680B29"/>
    <w:rsid w:val="007B0C0E"/>
    <w:rsid w:val="007E0F1E"/>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paragraph" w:styleId="Sraopastraipa">
    <w:name w:val="List Paragraph"/>
    <w:basedOn w:val="prastasis"/>
    <w:uiPriority w:val="34"/>
    <w:qFormat/>
    <w:rsid w:val="003F5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paragraph" w:styleId="Sraopastraipa">
    <w:name w:val="List Paragraph"/>
    <w:basedOn w:val="prastasis"/>
    <w:uiPriority w:val="34"/>
    <w:qFormat/>
    <w:rsid w:val="003F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529563107">
      <w:bodyDiv w:val="1"/>
      <w:marLeft w:val="0"/>
      <w:marRight w:val="0"/>
      <w:marTop w:val="0"/>
      <w:marBottom w:val="0"/>
      <w:divBdr>
        <w:top w:val="none" w:sz="0" w:space="0" w:color="auto"/>
        <w:left w:val="none" w:sz="0" w:space="0" w:color="auto"/>
        <w:bottom w:val="none" w:sz="0" w:space="0" w:color="auto"/>
        <w:right w:val="none" w:sz="0" w:space="0" w:color="auto"/>
      </w:divBdr>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1259</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4</cp:revision>
  <dcterms:created xsi:type="dcterms:W3CDTF">2014-01-23T09:39:00Z</dcterms:created>
  <dcterms:modified xsi:type="dcterms:W3CDTF">2014-01-30T11:40:00Z</dcterms:modified>
</cp:coreProperties>
</file>