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BD" w:rsidRDefault="00EA07BD" w:rsidP="00702088">
      <w:pPr>
        <w:jc w:val="center"/>
        <w:rPr>
          <w:b/>
          <w:caps/>
        </w:rPr>
      </w:pPr>
      <w:bookmarkStart w:id="0" w:name="_GoBack"/>
      <w:bookmarkEnd w:id="0"/>
      <w:r>
        <w:rPr>
          <w:b/>
          <w:caps/>
        </w:rPr>
        <w:t>KAUNO MIESTO SAVIVALDYBĖS KULTŪROS IR MENO TARYBOS</w:t>
      </w:r>
    </w:p>
    <w:p w:rsidR="00EA07BD" w:rsidRDefault="00EA07BD" w:rsidP="00702088">
      <w:pPr>
        <w:jc w:val="center"/>
        <w:rPr>
          <w:b/>
          <w:caps/>
        </w:rPr>
      </w:pPr>
      <w:r>
        <w:rPr>
          <w:b/>
          <w:caps/>
        </w:rPr>
        <w:t>VEIKLOS ATASKAITA</w:t>
      </w:r>
    </w:p>
    <w:p w:rsidR="00EA07BD" w:rsidRDefault="00EA07BD" w:rsidP="00702088">
      <w:pPr>
        <w:jc w:val="center"/>
        <w:rPr>
          <w:b/>
          <w:caps/>
        </w:rPr>
      </w:pPr>
      <w:r>
        <w:rPr>
          <w:b/>
          <w:caps/>
        </w:rPr>
        <w:t>UŽ 2011 M. GEGUŽĖS MĖN. – 2012 M. GEGUŽĖS MĖN.</w:t>
      </w:r>
    </w:p>
    <w:p w:rsidR="00EA07BD" w:rsidRDefault="00EA07BD" w:rsidP="00702088">
      <w:pPr>
        <w:jc w:val="center"/>
        <w:rPr>
          <w:b/>
        </w:rPr>
      </w:pPr>
    </w:p>
    <w:p w:rsidR="00EA07BD" w:rsidRPr="00F436AA" w:rsidRDefault="00EA07BD" w:rsidP="00702088">
      <w:pPr>
        <w:jc w:val="center"/>
      </w:pPr>
      <w:r>
        <w:t>2012-06-18</w:t>
      </w:r>
    </w:p>
    <w:p w:rsidR="00EA07BD" w:rsidRDefault="00EA07BD" w:rsidP="00702088">
      <w:pPr>
        <w:spacing w:line="360" w:lineRule="auto"/>
        <w:jc w:val="both"/>
        <w:rPr>
          <w:b/>
        </w:rPr>
      </w:pPr>
    </w:p>
    <w:p w:rsidR="00EA07BD" w:rsidRDefault="00EA07BD" w:rsidP="00702088">
      <w:pPr>
        <w:spacing w:line="360" w:lineRule="auto"/>
        <w:ind w:firstLine="720"/>
        <w:jc w:val="both"/>
      </w:pPr>
      <w:r w:rsidRPr="00E05B9C">
        <w:t>Kauno miesto kultūros ir meno taryb</w:t>
      </w:r>
      <w:r>
        <w:t>ą Kauno miesto savivaldybės taryba nusprendė įkurti 2011 m. sausio 20 d. Pirmasis naujosios tarybos posėdis buvo sušauktas 2011 m. balandžio 18 d. Kauno m. savivaldybės didžiojoje salėje. Jo metu buvo išrinkta tarybos pirmininkė bei apsvarstytas Kultūros ir meno tarybos darbo reglamentas.</w:t>
      </w:r>
    </w:p>
    <w:p w:rsidR="00EA07BD" w:rsidRDefault="00EA07BD" w:rsidP="00702088">
      <w:pPr>
        <w:spacing w:line="360" w:lineRule="auto"/>
        <w:ind w:firstLine="720"/>
        <w:jc w:val="both"/>
      </w:pPr>
      <w:r>
        <w:t xml:space="preserve">Pagal šio reglamento 9 punktą tarybos posėdžiai šaukiami prireikus, bet ne rečiau kaip keturis kartus per metus. </w:t>
      </w:r>
    </w:p>
    <w:p w:rsidR="00EA07BD" w:rsidRDefault="00EA07BD" w:rsidP="00702088">
      <w:pPr>
        <w:spacing w:line="360" w:lineRule="auto"/>
        <w:ind w:firstLine="720"/>
        <w:jc w:val="both"/>
      </w:pPr>
      <w:r>
        <w:t xml:space="preserve">Per ataskaitinį laikotarpį Taryba buvo susirinkusi į posėdžius 14 kartų (žr.posėdžių protokolus). </w:t>
      </w:r>
    </w:p>
    <w:p w:rsidR="00EA07BD" w:rsidRDefault="00EA07BD" w:rsidP="00702088">
      <w:pPr>
        <w:spacing w:line="360" w:lineRule="auto"/>
        <w:ind w:firstLine="720"/>
        <w:jc w:val="both"/>
      </w:pPr>
      <w:r>
        <w:t>Posėdžių metu buvo aptariami du pagrindiniai klausimai:</w:t>
      </w:r>
    </w:p>
    <w:p w:rsidR="00EA07BD" w:rsidRDefault="00EA07BD" w:rsidP="00702088">
      <w:pPr>
        <w:spacing w:line="360" w:lineRule="auto"/>
        <w:ind w:firstLine="720"/>
        <w:jc w:val="both"/>
      </w:pPr>
      <w:r>
        <w:t xml:space="preserve">1.  Meno premijų ir stipendijų menininkams teikimas </w:t>
      </w:r>
    </w:p>
    <w:p w:rsidR="00EA07BD" w:rsidRDefault="00EA07BD" w:rsidP="00702088">
      <w:pPr>
        <w:spacing w:line="360" w:lineRule="auto"/>
        <w:ind w:firstLine="720"/>
        <w:jc w:val="both"/>
      </w:pPr>
      <w:r>
        <w:t>2.  Kauno m. kultūros strategijos sukūrimas</w:t>
      </w:r>
    </w:p>
    <w:p w:rsidR="00EA07BD" w:rsidRDefault="00EA07BD" w:rsidP="00702088">
      <w:pPr>
        <w:spacing w:line="360" w:lineRule="auto"/>
        <w:jc w:val="both"/>
      </w:pPr>
      <w:r>
        <w:tab/>
        <w:t>Pirmuoju klausimu taryba pasisakė du kartus – rinkdama meno premijų ir stipendijų kandidatus 2011 m. ir 2012 m.</w:t>
      </w:r>
    </w:p>
    <w:p w:rsidR="00EA07BD" w:rsidRDefault="00EA07BD" w:rsidP="00702088">
      <w:pPr>
        <w:spacing w:line="360" w:lineRule="auto"/>
        <w:jc w:val="both"/>
      </w:pPr>
      <w:r>
        <w:tab/>
        <w:t>Antruoju klausimu taryba aktyviai dirbo visą ataskaitinį laikotarpį. Norėtųsi atkreipti dėmesį į Kauno m. kultūros strategijos kūrimo klausimo svarstymų eigą.</w:t>
      </w:r>
    </w:p>
    <w:p w:rsidR="00EA07BD" w:rsidRDefault="00EA07BD" w:rsidP="00702088">
      <w:pPr>
        <w:spacing w:line="360" w:lineRule="auto"/>
        <w:jc w:val="both"/>
      </w:pPr>
    </w:p>
    <w:p w:rsidR="00EA07BD" w:rsidRDefault="00EA07BD" w:rsidP="00702088">
      <w:pPr>
        <w:spacing w:line="360" w:lineRule="auto"/>
        <w:jc w:val="both"/>
        <w:rPr>
          <w:b/>
        </w:rPr>
      </w:pPr>
      <w:r w:rsidRPr="008A6B22">
        <w:rPr>
          <w:b/>
        </w:rPr>
        <w:t>Kauno m. kultūros strategijos kūrimo klausimo svarstymų eiga</w:t>
      </w:r>
    </w:p>
    <w:p w:rsidR="00EA07BD" w:rsidRPr="008A6B22" w:rsidRDefault="00EA07BD" w:rsidP="00702088">
      <w:pPr>
        <w:spacing w:line="360" w:lineRule="auto"/>
        <w:jc w:val="both"/>
        <w:rPr>
          <w:b/>
        </w:rPr>
      </w:pPr>
    </w:p>
    <w:p w:rsidR="00EA07BD" w:rsidRPr="00985762" w:rsidRDefault="00EA07BD" w:rsidP="00702088">
      <w:pPr>
        <w:spacing w:line="360" w:lineRule="auto"/>
        <w:ind w:firstLine="720"/>
        <w:contextualSpacing/>
        <w:jc w:val="both"/>
      </w:pPr>
      <w:r w:rsidRPr="00FE63F0">
        <w:t>2011-05-26</w:t>
      </w:r>
      <w:r>
        <w:rPr>
          <w:b/>
        </w:rPr>
        <w:t xml:space="preserve"> </w:t>
      </w:r>
      <w:r>
        <w:t xml:space="preserve">tarybai savivaldybės Kultūros skyriaus darbuotojai pateikė  </w:t>
      </w:r>
      <w:r>
        <w:rPr>
          <w:color w:val="000000"/>
        </w:rPr>
        <w:t>Kauno miesto kultūros strategijos projektą</w:t>
      </w:r>
      <w:r>
        <w:t xml:space="preserve">, kurį savivaldybė užsakė įmonei, laimėjusiai Viešųjų pirkimų konkursą. </w:t>
      </w:r>
      <w:r>
        <w:rPr>
          <w:color w:val="000000"/>
        </w:rPr>
        <w:t>Kultūros ir meno taryba vienbalsiai nutarė, jog Kauno miesto kultūros strategijos projektas neatitinka kultūros bendruomenės lūkesčių ir yra atmestinas. Esminiai trūkumai buvo šie:</w:t>
      </w:r>
    </w:p>
    <w:p w:rsidR="00EA07BD" w:rsidRDefault="00EA07BD" w:rsidP="00702088">
      <w:pPr>
        <w:spacing w:line="360" w:lineRule="auto"/>
        <w:jc w:val="both"/>
        <w:rPr>
          <w:color w:val="000000"/>
        </w:rPr>
      </w:pPr>
      <w:r w:rsidRPr="00FB3B80">
        <w:rPr>
          <w:color w:val="000000"/>
        </w:rPr>
        <w:t>1. Dokumente naudojama pasenusi, neaktuali, nepatikrinta informacija;</w:t>
      </w:r>
    </w:p>
    <w:p w:rsidR="00EA07BD" w:rsidRPr="00FB3B80" w:rsidRDefault="00EA07BD" w:rsidP="00702088">
      <w:pPr>
        <w:spacing w:line="360" w:lineRule="auto"/>
        <w:jc w:val="both"/>
        <w:rPr>
          <w:color w:val="000000"/>
        </w:rPr>
      </w:pPr>
      <w:r>
        <w:rPr>
          <w:color w:val="000000"/>
        </w:rPr>
        <w:t xml:space="preserve">2. </w:t>
      </w:r>
      <w:r w:rsidRPr="00FB3B80">
        <w:rPr>
          <w:color w:val="000000"/>
        </w:rPr>
        <w:t>Dokumento sąvokos ir tezės dėstomos padrikai ir nenuosekliai;</w:t>
      </w:r>
    </w:p>
    <w:p w:rsidR="00EA07BD" w:rsidRPr="00FB3B80" w:rsidRDefault="00EA07BD" w:rsidP="00702088">
      <w:pPr>
        <w:spacing w:line="360" w:lineRule="auto"/>
        <w:jc w:val="both"/>
        <w:rPr>
          <w:color w:val="000000"/>
        </w:rPr>
      </w:pPr>
      <w:r>
        <w:rPr>
          <w:color w:val="000000"/>
        </w:rPr>
        <w:t>3</w:t>
      </w:r>
      <w:r w:rsidRPr="00FB3B80">
        <w:rPr>
          <w:color w:val="000000"/>
        </w:rPr>
        <w:t>. Sąvokos ir terminai dažnai painiojami;</w:t>
      </w:r>
    </w:p>
    <w:p w:rsidR="00EA07BD" w:rsidRPr="00FB3B80" w:rsidRDefault="00EA07BD" w:rsidP="00702088">
      <w:pPr>
        <w:spacing w:line="360" w:lineRule="auto"/>
        <w:jc w:val="both"/>
        <w:rPr>
          <w:color w:val="000000"/>
        </w:rPr>
      </w:pPr>
      <w:r>
        <w:rPr>
          <w:color w:val="000000"/>
        </w:rPr>
        <w:t>4</w:t>
      </w:r>
      <w:r w:rsidRPr="00FB3B80">
        <w:rPr>
          <w:color w:val="000000"/>
        </w:rPr>
        <w:t>. Piktnaudžiaujama sudėtingomis frazėmis, stengiantis paslėpti turinio ir paprastos minties stoką;</w:t>
      </w:r>
    </w:p>
    <w:p w:rsidR="00EA07BD" w:rsidRPr="00FB3B80" w:rsidRDefault="00EA07BD" w:rsidP="00702088">
      <w:pPr>
        <w:spacing w:line="360" w:lineRule="auto"/>
        <w:jc w:val="both"/>
        <w:rPr>
          <w:color w:val="000000"/>
        </w:rPr>
      </w:pPr>
      <w:r>
        <w:rPr>
          <w:color w:val="000000"/>
        </w:rPr>
        <w:lastRenderedPageBreak/>
        <w:t>5</w:t>
      </w:r>
      <w:r w:rsidRPr="00FB3B80">
        <w:rPr>
          <w:color w:val="000000"/>
        </w:rPr>
        <w:t>. Ši “kultūros strategija” negrynina išskirtinai Kauno, kaip kultūros centro, vystymo idėjos. O naudojamos mintys šabloniškos ir tiktų bet kuriam miestui, ar net organizacijai;</w:t>
      </w:r>
    </w:p>
    <w:p w:rsidR="00EA07BD" w:rsidRPr="00FB3B80" w:rsidRDefault="00EA07BD" w:rsidP="00702088">
      <w:pPr>
        <w:spacing w:line="360" w:lineRule="auto"/>
        <w:jc w:val="both"/>
        <w:rPr>
          <w:color w:val="000000"/>
        </w:rPr>
      </w:pPr>
      <w:r>
        <w:rPr>
          <w:color w:val="000000"/>
        </w:rPr>
        <w:t>6</w:t>
      </w:r>
      <w:r w:rsidRPr="00FB3B80">
        <w:rPr>
          <w:color w:val="000000"/>
        </w:rPr>
        <w:t>. Dokumentas paruoštas be pačių Kauno menininkų, meno ekspertų ir kultūros darbuotojų poreikių analizės</w:t>
      </w:r>
      <w:r>
        <w:rPr>
          <w:color w:val="000000"/>
        </w:rPr>
        <w:t>;</w:t>
      </w:r>
    </w:p>
    <w:p w:rsidR="00EA07BD" w:rsidRPr="00FB3B80" w:rsidRDefault="00EA07BD" w:rsidP="00702088">
      <w:pPr>
        <w:spacing w:line="360" w:lineRule="auto"/>
        <w:jc w:val="both"/>
        <w:rPr>
          <w:color w:val="000000"/>
        </w:rPr>
      </w:pPr>
      <w:r>
        <w:rPr>
          <w:color w:val="000000"/>
        </w:rPr>
        <w:t>7</w:t>
      </w:r>
      <w:r w:rsidRPr="00FB3B80">
        <w:rPr>
          <w:color w:val="000000"/>
        </w:rPr>
        <w:t>. Dokumente daug gramatinių ir stiliaus klaidų</w:t>
      </w:r>
      <w:r>
        <w:rPr>
          <w:color w:val="000000"/>
        </w:rPr>
        <w:t>.</w:t>
      </w:r>
    </w:p>
    <w:p w:rsidR="00EA07BD" w:rsidRDefault="00EA07BD" w:rsidP="00702088">
      <w:pPr>
        <w:spacing w:line="360" w:lineRule="auto"/>
        <w:ind w:firstLine="357"/>
        <w:jc w:val="both"/>
      </w:pPr>
      <w:r>
        <w:t>Po minėto projekto svarstymo buvo nuspręsta pagrindines strategijos gaires sukurti pačiai kultūros bendruomenei, atsižvelgiant į įvairius šios bendruomenės interesus. Kultūros ir meno taryba ėmėsi iniciatyvos ir paskelbė viešą Kultūros strategijos gairių kūrimą rugsėjo 20 d. Facebook „Kauno kultūros politika“ puslapyje. Puslapyje, o taip pat ir keliuose atviruose tarybos posėdžiuose (žr. protokolus),  apie pagrindines strategijos gairių kryptis buvo diskutuojama iki gruodžio 1 d., diskusijose dalyvavo apie penkiasdešimt kultūros lauko dalyvių.  Gruodžio 2 d.  bendru tarybos sutarimu Kauno m. Merui A. Kupčinskui ir administracijos direktoriui D. Ratkeliui Savivaldybės mažojoje salėje buvo pristatytas Tarybos kreipimasis „Dėl  Kauno kultūros strategijos“, kuriame išvardintos keturios pagrindinės problemų grupės, kurias reikėtų įvardinti būsimoje Savivaldybės kuriamoje kultūros strategijoje.  2011-12-29 taryba gavo Kultūros skyriaus raštą nr. 34-2-260, kuriame informuojama, kad „rengiant Kauno kultūros strategiją bus atsižvelgiama į (...) suformuluotas problemų grupes“.</w:t>
      </w:r>
    </w:p>
    <w:p w:rsidR="00EA07BD" w:rsidRDefault="00EA07BD" w:rsidP="00702088">
      <w:pPr>
        <w:spacing w:line="360" w:lineRule="auto"/>
        <w:ind w:firstLine="357"/>
        <w:jc w:val="both"/>
      </w:pPr>
      <w:r>
        <w:t>Kad į bendruomenės sukurtos strategijos viziją ir pasiūlymus nėra atsižvelgiama išryškėjo jau 2012 m. vasario mėn. 14 d., kuomet Kauno miesto savivaldybės administracija pasiūlė reorganizuoti biudžetines kultūros įstaigas, nepateikdama argumentų, susijusių su naujai kuriama kultūros strategija, o tik motyvuodama sujungimo būtinybę lėšų taupymu, kuris taip pat nebuvo pagrįstas nei audito išvadomis, nei įmonių efektyvumo vertinimu. Kovo mėn.  pradžioje Taryba iš žiniasklaidos sužinojo apie dar trijų savivaldybės įstaigų galimą sujungimą – jis taip pat nebuvo motyvuotas jokiais finansiniais ar kokybiniais argumentais. Todėl, atsižvelgdama į kultūros bendruomenės reikalavimus, Taryba inicijavo viešą kreipimąsi į visuomenę bei 2012-03-06 raštu kreipėsi į Kauno m. Merą, prašydama sustabdyti ekonominiais ar kultūros vertės skaičiavimais nepagrįstas jungimo iniciatyvas.</w:t>
      </w:r>
    </w:p>
    <w:p w:rsidR="00EA07BD" w:rsidRDefault="00EA07BD" w:rsidP="00702088">
      <w:pPr>
        <w:spacing w:line="360" w:lineRule="auto"/>
        <w:ind w:firstLine="357"/>
        <w:jc w:val="both"/>
      </w:pPr>
      <w:r>
        <w:t>Po žiniasklaidos ir kultūros bendruomenės sukelto šurmulio Savivaldybė nusprendė sujungti tik koncertines įstaigas „Ainiai“, „Kauno bigbendas“ ir „Ąžuolynas“ į biudžetinę įstaigą „Santaka“.</w:t>
      </w:r>
    </w:p>
    <w:p w:rsidR="00EA07BD" w:rsidRDefault="00EA07BD" w:rsidP="00702088">
      <w:pPr>
        <w:spacing w:line="360" w:lineRule="auto"/>
        <w:ind w:firstLine="357"/>
        <w:jc w:val="both"/>
      </w:pPr>
      <w:r>
        <w:t xml:space="preserve">2012-03-22 tarybos posėdyje dalyvavęs Švietimo ir kultūros departamento direktorius V. Mažeika informavo tarybą apie tai, kad II ketvirtyje parengta miesto strategija neatliepia lūkesčių. </w:t>
      </w:r>
      <w:r>
        <w:lastRenderedPageBreak/>
        <w:t>Pasak jo, kai strategiją kuria valdininkai, ji nebūna veiksminga ir paprašė prisidėti tarybai prie jo rengimo. Priminus apie tai, kad dar praėjusiais metais taryba pateikė Savivaldybei kultūros strategijos gaires, buvo pereita prie efektyvios kultūros rodiklių klausimo ir paprašyta tarybos padėti nustatyti tuos rodiklius.</w:t>
      </w:r>
    </w:p>
    <w:p w:rsidR="00EA07BD" w:rsidRDefault="00EA07BD" w:rsidP="00702088">
      <w:pPr>
        <w:spacing w:line="360" w:lineRule="auto"/>
        <w:ind w:firstLine="357"/>
        <w:jc w:val="both"/>
      </w:pPr>
      <w:r>
        <w:t>2012-05-02 tarybai buvo pristatytas I-sis tiriamosios studijos</w:t>
      </w:r>
      <w:r w:rsidRPr="00D07C14">
        <w:t xml:space="preserve"> </w:t>
      </w:r>
      <w:r>
        <w:t>„</w:t>
      </w:r>
      <w:r w:rsidRPr="005D2B85">
        <w:t>Dėl Kauno miesto kultūros įtakos regiono savitumu</w:t>
      </w:r>
      <w:r>
        <w:t>i“ etapas, kurį parengė</w:t>
      </w:r>
      <w:r w:rsidRPr="00D07C14">
        <w:t xml:space="preserve"> </w:t>
      </w:r>
      <w:r w:rsidRPr="005D2B85">
        <w:t>UAB „Nacional</w:t>
      </w:r>
      <w:r>
        <w:t xml:space="preserve">inių projektų rengimas“ (pristatė atstovės R. Kastanauskienė ir I. Kaušylaitė). Po pristatymo paaiškėjo, kad studijos rengėjams Tarybos parengtos strategijos gairės nebuvo pateiktos, jie apie jas informacijos neturi. Pateikta informacija priminė  tą  patį nekokybišką dokumento projektą, kurį taryba jau buvo gavusi svarstymui prieš metus. Taryba rekomendavo rengėjams susipažinti su gairėmis, o rengėjai pažadėjo iki 2012 m. rugsėjo 15 d. pateikti tarybai II-ąją tyrimo dalį. </w:t>
      </w:r>
    </w:p>
    <w:p w:rsidR="00EA07BD" w:rsidRDefault="00EA07BD" w:rsidP="00702088">
      <w:pPr>
        <w:spacing w:line="360" w:lineRule="auto"/>
        <w:ind w:firstLine="357"/>
        <w:jc w:val="both"/>
      </w:pPr>
    </w:p>
    <w:p w:rsidR="00EA07BD" w:rsidRPr="00B22C52" w:rsidRDefault="00EA07BD" w:rsidP="00702088">
      <w:pPr>
        <w:spacing w:line="360" w:lineRule="auto"/>
        <w:ind w:firstLine="357"/>
        <w:jc w:val="both"/>
        <w:rPr>
          <w:b/>
        </w:rPr>
      </w:pPr>
      <w:r w:rsidRPr="00B22C52">
        <w:rPr>
          <w:b/>
        </w:rPr>
        <w:t>Išvados:</w:t>
      </w:r>
    </w:p>
    <w:p w:rsidR="00EA07BD" w:rsidRDefault="00EA07BD" w:rsidP="00702088">
      <w:pPr>
        <w:spacing w:line="360" w:lineRule="auto"/>
        <w:ind w:firstLine="357"/>
        <w:jc w:val="both"/>
      </w:pPr>
    </w:p>
    <w:p w:rsidR="00EA07BD" w:rsidRDefault="00EA07BD" w:rsidP="00702088">
      <w:pPr>
        <w:spacing w:line="360" w:lineRule="auto"/>
        <w:ind w:firstLine="357"/>
        <w:jc w:val="both"/>
      </w:pPr>
      <w:r>
        <w:t>Per ataskaitinį laikotarpį išryškėjo, kad:</w:t>
      </w:r>
    </w:p>
    <w:p w:rsidR="00EA07BD" w:rsidRDefault="00EA07BD" w:rsidP="00702088">
      <w:pPr>
        <w:spacing w:line="360" w:lineRule="auto"/>
        <w:ind w:firstLine="357"/>
        <w:jc w:val="both"/>
      </w:pPr>
      <w:r>
        <w:t xml:space="preserve">1) </w:t>
      </w:r>
      <w:r w:rsidRPr="00B22C52">
        <w:rPr>
          <w:u w:val="single"/>
        </w:rPr>
        <w:t>savivaldybės administraciniuose padaliniuose neveikia informacijos perdavimo atitinkamiems atsakingiems darbuotojams mechanizmas</w:t>
      </w:r>
      <w:r>
        <w:t xml:space="preserve">. Pvz., Merui ir Administracijos pavaduotojui pateiktos kultūros strategijos gairės buvo perduotos Kultūros skyriui, neinformuojant Tarybos, koks konkrečiai asmuo bus atsakingas už šių rekomendacijų įgyvendinimo priežiūrą. Tikėtina, kad todėl su minėtosiomis rekomendacijos nebuvo supažindinti Savivaldybės Tarybos ir administracijos nariai, inicijavę savivaldybės kultūros įstaigų reorganizaciją bei tiriamosios studijos rengėjai. </w:t>
      </w:r>
    </w:p>
    <w:p w:rsidR="00EA07BD" w:rsidRDefault="00EA07BD" w:rsidP="00702088">
      <w:pPr>
        <w:spacing w:line="360" w:lineRule="auto"/>
        <w:ind w:firstLine="357"/>
        <w:jc w:val="both"/>
      </w:pPr>
      <w:r>
        <w:t>2012-04-10 Kultūros ir meno taryba jungtiniame tarybos ir savivaldybės darbuotojų posėdyje, kuriame dalyvavo aukščiausius savivaldybės valdymo organus atstovaujantys darbuotojai vieningai sutarė, kad Savivaldybė turi skirti darbuotoją, atsakingą už ES minkšųjų projektų, skirtų kultūros laukui, įgyvendinimą bei skirti Savivaldybės darbuotoją, atsakingą už bendrą kultūros įstaigų veiklų viešinimą respublikiniu ir tarptautiniu mastu. Tačiau taryba iki šiol nėra informuota, kaip šis sutarimas bus įgyvendinamas ir kas bus atsakingas už jo įgyvendinimą.</w:t>
      </w:r>
    </w:p>
    <w:p w:rsidR="00EA07BD" w:rsidRDefault="00EA07BD" w:rsidP="00702088">
      <w:pPr>
        <w:spacing w:line="360" w:lineRule="auto"/>
        <w:ind w:firstLine="357"/>
        <w:jc w:val="both"/>
      </w:pPr>
      <w:r>
        <w:t xml:space="preserve">2) </w:t>
      </w:r>
      <w:r w:rsidRPr="00B22C52">
        <w:rPr>
          <w:u w:val="single"/>
        </w:rPr>
        <w:t>nėra laiko valdymo mechanizmo</w:t>
      </w:r>
      <w:r>
        <w:t xml:space="preserve">, todėl nėra aišku, per kokį laikotarpį galima tikėtis veiksmų įgyvendinimo ir sprendimų priėmimo. </w:t>
      </w:r>
    </w:p>
    <w:p w:rsidR="00EA07BD" w:rsidRDefault="00EA07BD" w:rsidP="00702088">
      <w:pPr>
        <w:spacing w:line="360" w:lineRule="auto"/>
        <w:ind w:firstLine="357"/>
        <w:jc w:val="both"/>
      </w:pPr>
      <w:r>
        <w:lastRenderedPageBreak/>
        <w:t xml:space="preserve">3) </w:t>
      </w:r>
      <w:r w:rsidRPr="00B22C52">
        <w:rPr>
          <w:u w:val="single"/>
        </w:rPr>
        <w:t>tikėtina, kad Savivaldybės skiriamos lėšos Viešiesiems pirkimams naudojamos neefektyviai</w:t>
      </w:r>
      <w:r>
        <w:t xml:space="preserve">, kadangi po metų laikotarpio Taryba vėl, praėjus metams, buvo supažindinta su nekokybiškai parengta aukščiau minėto tyrimo medžiaga. </w:t>
      </w:r>
    </w:p>
    <w:p w:rsidR="00EA07BD" w:rsidRDefault="00EA07BD" w:rsidP="00702088">
      <w:pPr>
        <w:spacing w:line="360" w:lineRule="auto"/>
        <w:ind w:firstLine="357"/>
        <w:jc w:val="both"/>
      </w:pPr>
      <w:r>
        <w:t xml:space="preserve">4) Dauguma klausimų tarybos svarstymui pateikiami ne iš anksto, o skubiai, jų tinkamai neparengus – tai rodo </w:t>
      </w:r>
      <w:r w:rsidRPr="00B22C52">
        <w:rPr>
          <w:u w:val="single"/>
        </w:rPr>
        <w:t>veiklos planavimo savivaldybės skyriuose stoką</w:t>
      </w:r>
      <w:r>
        <w:t>.</w:t>
      </w:r>
    </w:p>
    <w:p w:rsidR="00EA07BD" w:rsidRDefault="00EA07BD" w:rsidP="00702088">
      <w:pPr>
        <w:spacing w:line="360" w:lineRule="auto"/>
        <w:ind w:firstLine="357"/>
        <w:jc w:val="both"/>
      </w:pPr>
    </w:p>
    <w:p w:rsidR="00EA07BD" w:rsidRDefault="00EA07BD" w:rsidP="00702088">
      <w:pPr>
        <w:spacing w:line="360" w:lineRule="auto"/>
        <w:ind w:firstLine="357"/>
        <w:jc w:val="both"/>
      </w:pPr>
      <w:r>
        <w:t>Kult</w:t>
      </w:r>
      <w:r w:rsidRPr="004D0BC3">
        <w:t xml:space="preserve">ūros ir meno taryba rekomenduoja </w:t>
      </w:r>
      <w:r>
        <w:t xml:space="preserve">Savivaldybės tarybą ir administraciją </w:t>
      </w:r>
      <w:r w:rsidRPr="004D0BC3">
        <w:t>atsižvelgti į aukščiau pateiktas išvadas</w:t>
      </w:r>
      <w:r>
        <w:t xml:space="preserve"> tam, kad sklandus darbas vyktų tiek Savivaldybėje, tiek ir jai bendradarbiaujant su </w:t>
      </w:r>
      <w:r w:rsidRPr="00B22C52">
        <w:rPr>
          <w:u w:val="single"/>
        </w:rPr>
        <w:t>visuomeniniais</w:t>
      </w:r>
      <w:r>
        <w:t xml:space="preserve"> pagrindais dirbančia Kultūros ir meno taryba.</w:t>
      </w:r>
    </w:p>
    <w:p w:rsidR="00EA07BD" w:rsidRDefault="00EA07BD" w:rsidP="00702088">
      <w:pPr>
        <w:spacing w:line="360" w:lineRule="auto"/>
        <w:ind w:firstLine="357"/>
        <w:jc w:val="both"/>
      </w:pPr>
    </w:p>
    <w:p w:rsidR="00EA07BD" w:rsidRDefault="00EA07BD" w:rsidP="00702088">
      <w:pPr>
        <w:spacing w:line="360" w:lineRule="auto"/>
        <w:ind w:firstLine="357"/>
        <w:jc w:val="both"/>
      </w:pPr>
    </w:p>
    <w:p w:rsidR="00EA07BD" w:rsidRDefault="00EA07BD" w:rsidP="00702088">
      <w:pPr>
        <w:spacing w:line="360" w:lineRule="auto"/>
        <w:ind w:firstLine="357"/>
        <w:jc w:val="both"/>
      </w:pPr>
    </w:p>
    <w:p w:rsidR="00EA07BD" w:rsidRDefault="00EA07BD" w:rsidP="00702088">
      <w:pPr>
        <w:spacing w:line="360" w:lineRule="auto"/>
        <w:ind w:firstLine="357"/>
        <w:jc w:val="both"/>
      </w:pPr>
      <w:r>
        <w:t xml:space="preserve">Kultūros ir meno tarybos pirmininkė </w:t>
      </w:r>
      <w:r>
        <w:tab/>
      </w:r>
      <w:r>
        <w:tab/>
        <w:t xml:space="preserve">                                                       Ina Pukelytė</w:t>
      </w:r>
    </w:p>
    <w:p w:rsidR="00EA07BD" w:rsidRPr="004D0BC3" w:rsidRDefault="00EA07BD" w:rsidP="00702088">
      <w:pPr>
        <w:spacing w:line="360" w:lineRule="auto"/>
        <w:ind w:firstLine="357"/>
        <w:jc w:val="both"/>
      </w:pPr>
    </w:p>
    <w:p w:rsidR="00EA07BD" w:rsidRPr="00F436AA" w:rsidRDefault="00EA07BD" w:rsidP="00702088">
      <w:pPr>
        <w:jc w:val="both"/>
      </w:pPr>
    </w:p>
    <w:p w:rsidR="00EA07BD" w:rsidRDefault="00EA07BD" w:rsidP="00702088">
      <w:pPr>
        <w:spacing w:line="360" w:lineRule="auto"/>
        <w:ind w:firstLine="357"/>
        <w:jc w:val="both"/>
      </w:pPr>
    </w:p>
    <w:p w:rsidR="00EA07BD" w:rsidRDefault="00EA07BD" w:rsidP="00702088">
      <w:pPr>
        <w:jc w:val="both"/>
      </w:pPr>
    </w:p>
    <w:p w:rsidR="00EA07BD" w:rsidRPr="00F436AA" w:rsidRDefault="00EA07BD" w:rsidP="00702088">
      <w:pPr>
        <w:jc w:val="both"/>
      </w:pPr>
    </w:p>
    <w:p w:rsidR="00EA07BD" w:rsidRDefault="00EA07BD" w:rsidP="00702088">
      <w:pPr>
        <w:jc w:val="both"/>
      </w:pPr>
    </w:p>
    <w:sectPr w:rsidR="00EA07BD" w:rsidSect="00702088">
      <w:pgSz w:w="12240" w:h="15840"/>
      <w:pgMar w:top="1440" w:right="108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93"/>
    <w:multiLevelType w:val="hybridMultilevel"/>
    <w:tmpl w:val="F3721FB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DCD2B18"/>
    <w:multiLevelType w:val="hybridMultilevel"/>
    <w:tmpl w:val="A4E0A824"/>
    <w:lvl w:ilvl="0" w:tplc="092AE33E">
      <w:start w:val="1"/>
      <w:numFmt w:val="decimal"/>
      <w:lvlText w:val="%1."/>
      <w:lvlJc w:val="left"/>
      <w:pPr>
        <w:tabs>
          <w:tab w:val="num" w:pos="720"/>
        </w:tabs>
        <w:ind w:left="720" w:hanging="360"/>
      </w:pPr>
      <w:rPr>
        <w:rFonts w:cs="Times New Roman" w:hint="default"/>
      </w:rPr>
    </w:lvl>
    <w:lvl w:ilvl="1" w:tplc="79AC25F4">
      <w:numFmt w:val="none"/>
      <w:lvlText w:val=""/>
      <w:lvlJc w:val="left"/>
      <w:pPr>
        <w:tabs>
          <w:tab w:val="num" w:pos="360"/>
        </w:tabs>
      </w:pPr>
      <w:rPr>
        <w:rFonts w:cs="Times New Roman"/>
      </w:rPr>
    </w:lvl>
    <w:lvl w:ilvl="2" w:tplc="8F60C8F4">
      <w:numFmt w:val="none"/>
      <w:lvlText w:val=""/>
      <w:lvlJc w:val="left"/>
      <w:pPr>
        <w:tabs>
          <w:tab w:val="num" w:pos="360"/>
        </w:tabs>
      </w:pPr>
      <w:rPr>
        <w:rFonts w:cs="Times New Roman"/>
      </w:rPr>
    </w:lvl>
    <w:lvl w:ilvl="3" w:tplc="B1FEDCC0">
      <w:numFmt w:val="none"/>
      <w:lvlText w:val=""/>
      <w:lvlJc w:val="left"/>
      <w:pPr>
        <w:tabs>
          <w:tab w:val="num" w:pos="360"/>
        </w:tabs>
      </w:pPr>
      <w:rPr>
        <w:rFonts w:cs="Times New Roman"/>
      </w:rPr>
    </w:lvl>
    <w:lvl w:ilvl="4" w:tplc="5896D128">
      <w:numFmt w:val="none"/>
      <w:lvlText w:val=""/>
      <w:lvlJc w:val="left"/>
      <w:pPr>
        <w:tabs>
          <w:tab w:val="num" w:pos="360"/>
        </w:tabs>
      </w:pPr>
      <w:rPr>
        <w:rFonts w:cs="Times New Roman"/>
      </w:rPr>
    </w:lvl>
    <w:lvl w:ilvl="5" w:tplc="7EBA0D9C">
      <w:numFmt w:val="none"/>
      <w:lvlText w:val=""/>
      <w:lvlJc w:val="left"/>
      <w:pPr>
        <w:tabs>
          <w:tab w:val="num" w:pos="360"/>
        </w:tabs>
      </w:pPr>
      <w:rPr>
        <w:rFonts w:cs="Times New Roman"/>
      </w:rPr>
    </w:lvl>
    <w:lvl w:ilvl="6" w:tplc="81F64A5C">
      <w:numFmt w:val="none"/>
      <w:lvlText w:val=""/>
      <w:lvlJc w:val="left"/>
      <w:pPr>
        <w:tabs>
          <w:tab w:val="num" w:pos="360"/>
        </w:tabs>
      </w:pPr>
      <w:rPr>
        <w:rFonts w:cs="Times New Roman"/>
      </w:rPr>
    </w:lvl>
    <w:lvl w:ilvl="7" w:tplc="15104886">
      <w:numFmt w:val="none"/>
      <w:lvlText w:val=""/>
      <w:lvlJc w:val="left"/>
      <w:pPr>
        <w:tabs>
          <w:tab w:val="num" w:pos="360"/>
        </w:tabs>
      </w:pPr>
      <w:rPr>
        <w:rFonts w:cs="Times New Roman"/>
      </w:rPr>
    </w:lvl>
    <w:lvl w:ilvl="8" w:tplc="9FB21AA2">
      <w:numFmt w:val="none"/>
      <w:lvlText w:val=""/>
      <w:lvlJc w:val="left"/>
      <w:pPr>
        <w:tabs>
          <w:tab w:val="num" w:pos="360"/>
        </w:tabs>
      </w:pPr>
      <w:rPr>
        <w:rFonts w:cs="Times New Roman"/>
      </w:rPr>
    </w:lvl>
  </w:abstractNum>
  <w:abstractNum w:abstractNumId="2">
    <w:nsid w:val="1A9F045D"/>
    <w:multiLevelType w:val="hybridMultilevel"/>
    <w:tmpl w:val="4B463C1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0CF61BF"/>
    <w:multiLevelType w:val="hybridMultilevel"/>
    <w:tmpl w:val="80B4EBA8"/>
    <w:lvl w:ilvl="0" w:tplc="718ECF7C">
      <w:start w:val="1"/>
      <w:numFmt w:val="decimal"/>
      <w:lvlText w:val="%1."/>
      <w:lvlJc w:val="left"/>
      <w:pPr>
        <w:tabs>
          <w:tab w:val="num" w:pos="720"/>
        </w:tabs>
        <w:ind w:left="720" w:hanging="360"/>
      </w:pPr>
      <w:rPr>
        <w:rFonts w:cs="Times New Roman"/>
      </w:rPr>
    </w:lvl>
    <w:lvl w:ilvl="1" w:tplc="4D1A4BEE">
      <w:numFmt w:val="none"/>
      <w:lvlText w:val=""/>
      <w:lvlJc w:val="left"/>
      <w:pPr>
        <w:tabs>
          <w:tab w:val="num" w:pos="360"/>
        </w:tabs>
      </w:pPr>
      <w:rPr>
        <w:rFonts w:cs="Times New Roman"/>
      </w:rPr>
    </w:lvl>
    <w:lvl w:ilvl="2" w:tplc="72AA5FDE">
      <w:numFmt w:val="none"/>
      <w:lvlText w:val=""/>
      <w:lvlJc w:val="left"/>
      <w:pPr>
        <w:tabs>
          <w:tab w:val="num" w:pos="360"/>
        </w:tabs>
      </w:pPr>
      <w:rPr>
        <w:rFonts w:cs="Times New Roman"/>
      </w:rPr>
    </w:lvl>
    <w:lvl w:ilvl="3" w:tplc="4A8665AE">
      <w:numFmt w:val="none"/>
      <w:lvlText w:val=""/>
      <w:lvlJc w:val="left"/>
      <w:pPr>
        <w:tabs>
          <w:tab w:val="num" w:pos="360"/>
        </w:tabs>
      </w:pPr>
      <w:rPr>
        <w:rFonts w:cs="Times New Roman"/>
      </w:rPr>
    </w:lvl>
    <w:lvl w:ilvl="4" w:tplc="4ED813CC">
      <w:numFmt w:val="none"/>
      <w:lvlText w:val=""/>
      <w:lvlJc w:val="left"/>
      <w:pPr>
        <w:tabs>
          <w:tab w:val="num" w:pos="360"/>
        </w:tabs>
      </w:pPr>
      <w:rPr>
        <w:rFonts w:cs="Times New Roman"/>
      </w:rPr>
    </w:lvl>
    <w:lvl w:ilvl="5" w:tplc="C58AC47E">
      <w:numFmt w:val="none"/>
      <w:lvlText w:val=""/>
      <w:lvlJc w:val="left"/>
      <w:pPr>
        <w:tabs>
          <w:tab w:val="num" w:pos="360"/>
        </w:tabs>
      </w:pPr>
      <w:rPr>
        <w:rFonts w:cs="Times New Roman"/>
      </w:rPr>
    </w:lvl>
    <w:lvl w:ilvl="6" w:tplc="C390107E">
      <w:numFmt w:val="none"/>
      <w:lvlText w:val=""/>
      <w:lvlJc w:val="left"/>
      <w:pPr>
        <w:tabs>
          <w:tab w:val="num" w:pos="360"/>
        </w:tabs>
      </w:pPr>
      <w:rPr>
        <w:rFonts w:cs="Times New Roman"/>
      </w:rPr>
    </w:lvl>
    <w:lvl w:ilvl="7" w:tplc="FA58AAD4">
      <w:numFmt w:val="none"/>
      <w:lvlText w:val=""/>
      <w:lvlJc w:val="left"/>
      <w:pPr>
        <w:tabs>
          <w:tab w:val="num" w:pos="360"/>
        </w:tabs>
      </w:pPr>
      <w:rPr>
        <w:rFonts w:cs="Times New Roman"/>
      </w:rPr>
    </w:lvl>
    <w:lvl w:ilvl="8" w:tplc="026C2B86">
      <w:numFmt w:val="none"/>
      <w:lvlText w:val=""/>
      <w:lvlJc w:val="left"/>
      <w:pPr>
        <w:tabs>
          <w:tab w:val="num" w:pos="360"/>
        </w:tabs>
      </w:pPr>
      <w:rPr>
        <w:rFonts w:cs="Times New Roman"/>
      </w:rPr>
    </w:lvl>
  </w:abstractNum>
  <w:abstractNum w:abstractNumId="4">
    <w:nsid w:val="40EF65A5"/>
    <w:multiLevelType w:val="hybridMultilevel"/>
    <w:tmpl w:val="57AA6ABE"/>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56567A20"/>
    <w:multiLevelType w:val="hybridMultilevel"/>
    <w:tmpl w:val="E370D33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60817E9F"/>
    <w:multiLevelType w:val="hybridMultilevel"/>
    <w:tmpl w:val="85B613D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2E"/>
    <w:rsid w:val="0006344F"/>
    <w:rsid w:val="0009196C"/>
    <w:rsid w:val="00121234"/>
    <w:rsid w:val="001A31A4"/>
    <w:rsid w:val="001C68E5"/>
    <w:rsid w:val="001D7608"/>
    <w:rsid w:val="0020021B"/>
    <w:rsid w:val="00274EAC"/>
    <w:rsid w:val="002930F4"/>
    <w:rsid w:val="002F0A63"/>
    <w:rsid w:val="003E7C91"/>
    <w:rsid w:val="004D0BC3"/>
    <w:rsid w:val="005373FA"/>
    <w:rsid w:val="00543C2E"/>
    <w:rsid w:val="00560698"/>
    <w:rsid w:val="00595611"/>
    <w:rsid w:val="005D2B85"/>
    <w:rsid w:val="005E3748"/>
    <w:rsid w:val="00702088"/>
    <w:rsid w:val="00781505"/>
    <w:rsid w:val="00840B2B"/>
    <w:rsid w:val="00874311"/>
    <w:rsid w:val="008854D8"/>
    <w:rsid w:val="008A6B22"/>
    <w:rsid w:val="008D6E41"/>
    <w:rsid w:val="008F3698"/>
    <w:rsid w:val="009273EC"/>
    <w:rsid w:val="00985762"/>
    <w:rsid w:val="00A072C3"/>
    <w:rsid w:val="00A350CF"/>
    <w:rsid w:val="00AD51B9"/>
    <w:rsid w:val="00B22C52"/>
    <w:rsid w:val="00B72A81"/>
    <w:rsid w:val="00D07C14"/>
    <w:rsid w:val="00D74062"/>
    <w:rsid w:val="00D97EC8"/>
    <w:rsid w:val="00E05B9C"/>
    <w:rsid w:val="00E062C2"/>
    <w:rsid w:val="00EA07BD"/>
    <w:rsid w:val="00F05C12"/>
    <w:rsid w:val="00F436AA"/>
    <w:rsid w:val="00FB3B80"/>
    <w:rsid w:val="00FE1951"/>
    <w:rsid w:val="00FE63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3C2E"/>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43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3C2E"/>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4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4767</Words>
  <Characters>2718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Kauno miesto kultūros ir meno tarybos 2011 m</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kultūros ir meno tarybos 2011 m</dc:title>
  <dc:creator>random</dc:creator>
  <cp:lastModifiedBy>Deividas Vasiliauskas</cp:lastModifiedBy>
  <cp:revision>2</cp:revision>
  <dcterms:created xsi:type="dcterms:W3CDTF">2015-09-07T10:53:00Z</dcterms:created>
  <dcterms:modified xsi:type="dcterms:W3CDTF">2015-09-07T10:53:00Z</dcterms:modified>
</cp:coreProperties>
</file>