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2333F" w:rsidTr="0012333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036E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1233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2036E1" w:rsidRDefault="002036E1">
            <w:pPr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12333F" w:rsidTr="0012333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036E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12333F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2036E1" w:rsidRDefault="002036E1">
            <w:pPr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12333F" w:rsidTr="0012333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036E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036E1" w:rsidRDefault="002036E1">
            <w:pPr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2036E1">
        <w:trPr>
          <w:trHeight w:val="19"/>
        </w:trPr>
        <w:tc>
          <w:tcPr>
            <w:tcW w:w="5272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12333F" w:rsidTr="0012333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036E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1233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2022-04-20  Nr. K18-D-4</w:t>
                  </w:r>
                </w:p>
              </w:tc>
            </w:tr>
          </w:tbl>
          <w:p w:rsidR="002036E1" w:rsidRDefault="002036E1">
            <w:pPr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2036E1">
        <w:trPr>
          <w:trHeight w:val="20"/>
        </w:trPr>
        <w:tc>
          <w:tcPr>
            <w:tcW w:w="5272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12333F" w:rsidTr="0012333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036E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1233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036E1" w:rsidRDefault="002036E1">
            <w:pPr>
              <w:spacing w:after="0" w:line="240" w:lineRule="auto"/>
            </w:pPr>
          </w:p>
        </w:tc>
        <w:tc>
          <w:tcPr>
            <w:tcW w:w="1133" w:type="dxa"/>
          </w:tcPr>
          <w:p w:rsidR="002036E1" w:rsidRDefault="002036E1">
            <w:pPr>
              <w:pStyle w:val="EmptyCellLayoutStyle"/>
              <w:spacing w:after="0" w:line="240" w:lineRule="auto"/>
            </w:pPr>
          </w:p>
        </w:tc>
      </w:tr>
      <w:tr w:rsidR="0012333F" w:rsidTr="0012333F">
        <w:tc>
          <w:tcPr>
            <w:tcW w:w="9635" w:type="dxa"/>
            <w:gridSpan w:val="4"/>
          </w:tcPr>
          <w:p w:rsidR="0012333F" w:rsidRDefault="0012333F"/>
          <w:p w:rsidR="0012333F" w:rsidRPr="0012333F" w:rsidRDefault="0012333F" w:rsidP="0012333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Čečėnijos aikštės pavadinimo pakeitimo (TR-214)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</w:t>
                  </w:r>
                  <w:r w:rsidR="0012333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2333F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12333F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12333F">
                    <w:rPr>
                      <w:color w:val="000000"/>
                      <w:sz w:val="24"/>
                    </w:rPr>
                    <w:t xml:space="preserve"> </w:t>
                  </w:r>
                  <w:r w:rsidR="0012333F" w:rsidRPr="0012333F">
                    <w:rPr>
                      <w:b/>
                      <w:color w:val="000000"/>
                      <w:sz w:val="24"/>
                    </w:rPr>
                    <w:t>14:00</w:t>
                  </w:r>
                  <w:r w:rsidR="0012333F" w:rsidRPr="0012333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2022 m. kovo 22 d. sprendimo Nr. T-132 „Dėl pritarimo Kauno regiono plėtros tarybos nuostatų projektui“ pakeitimo (TR-239)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</w:t>
                  </w:r>
                  <w:r>
                    <w:rPr>
                      <w:b/>
                      <w:color w:val="000000"/>
                      <w:sz w:val="24"/>
                    </w:rPr>
                    <w:t>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vedėja)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14:05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2022 m. vasario 22 d. sprendimo Nr. T-61 „Dėl Kauno miesto savivaldybės 2022 metų biudžeto patvirtinimo“ pakeitimo (TR-250)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</w:t>
                  </w:r>
                  <w:r>
                    <w:rPr>
                      <w:b/>
                      <w:color w:val="000000"/>
                      <w:sz w:val="24"/>
                    </w:rPr>
                    <w:t>omikos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14:10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Kauno miesto savivaldybės kontrolės ir audito tarnybos 2021 metų veiklos ataskaitai (TR-230)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Žana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Gasparavičienė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Savivaldybės kontrolierė 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>
                    <w:rPr>
                      <w:b/>
                      <w:color w:val="000000"/>
                      <w:sz w:val="24"/>
                    </w:rPr>
                    <w:t xml:space="preserve"> kontrolės ir audito tarnyba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14:20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2020 m. birželio 23 d. sprendimo Nr. T-277 „Dėl Kauno miesto savivaldybės biudžetinių įstaigų perkamos (parduodamos) ar finansuojamos socialinės globos, socialinės priežiūros ir bendrųjų socialinių pasla</w:t>
                  </w:r>
                  <w:r>
                    <w:rPr>
                      <w:color w:val="000000"/>
                      <w:sz w:val="24"/>
                    </w:rPr>
                    <w:t xml:space="preserve">ugų kainų ir maitinimo dienos atsiskaitomųjų piniginių išlaidų normų nustatymo“ pakeitimo (TR-231)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2016 m. lapkričio 29 d. sprendimo Nr. T-612 „Dėl didžiausio leistino pareigybių (etatų) skaičiaus</w:t>
                  </w:r>
                  <w:r>
                    <w:rPr>
                      <w:color w:val="000000"/>
                      <w:sz w:val="24"/>
                    </w:rPr>
                    <w:t xml:space="preserve"> Kauno miesto savivaldybės biudžetinėse socialinių paslaugų įstaigose nustatymo“ pakeitimo (TR-245)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</w:t>
                  </w:r>
                  <w:r>
                    <w:rPr>
                      <w:b/>
                      <w:color w:val="000000"/>
                      <w:sz w:val="24"/>
                    </w:rPr>
                    <w:t>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14:30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administracijos direktor</w:t>
                  </w:r>
                  <w:r>
                    <w:rPr>
                      <w:color w:val="000000"/>
                      <w:sz w:val="24"/>
                    </w:rPr>
                    <w:t xml:space="preserve">iaus pavaduotojo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atleidimo iš pareigų (TR-228)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Tado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Metelionio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pareigas (TR-229)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Gedemino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Barčausko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pavaduotojo pareigas (TR-244)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</w:t>
                  </w:r>
                  <w:r>
                    <w:rPr>
                      <w:b/>
                      <w:color w:val="000000"/>
                      <w:sz w:val="24"/>
                    </w:rPr>
                    <w:t>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14:35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Maironio premijos skyrimo (TR-212)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biudžetinių profesionaliojo scenos meno įstaigų 2022 metų veiklos planų ir 2022 metų kūrybinės veiklos programų patvirtinimo (TR-216)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2019 m. gruodžio 17 d. sprendimo Nr. T-556 „Dėl Kauno miesto savivaldybės kūdikio kraitelio skyrimo tvarkos aprašo patvirtinimo“ pakeitimo (TR-222)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Agnė Augonė (Kultūros skyrius vedėja, </w:t>
                  </w:r>
                  <w:r>
                    <w:rPr>
                      <w:b/>
                      <w:color w:val="000000"/>
                      <w:sz w:val="24"/>
                    </w:rPr>
                    <w:t>atliekanti Klientų aptarnavimo ir informavimo skyriaus vedėjo funkcijas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14:40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pritarimo perduoti turtą (TR-208)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humanitarinės pagalbos suteikimo (TR-213)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humanitarinės pagalbos suteikimo tarptautiniam paramos fondui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Ostanij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Bastion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Charkivo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Charkivo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tarybos vykdomajam komitetui (TR-238)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Milda Labašauskaitė (Sveikatos apsaugos skyria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14:50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Rudnosiukas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reorganizavimo, prijungiant jį prie Kauno lopšelio-darželio „Šilelis“ (TR-219)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Kodėlčiukas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reorganizavimo, prijungiant jį prie Kauno lopšelio-darželio „Svirnelis“ (TR-220)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Antano Smetonos gimnazijos reorganizavimo, prijungiant ją prie Kauno „Varpo“ gimnazijos (</w:t>
                  </w:r>
                  <w:r>
                    <w:rPr>
                      <w:color w:val="000000"/>
                      <w:sz w:val="24"/>
                    </w:rPr>
                    <w:t xml:space="preserve">TR-225)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ir valstybės  ilgalaikio  materialiojo ir nematerialiojo  turto  perėmimo prieš terminą iš Generolo Povilo Plechavičiaus kadetų licėjaus ir turto panaudos sutarties pakeitimo (TR-205)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</w:t>
                  </w:r>
                  <w:r>
                    <w:rPr>
                      <w:color w:val="000000"/>
                      <w:sz w:val="24"/>
                    </w:rPr>
                    <w:t xml:space="preserve">. Dėl ilgalaikio ir trumpalaikio materialiojo turto perėmimo Kauno miesto savivaldybės nuosavybėn ir jo perdavimo bendrojo ugdymo mokykloms (TR-206)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Radastėlė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reorganizavimo, prijungiant jį prie Kauno lopšeli</w:t>
                  </w:r>
                  <w:r>
                    <w:rPr>
                      <w:color w:val="000000"/>
                      <w:sz w:val="24"/>
                    </w:rPr>
                    <w:t xml:space="preserve">o-darželio „Bitutė“ (TR-217)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vaikų 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Raudonkepuraitė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reorganizavimo, prijungiant jį prie Kauno lopšelio-darželio „Spragtukas“ (TR-218)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2018 m. spalio 9 d. sprendim</w:t>
                  </w:r>
                  <w:r>
                    <w:rPr>
                      <w:color w:val="000000"/>
                      <w:sz w:val="24"/>
                    </w:rPr>
                    <w:t>o Nr. T-489 „Dėl biudžetinės bendrojo ugdymo mokyklos, biudžetinės ikimokyklinio ugdymo įstaigos ir biudžetinės neformaliojo švietimo įstaigos (išskyrus ikimokyklinio ugdymo įstaigas) direktoriaus pareigybės aprašymų patvirtinimo“ pripažinimo netekusiu gal</w:t>
                  </w:r>
                  <w:r>
                    <w:rPr>
                      <w:color w:val="000000"/>
                      <w:sz w:val="24"/>
                    </w:rPr>
                    <w:t xml:space="preserve">ios (TR-224)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2021 m. rugsėjo 14 d. sprendimo Nr. T-378 ,,Dėl kompiuterinės įrangos perėmimo savivaldybės nuosavybėn ir jos perdavimo bendrojo ugdymo mokykloms“ pakeitimo (TR-226) </w:t>
                  </w:r>
                </w:p>
              </w:tc>
            </w:tr>
            <w:tr w:rsidR="002036E1" w:rsidTr="0012333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</w:t>
                  </w:r>
                  <w:r>
                    <w:rPr>
                      <w:color w:val="000000"/>
                      <w:sz w:val="24"/>
                    </w:rPr>
                    <w:t xml:space="preserve"> Kauno miesto savivaldybės tarybos 2022 m. vasario 1 d. sprendimo Nr. T-21 „Dėl didžiausio leistino pareigybių (etatų) skaičiaus Kauno miesto savivaldybės biudžetinėse bendrojo ugdymo mokyklose nustatymo ir pritarimo didžiausiam leistinam pareigybių (etatų</w:t>
                  </w:r>
                  <w:r>
                    <w:rPr>
                      <w:color w:val="000000"/>
                      <w:sz w:val="24"/>
                    </w:rPr>
                    <w:t xml:space="preserve">) skaičiui viešosiose bendrojo ugdymo mokyklose, kurių dalininkė yra Kauno miesto savivaldybė“ pakeitimo (TR-251) </w:t>
                  </w:r>
                </w:p>
              </w:tc>
            </w:tr>
            <w:tr w:rsidR="002036E1" w:rsidTr="0012333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81659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81659A">
                    <w:rPr>
                      <w:b/>
                      <w:color w:val="000000"/>
                      <w:sz w:val="24"/>
                    </w:rPr>
                    <w:t>15:00</w:t>
                  </w:r>
                  <w:r w:rsidRPr="0081659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2036E1" w:rsidRDefault="002036E1" w:rsidP="0012333F">
            <w:pPr>
              <w:spacing w:after="0" w:line="240" w:lineRule="auto"/>
              <w:jc w:val="both"/>
            </w:pPr>
          </w:p>
        </w:tc>
      </w:tr>
      <w:tr w:rsidR="002036E1">
        <w:trPr>
          <w:trHeight w:val="660"/>
        </w:trPr>
        <w:tc>
          <w:tcPr>
            <w:tcW w:w="5272" w:type="dxa"/>
          </w:tcPr>
          <w:p w:rsidR="002036E1" w:rsidRDefault="002036E1" w:rsidP="0012333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036E1" w:rsidRDefault="002036E1" w:rsidP="0012333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2036E1" w:rsidRDefault="002036E1" w:rsidP="0012333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2036E1" w:rsidRDefault="002036E1" w:rsidP="0012333F">
            <w:pPr>
              <w:pStyle w:val="EmptyCellLayoutStyle"/>
              <w:spacing w:after="0" w:line="240" w:lineRule="auto"/>
              <w:jc w:val="both"/>
            </w:pPr>
          </w:p>
        </w:tc>
      </w:tr>
      <w:tr w:rsidR="0012333F" w:rsidTr="0012333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2036E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2036E1" w:rsidRDefault="002036E1" w:rsidP="0012333F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036E1" w:rsidRDefault="002036E1" w:rsidP="0012333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2036E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36E1" w:rsidRDefault="0081659A" w:rsidP="0012333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2036E1" w:rsidRDefault="002036E1" w:rsidP="0012333F">
            <w:pPr>
              <w:spacing w:after="0" w:line="240" w:lineRule="auto"/>
              <w:jc w:val="both"/>
            </w:pPr>
          </w:p>
        </w:tc>
      </w:tr>
    </w:tbl>
    <w:p w:rsidR="002036E1" w:rsidRDefault="002036E1">
      <w:pPr>
        <w:spacing w:after="0" w:line="240" w:lineRule="auto"/>
      </w:pPr>
    </w:p>
    <w:sectPr w:rsidR="002036E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59A">
      <w:pPr>
        <w:spacing w:after="0" w:line="240" w:lineRule="auto"/>
      </w:pPr>
      <w:r>
        <w:separator/>
      </w:r>
    </w:p>
  </w:endnote>
  <w:endnote w:type="continuationSeparator" w:id="0">
    <w:p w:rsidR="00000000" w:rsidRDefault="0081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59A">
      <w:pPr>
        <w:spacing w:after="0" w:line="240" w:lineRule="auto"/>
      </w:pPr>
      <w:r>
        <w:separator/>
      </w:r>
    </w:p>
  </w:footnote>
  <w:footnote w:type="continuationSeparator" w:id="0">
    <w:p w:rsidR="00000000" w:rsidRDefault="0081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2036E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2036E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36E1" w:rsidRDefault="0081659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036E1" w:rsidRDefault="002036E1">
          <w:pPr>
            <w:spacing w:after="0" w:line="240" w:lineRule="auto"/>
          </w:pPr>
        </w:p>
      </w:tc>
      <w:tc>
        <w:tcPr>
          <w:tcW w:w="1133" w:type="dxa"/>
        </w:tcPr>
        <w:p w:rsidR="002036E1" w:rsidRDefault="002036E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E1" w:rsidRDefault="002036E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1"/>
    <w:rsid w:val="0012333F"/>
    <w:rsid w:val="002036E1"/>
    <w:rsid w:val="008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503"/>
  <w15:docId w15:val="{B884226A-3F2A-454F-8173-BFCDABB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3866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2022-04-15T08:33:00Z</dcterms:created>
  <dcterms:modified xsi:type="dcterms:W3CDTF">2022-04-15T08:39:00Z</dcterms:modified>
</cp:coreProperties>
</file>