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2"/>
        <w:gridCol w:w="847"/>
        <w:gridCol w:w="2383"/>
        <w:gridCol w:w="1133"/>
      </w:tblGrid>
      <w:tr w:rsidR="00377695" w:rsidTr="00377695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F204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Default="00377695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KAUNO MIESTO SAVIVALDYBĖ</w:t>
                  </w:r>
                  <w:r w:rsidR="004C3DBF">
                    <w:rPr>
                      <w:b/>
                      <w:color w:val="000000"/>
                      <w:sz w:val="24"/>
                    </w:rPr>
                    <w:t>S</w:t>
                  </w:r>
                  <w:r>
                    <w:rPr>
                      <w:b/>
                      <w:color w:val="000000"/>
                      <w:sz w:val="24"/>
                    </w:rPr>
                    <w:t xml:space="preserve"> TARYBA</w:t>
                  </w:r>
                </w:p>
              </w:tc>
            </w:tr>
          </w:tbl>
          <w:p w:rsidR="008F2046" w:rsidRDefault="008F2046">
            <w:pPr>
              <w:spacing w:after="0" w:line="240" w:lineRule="auto"/>
            </w:pPr>
          </w:p>
        </w:tc>
        <w:tc>
          <w:tcPr>
            <w:tcW w:w="1133" w:type="dxa"/>
          </w:tcPr>
          <w:p w:rsidR="008F2046" w:rsidRDefault="008F2046">
            <w:pPr>
              <w:pStyle w:val="EmptyCellLayoutStyle"/>
              <w:spacing w:after="0" w:line="240" w:lineRule="auto"/>
            </w:pPr>
          </w:p>
        </w:tc>
      </w:tr>
      <w:tr w:rsidR="00377695" w:rsidTr="00377695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F204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Default="004C3DB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 xml:space="preserve">VALDYMO IR BENDRUOMENIŲ </w:t>
                  </w:r>
                  <w:r w:rsidR="00377695">
                    <w:rPr>
                      <w:b/>
                      <w:color w:val="000000"/>
                      <w:sz w:val="24"/>
                    </w:rPr>
                    <w:t>PLĖTOJIMO KOMITETO POSĖDŽIO</w:t>
                  </w:r>
                </w:p>
              </w:tc>
            </w:tr>
          </w:tbl>
          <w:p w:rsidR="008F2046" w:rsidRDefault="008F2046">
            <w:pPr>
              <w:spacing w:after="0" w:line="240" w:lineRule="auto"/>
            </w:pPr>
          </w:p>
        </w:tc>
        <w:tc>
          <w:tcPr>
            <w:tcW w:w="1133" w:type="dxa"/>
          </w:tcPr>
          <w:p w:rsidR="008F2046" w:rsidRDefault="008F2046">
            <w:pPr>
              <w:pStyle w:val="EmptyCellLayoutStyle"/>
              <w:spacing w:after="0" w:line="240" w:lineRule="auto"/>
            </w:pPr>
          </w:p>
        </w:tc>
      </w:tr>
      <w:tr w:rsidR="00377695" w:rsidTr="00377695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F204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Default="004C3DBF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DARBOTVARKĖ</w:t>
                  </w:r>
                </w:p>
              </w:tc>
            </w:tr>
          </w:tbl>
          <w:p w:rsidR="008F2046" w:rsidRDefault="008F2046">
            <w:pPr>
              <w:spacing w:after="0" w:line="240" w:lineRule="auto"/>
            </w:pPr>
          </w:p>
        </w:tc>
        <w:tc>
          <w:tcPr>
            <w:tcW w:w="1133" w:type="dxa"/>
          </w:tcPr>
          <w:p w:rsidR="008F2046" w:rsidRDefault="008F2046">
            <w:pPr>
              <w:pStyle w:val="EmptyCellLayoutStyle"/>
              <w:spacing w:after="0" w:line="240" w:lineRule="auto"/>
            </w:pPr>
          </w:p>
        </w:tc>
      </w:tr>
      <w:tr w:rsidR="008F2046">
        <w:trPr>
          <w:trHeight w:val="19"/>
        </w:trPr>
        <w:tc>
          <w:tcPr>
            <w:tcW w:w="5272" w:type="dxa"/>
          </w:tcPr>
          <w:p w:rsidR="008F2046" w:rsidRDefault="008F2046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8F2046" w:rsidRDefault="008F2046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F2046" w:rsidRDefault="008F2046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F2046" w:rsidRDefault="008F2046">
            <w:pPr>
              <w:pStyle w:val="EmptyCellLayoutStyle"/>
              <w:spacing w:after="0" w:line="240" w:lineRule="auto"/>
            </w:pPr>
          </w:p>
        </w:tc>
      </w:tr>
      <w:tr w:rsidR="00377695" w:rsidTr="00377695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F204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Default="0037769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2021-09-08  Nr. K18-D-9</w:t>
                  </w:r>
                </w:p>
              </w:tc>
            </w:tr>
          </w:tbl>
          <w:p w:rsidR="008F2046" w:rsidRDefault="008F2046">
            <w:pPr>
              <w:spacing w:after="0" w:line="240" w:lineRule="auto"/>
            </w:pPr>
          </w:p>
        </w:tc>
        <w:tc>
          <w:tcPr>
            <w:tcW w:w="1133" w:type="dxa"/>
          </w:tcPr>
          <w:p w:rsidR="008F2046" w:rsidRDefault="008F2046">
            <w:pPr>
              <w:pStyle w:val="EmptyCellLayoutStyle"/>
              <w:spacing w:after="0" w:line="240" w:lineRule="auto"/>
            </w:pPr>
          </w:p>
        </w:tc>
      </w:tr>
      <w:tr w:rsidR="008F2046">
        <w:trPr>
          <w:trHeight w:val="20"/>
        </w:trPr>
        <w:tc>
          <w:tcPr>
            <w:tcW w:w="5272" w:type="dxa"/>
          </w:tcPr>
          <w:p w:rsidR="008F2046" w:rsidRDefault="008F2046">
            <w:pPr>
              <w:pStyle w:val="EmptyCellLayoutStyle"/>
              <w:spacing w:after="0" w:line="240" w:lineRule="auto"/>
            </w:pPr>
          </w:p>
        </w:tc>
        <w:tc>
          <w:tcPr>
            <w:tcW w:w="847" w:type="dxa"/>
          </w:tcPr>
          <w:p w:rsidR="008F2046" w:rsidRDefault="008F2046">
            <w:pPr>
              <w:pStyle w:val="EmptyCellLayoutStyle"/>
              <w:spacing w:after="0" w:line="240" w:lineRule="auto"/>
            </w:pPr>
          </w:p>
        </w:tc>
        <w:tc>
          <w:tcPr>
            <w:tcW w:w="2383" w:type="dxa"/>
          </w:tcPr>
          <w:p w:rsidR="008F2046" w:rsidRDefault="008F2046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</w:tcPr>
          <w:p w:rsidR="008F2046" w:rsidRDefault="008F2046">
            <w:pPr>
              <w:pStyle w:val="EmptyCellLayoutStyle"/>
              <w:spacing w:after="0" w:line="240" w:lineRule="auto"/>
            </w:pPr>
          </w:p>
        </w:tc>
      </w:tr>
      <w:tr w:rsidR="00377695" w:rsidTr="00377695">
        <w:trPr>
          <w:trHeight w:val="340"/>
        </w:trPr>
        <w:tc>
          <w:tcPr>
            <w:tcW w:w="8502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502"/>
            </w:tblGrid>
            <w:tr w:rsidR="008F2046">
              <w:trPr>
                <w:trHeight w:val="262"/>
              </w:trPr>
              <w:tc>
                <w:tcPr>
                  <w:tcW w:w="850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Default="00377695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Kaunas</w:t>
                  </w:r>
                </w:p>
              </w:tc>
            </w:tr>
          </w:tbl>
          <w:p w:rsidR="008F2046" w:rsidRDefault="008F2046">
            <w:pPr>
              <w:spacing w:after="0" w:line="240" w:lineRule="auto"/>
            </w:pPr>
          </w:p>
        </w:tc>
        <w:tc>
          <w:tcPr>
            <w:tcW w:w="1133" w:type="dxa"/>
          </w:tcPr>
          <w:p w:rsidR="008F2046" w:rsidRDefault="008F2046">
            <w:pPr>
              <w:pStyle w:val="EmptyCellLayoutStyle"/>
              <w:spacing w:after="0" w:line="240" w:lineRule="auto"/>
            </w:pPr>
          </w:p>
        </w:tc>
      </w:tr>
      <w:tr w:rsidR="00377695" w:rsidRPr="00377695" w:rsidTr="00377695">
        <w:tc>
          <w:tcPr>
            <w:tcW w:w="9635" w:type="dxa"/>
            <w:gridSpan w:val="4"/>
          </w:tcPr>
          <w:p w:rsidR="00377695" w:rsidRDefault="00377695" w:rsidP="00377695">
            <w:pPr>
              <w:jc w:val="center"/>
            </w:pPr>
          </w:p>
          <w:p w:rsidR="00377695" w:rsidRPr="00377695" w:rsidRDefault="00377695" w:rsidP="0037769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POSĖDIS VYKS NUOTOLINIU BŪDU PER MICROSOFT TEAMS PROGRAMĄ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5"/>
            </w:tblGrid>
            <w:tr w:rsidR="008F2046" w:rsidRPr="00377695" w:rsidTr="0037769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3776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            1. Dėl Kauno miesto savivaldybei nuosavybės teise priklausančio  ilgalaikio materialiojo turto perdavimo valdyti, naudoti ir disponuoti juo patikėjimo teise viešajai įstaigai Kauno miesto greitosios medicinos pagalbos stočiai (TR-400) </w:t>
                  </w:r>
                </w:p>
              </w:tc>
            </w:tr>
            <w:tr w:rsidR="008F2046" w:rsidRPr="00377695" w:rsidTr="00377695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3776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7695">
                    <w:rPr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377695">
                    <w:rPr>
                      <w:b/>
                      <w:color w:val="000000"/>
                      <w:sz w:val="24"/>
                      <w:szCs w:val="24"/>
                    </w:rPr>
                    <w:t xml:space="preserve">          Pranešėjas -  Artūras Andriuška (Bendrųjų reikalų skyri</w:t>
                  </w:r>
                  <w:r w:rsidR="00377695"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Pr="00377695">
                    <w:rPr>
                      <w:b/>
                      <w:color w:val="000000"/>
                      <w:sz w:val="24"/>
                      <w:szCs w:val="24"/>
                    </w:rPr>
                    <w:t>us vedėjas)</w:t>
                  </w:r>
                  <w:r w:rsidR="00377695" w:rsidRPr="0037769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377695">
                    <w:rPr>
                      <w:color w:val="000000"/>
                      <w:sz w:val="24"/>
                      <w:szCs w:val="24"/>
                    </w:rPr>
                    <w:t xml:space="preserve">       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</w:t>
                  </w:r>
                  <w:r w:rsidR="00377695">
                    <w:rPr>
                      <w:color w:val="000000"/>
                      <w:sz w:val="24"/>
                      <w:szCs w:val="24"/>
                    </w:rPr>
                    <w:t xml:space="preserve">  </w:t>
                  </w:r>
                  <w:r w:rsidR="00377695" w:rsidRPr="00377695">
                    <w:rPr>
                      <w:b/>
                      <w:color w:val="000000"/>
                      <w:sz w:val="24"/>
                      <w:szCs w:val="24"/>
                    </w:rPr>
                    <w:t>14:00</w:t>
                  </w:r>
                  <w:r w:rsidR="00377695" w:rsidRPr="00377695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8F2046" w:rsidRPr="00377695" w:rsidTr="0037769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3776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            2. Dėl pareiginės algos koeficiento nustatymo Kauno miesto savivaldybės administracijos direktoriaus pavaduotojams (TR-419) </w:t>
                  </w:r>
                </w:p>
              </w:tc>
            </w:tr>
            <w:tr w:rsidR="008F2046" w:rsidRPr="00377695" w:rsidTr="00377695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377695" w:rsidP="003776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</w:t>
                  </w:r>
                  <w:r w:rsidR="004C3DBF" w:rsidRPr="00377695">
                    <w:rPr>
                      <w:b/>
                      <w:color w:val="000000"/>
                      <w:sz w:val="24"/>
                      <w:szCs w:val="24"/>
                    </w:rPr>
                    <w:t xml:space="preserve"> -  Jurgita Kvedaravičienė (Personalo valdymo skyri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="004C3DBF" w:rsidRPr="00377695">
                    <w:rPr>
                      <w:b/>
                      <w:color w:val="000000"/>
                      <w:sz w:val="24"/>
                      <w:szCs w:val="24"/>
                    </w:rPr>
                    <w:t>us vedėja)</w:t>
                  </w: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</w:t>
                  </w:r>
                  <w:r w:rsidR="004C3DBF">
                    <w:rPr>
                      <w:color w:val="000000"/>
                      <w:sz w:val="24"/>
                      <w:szCs w:val="24"/>
                    </w:rPr>
                    <w:t xml:space="preserve">  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7695">
                    <w:rPr>
                      <w:b/>
                      <w:color w:val="000000"/>
                      <w:sz w:val="24"/>
                      <w:szCs w:val="24"/>
                    </w:rPr>
                    <w:t>14:05</w:t>
                  </w:r>
                  <w:r w:rsidRPr="00377695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8F2046" w:rsidRPr="00377695" w:rsidTr="0037769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3776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            3. Dėl Kauno miesto savivaldybės administracijos nuostatų patvirtinimo (TR-410) </w:t>
                  </w:r>
                </w:p>
              </w:tc>
            </w:tr>
            <w:tr w:rsidR="008F2046" w:rsidRPr="00377695" w:rsidTr="00377695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377695" w:rsidP="003776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</w:t>
                  </w:r>
                  <w:r w:rsidR="004C3DBF" w:rsidRPr="00377695">
                    <w:rPr>
                      <w:b/>
                      <w:color w:val="000000"/>
                      <w:sz w:val="24"/>
                      <w:szCs w:val="24"/>
                    </w:rPr>
                    <w:t xml:space="preserve"> -  Kristina </w:t>
                  </w:r>
                  <w:proofErr w:type="spellStart"/>
                  <w:r w:rsidR="004C3DBF" w:rsidRPr="00377695">
                    <w:rPr>
                      <w:b/>
                      <w:color w:val="000000"/>
                      <w:sz w:val="24"/>
                      <w:szCs w:val="24"/>
                    </w:rPr>
                    <w:t>Kripienė</w:t>
                  </w:r>
                  <w:proofErr w:type="spellEnd"/>
                  <w:r w:rsidR="004C3DBF" w:rsidRPr="00377695">
                    <w:rPr>
                      <w:b/>
                      <w:color w:val="000000"/>
                      <w:sz w:val="24"/>
                      <w:szCs w:val="24"/>
                    </w:rPr>
                    <w:t xml:space="preserve"> (Teisės ir konsultavimo skyr</w:t>
                  </w:r>
                  <w:r w:rsidR="004C3DBF" w:rsidRPr="00377695">
                    <w:rPr>
                      <w:b/>
                      <w:color w:val="000000"/>
                      <w:sz w:val="24"/>
                      <w:szCs w:val="24"/>
                    </w:rPr>
                    <w:t>i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="004C3DBF" w:rsidRPr="00377695">
                    <w:rPr>
                      <w:b/>
                      <w:color w:val="000000"/>
                      <w:sz w:val="24"/>
                      <w:szCs w:val="24"/>
                    </w:rPr>
                    <w:t xml:space="preserve">us vedėjos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</w:t>
                  </w:r>
                  <w:r w:rsidR="004C3DBF" w:rsidRPr="00377695">
                    <w:rPr>
                      <w:b/>
                      <w:color w:val="000000"/>
                      <w:sz w:val="24"/>
                      <w:szCs w:val="24"/>
                    </w:rPr>
                    <w:t>pavaduotoja)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</w:t>
                  </w:r>
                  <w:r w:rsidR="004C3DBF">
                    <w:rPr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377695">
                    <w:rPr>
                      <w:b/>
                      <w:color w:val="000000"/>
                      <w:sz w:val="24"/>
                      <w:szCs w:val="24"/>
                    </w:rPr>
                    <w:t>14:10</w:t>
                  </w:r>
                  <w:r w:rsidRPr="00377695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8F2046" w:rsidRPr="00377695" w:rsidTr="0037769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4C3DBF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            4. Dėl Kauno miesto savivaldybės tarybos 2012 m. vasario 23 d. sprendimo Nr. T-59 „Dėl mokesčio už sporto mokymą Kauno miesto savivaldybės biudžetinėse sporto mokyklose“ pakeitimo (TR-421) </w:t>
                  </w:r>
                </w:p>
              </w:tc>
            </w:tr>
            <w:tr w:rsidR="008F2046" w:rsidRPr="00377695" w:rsidTr="00377695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3776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7695">
                    <w:rPr>
                      <w:b/>
                      <w:color w:val="000000"/>
                      <w:sz w:val="24"/>
                      <w:szCs w:val="24"/>
                    </w:rPr>
                    <w:t xml:space="preserve">            Pranešėjas</w:t>
                  </w:r>
                  <w:r w:rsidRPr="00377695">
                    <w:rPr>
                      <w:b/>
                      <w:color w:val="000000"/>
                      <w:sz w:val="24"/>
                      <w:szCs w:val="24"/>
                    </w:rPr>
                    <w:t xml:space="preserve"> -  Mindaugas Šivickas (Sporto skyri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Pr="00377695">
                    <w:rPr>
                      <w:b/>
                      <w:color w:val="000000"/>
                      <w:sz w:val="24"/>
                      <w:szCs w:val="24"/>
                    </w:rPr>
                    <w:t>us vedėjas)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</w:t>
                  </w: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C3DBF">
                    <w:rPr>
                      <w:b/>
                      <w:color w:val="000000"/>
                      <w:sz w:val="24"/>
                      <w:szCs w:val="24"/>
                    </w:rPr>
                    <w:t>14:15</w:t>
                  </w:r>
                  <w:r w:rsidRPr="004C3DBF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8F2046" w:rsidRPr="00377695" w:rsidTr="0037769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4C3DBF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            5. Dėl Kauno miesto savivaldybės 2020 metų konsoliduotųjų finansinių ataskaitų rinkinio patvirtinimo (TR-395) </w:t>
                  </w:r>
                </w:p>
              </w:tc>
            </w:tr>
            <w:tr w:rsidR="008F2046" w:rsidRPr="00377695" w:rsidTr="00377695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3776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7695">
                    <w:rPr>
                      <w:b/>
                      <w:color w:val="000000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Pranešėja</w:t>
                  </w:r>
                  <w:r w:rsidRPr="00377695">
                    <w:rPr>
                      <w:b/>
                      <w:color w:val="000000"/>
                      <w:sz w:val="24"/>
                      <w:szCs w:val="24"/>
                    </w:rPr>
                    <w:t xml:space="preserve"> -  Jolanta Brazaitienė (Centrin</w:t>
                  </w:r>
                  <w:r w:rsidRPr="00377695">
                    <w:rPr>
                      <w:b/>
                      <w:color w:val="000000"/>
                      <w:sz w:val="24"/>
                      <w:szCs w:val="24"/>
                    </w:rPr>
                    <w:t>is apskaitos skyri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Pr="00377695">
                    <w:rPr>
                      <w:b/>
                      <w:color w:val="000000"/>
                      <w:sz w:val="24"/>
                      <w:szCs w:val="24"/>
                    </w:rPr>
                    <w:t>us vedėja)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 </w:t>
                  </w: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C3DBF">
                    <w:rPr>
                      <w:b/>
                      <w:color w:val="000000"/>
                      <w:sz w:val="24"/>
                      <w:szCs w:val="24"/>
                    </w:rPr>
                    <w:t>14:20</w:t>
                  </w:r>
                  <w:r w:rsidRPr="004C3DBF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8F2046" w:rsidRPr="00377695" w:rsidTr="0037769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4C3DBF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            6. Dėl Kauno miesto savivaldybės 2020 metų biudžeto vykdymo ataskaitų rinkinio tvirtinimo (TR-376) </w:t>
                  </w:r>
                </w:p>
              </w:tc>
            </w:tr>
            <w:tr w:rsidR="008F2046" w:rsidRPr="00377695" w:rsidTr="0037769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3776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            7. Dėl Kauno miesto savivaldybės tarybos 2</w:t>
                  </w: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021 m. vasario 23 d. sprendimo Nr. T-58 „Dėl Kauno miesto savivaldybės 2021 metų biudžeto patvirtinimo“ pakeitimo (TR-404) </w:t>
                  </w:r>
                </w:p>
              </w:tc>
            </w:tr>
            <w:tr w:rsidR="008F2046" w:rsidRPr="00377695" w:rsidTr="00377695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3776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7695">
                    <w:rPr>
                      <w:b/>
                      <w:color w:val="000000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Pranešėja</w:t>
                  </w:r>
                  <w:r w:rsidRPr="00377695">
                    <w:rPr>
                      <w:b/>
                      <w:color w:val="000000"/>
                      <w:sz w:val="24"/>
                      <w:szCs w:val="24"/>
                    </w:rPr>
                    <w:t xml:space="preserve"> -  Roma Vosylienė (Finansų ir ekonomikos skyri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Pr="00377695">
                    <w:rPr>
                      <w:b/>
                      <w:color w:val="000000"/>
                      <w:sz w:val="24"/>
                      <w:szCs w:val="24"/>
                    </w:rPr>
                    <w:t>us vedėja)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 </w:t>
                  </w: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C3DBF">
                    <w:rPr>
                      <w:b/>
                      <w:color w:val="000000"/>
                      <w:sz w:val="24"/>
                      <w:szCs w:val="24"/>
                    </w:rPr>
                    <w:t>14:25</w:t>
                  </w:r>
                  <w:r w:rsidRPr="004C3DBF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8F2046" w:rsidRPr="00377695" w:rsidTr="0037769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4C3DBF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            8. Dėl Kauno miesto savivaldybės tarybos 2017 m. vasario 7 d. sprendimo Nr. T-15 „Dėl Viešųjų erdvių akcentų sukūrimo ir įgyvendinimo projektų paraiškų atrankos ir finansavimo tvarkos aprašo patvirtinimo“ pakeitimo (TR-375) </w:t>
                  </w:r>
                </w:p>
              </w:tc>
            </w:tr>
            <w:tr w:rsidR="008F2046" w:rsidRPr="00377695" w:rsidTr="0037769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3776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            9</w:t>
                  </w: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. Dėl Kauno miesto savivaldybės tarybos 2021 m. vasario 2 d. sprendimo Nr. T-3 „Dėl Kauno miesto savivaldybės 2021–2023 metų strateginio veiklos plano patvirtinimo“ pakeitimo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   </w:t>
                  </w: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(TR-396) </w:t>
                  </w:r>
                </w:p>
              </w:tc>
            </w:tr>
            <w:tr w:rsidR="008F2046" w:rsidRPr="00377695" w:rsidTr="00377695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3776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7695">
                    <w:rPr>
                      <w:b/>
                      <w:color w:val="000000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Pranešėja</w:t>
                  </w:r>
                  <w:r w:rsidRPr="00377695">
                    <w:rPr>
                      <w:b/>
                      <w:color w:val="000000"/>
                      <w:sz w:val="24"/>
                      <w:szCs w:val="24"/>
                    </w:rPr>
                    <w:t xml:space="preserve"> -  Vijolė </w:t>
                  </w:r>
                  <w:proofErr w:type="spellStart"/>
                  <w:r w:rsidRPr="00377695">
                    <w:rPr>
                      <w:b/>
                      <w:color w:val="000000"/>
                      <w:sz w:val="24"/>
                      <w:szCs w:val="24"/>
                    </w:rPr>
                    <w:t>Karpienė</w:t>
                  </w:r>
                  <w:proofErr w:type="spellEnd"/>
                  <w:r w:rsidRPr="00377695">
                    <w:rPr>
                      <w:b/>
                      <w:color w:val="000000"/>
                      <w:sz w:val="24"/>
                      <w:szCs w:val="24"/>
                    </w:rPr>
                    <w:t xml:space="preserve"> (Strateginio planavimo, anal</w:t>
                  </w:r>
                  <w:r w:rsidRPr="00377695">
                    <w:rPr>
                      <w:b/>
                      <w:color w:val="000000"/>
                      <w:sz w:val="24"/>
                      <w:szCs w:val="24"/>
                    </w:rPr>
                    <w:t>izės ir programų valdymo skyri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Pr="00377695">
                    <w:rPr>
                      <w:b/>
                      <w:color w:val="000000"/>
                      <w:sz w:val="24"/>
                      <w:szCs w:val="24"/>
                    </w:rPr>
                    <w:t>us vyresnioji patarėja, atliekanti vedėjo funkcijas)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                 </w:t>
                  </w: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C3DBF">
                    <w:rPr>
                      <w:b/>
                      <w:color w:val="000000"/>
                      <w:sz w:val="24"/>
                      <w:szCs w:val="24"/>
                    </w:rPr>
                    <w:t>14:35</w:t>
                  </w:r>
                  <w:r w:rsidRPr="004C3DBF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  <w:tr w:rsidR="008F2046" w:rsidRPr="00377695" w:rsidTr="0037769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4C3DBF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            10. Dėl Metų mokytojo premijų skyrimo (TR-379) </w:t>
                  </w:r>
                </w:p>
              </w:tc>
            </w:tr>
            <w:tr w:rsidR="008F2046" w:rsidRPr="00377695" w:rsidTr="0037769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3776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            11. Dėl mokyklinio  autobuso  perėmimo Kauno miesto savivaldybės nuosavybėn ir jo perdavimo va</w:t>
                  </w: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ldyti, naudoti ir disponuoti juo patikėjimo teise (TR-384) </w:t>
                  </w:r>
                </w:p>
              </w:tc>
            </w:tr>
            <w:tr w:rsidR="008F2046" w:rsidRPr="00377695" w:rsidTr="0037769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3776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            12. Dėl kompiuterinės įrangos  perėmimo Savivaldybės nuosavybėn ir jos perdavimo bendrojo ugdymo mokykloms (TR-399) </w:t>
                  </w:r>
                </w:p>
              </w:tc>
            </w:tr>
            <w:tr w:rsidR="008F2046" w:rsidRPr="00377695" w:rsidTr="0037769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3776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            13. Dėl ilgalaikio ir trumpalaikio materialiojo turto perėmimo Savivaldybės nuosavybėn ir jo perdavimo valdyti, naudoti ir disponuoti juo patikėjimo teise (TR-401) </w:t>
                  </w:r>
                </w:p>
              </w:tc>
            </w:tr>
            <w:tr w:rsidR="008F2046" w:rsidRPr="00377695" w:rsidTr="0037769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3776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7695">
                    <w:rPr>
                      <w:color w:val="000000"/>
                      <w:sz w:val="24"/>
                      <w:szCs w:val="24"/>
                    </w:rPr>
                    <w:lastRenderedPageBreak/>
                    <w:t xml:space="preserve">            14. Dėl ilgalaikio (išskyrus nekilnojamąjį) materialiojo turto ir </w:t>
                  </w: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trumpalaikio materialiojo turto, esančio Kovo 11-osios g. 108, Kaune perdavimo Kauno Miko Petrausko scenos menų mokyklai valdyti, naudoti ir disponuoti juo patikėjimo teise (TR-417) </w:t>
                  </w:r>
                </w:p>
              </w:tc>
            </w:tr>
            <w:tr w:rsidR="008F2046" w:rsidRPr="00377695" w:rsidTr="0037769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3776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            15. Dėl Kauno moksleivių techninės kūrybos centro nuostatų p</w:t>
                  </w: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atvirtinimo (TR-402) </w:t>
                  </w:r>
                </w:p>
              </w:tc>
            </w:tr>
            <w:tr w:rsidR="008F2046" w:rsidRPr="00377695" w:rsidTr="0037769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3776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            16. Dėl didžiausio leistino pareigybių (etatų) skaičiaus Kauno miesto savivaldybės biudžetinėse švietimo pagalbos įstaigose nustatymo (TR-403) </w:t>
                  </w:r>
                </w:p>
              </w:tc>
            </w:tr>
            <w:tr w:rsidR="008F2046" w:rsidRPr="00377695" w:rsidTr="0037769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3776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            17. Dėl Kauno miesto savivaldybės tarybos 2020 m. lapkričio 17 d</w:t>
                  </w:r>
                  <w:r w:rsidRPr="00377695">
                    <w:rPr>
                      <w:color w:val="000000"/>
                      <w:sz w:val="24"/>
                      <w:szCs w:val="24"/>
                    </w:rPr>
                    <w:t>. sprendimo Nr. T-515 „Dėl didžiausio leistino pareigybių (etatų) skaičiaus Kauno miesto savivaldybės biudžetinėse bendrojo ugdymo mokyklose nustatymo ir pritarimo didžiausiam leistinam pareigybių (etatų) skaičiui viešosiose bendrojo ugdymo mokyklose, kuri</w:t>
                  </w: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ų dalininkė yra Kauno miesto savivaldybė“ pakeitimo (TR-406) </w:t>
                  </w:r>
                </w:p>
              </w:tc>
            </w:tr>
            <w:tr w:rsidR="008F2046" w:rsidRPr="00377695" w:rsidTr="0037769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3776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            18. Dėl Kauno miesto savivaldybės tarybos 2020 m. vasario 25 d. sprendimo Nr. T-69 ,,Dėl didžiausio leistino pareigybių (etatų) skaičiaus Kauno miesto savivaldybės biudžetinėse ikim</w:t>
                  </w: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okyklinėse įstaigose nustatymo“ pakeitimo (TR-407) </w:t>
                  </w:r>
                </w:p>
              </w:tc>
            </w:tr>
            <w:tr w:rsidR="008F2046" w:rsidRPr="00377695" w:rsidTr="0037769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3776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            19. Dėl Kauno miesto savivaldybės tarybos 2021 m. birželio 22 d. sprendimo Nr. T-263 „Dėl didžiausio leistino pareigybių (etatų) skaičiaus Kauno miesto savivaldybės biudžetinėse neformaliojo </w:t>
                  </w: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švietimo įstaigose nustatymo“ pakeitimo (TR-408) </w:t>
                  </w:r>
                </w:p>
              </w:tc>
            </w:tr>
            <w:tr w:rsidR="008F2046" w:rsidRPr="00377695" w:rsidTr="0037769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3776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            20. Dėl Kauno miesto savivaldybės tarybos 2017 m. kovo 28 d. sprendimo Nr. T-172 „Dėl tarpdisciplininio itin gabių mokinių ugdymo programos vykdymo ir paraiškų dalyvauti programoje teikimo tvar</w:t>
                  </w: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kos aprašo patvirtinimo“ pakeitimo (TR-415) </w:t>
                  </w:r>
                </w:p>
              </w:tc>
            </w:tr>
            <w:tr w:rsidR="008F2046" w:rsidRPr="00377695" w:rsidTr="0037769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3776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            21. Dėl Kauno miesto savivaldybės tarybos 2014 m. gruodžio 22 d. sprendimo Nr. T-710 „Dėl Kauno pedagogų kvalifikacijos centro teikiamų paslaugų įkainių nustatymo“ pakeitimo (TR-416) </w:t>
                  </w:r>
                </w:p>
              </w:tc>
            </w:tr>
            <w:tr w:rsidR="008F2046" w:rsidRPr="00377695" w:rsidTr="00377695">
              <w:trPr>
                <w:trHeight w:val="24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3776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            22. Dėl atlyginimo už Kauno miesto savivaldybės neformaliojo vaikų švietimo įstaigose ir bendrojo ugdymo mokyklose, turinčiose neformaliojo ugdymo skyrius, teikiamą neformalųjį švietimą (TR-420) </w:t>
                  </w:r>
                </w:p>
              </w:tc>
            </w:tr>
            <w:tr w:rsidR="008F2046" w:rsidRPr="00377695" w:rsidTr="00377695">
              <w:trPr>
                <w:trHeight w:val="237"/>
              </w:trPr>
              <w:tc>
                <w:tcPr>
                  <w:tcW w:w="96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3776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 w:rsidRPr="00377695">
                    <w:rPr>
                      <w:b/>
                      <w:color w:val="000000"/>
                      <w:sz w:val="24"/>
                      <w:szCs w:val="24"/>
                    </w:rPr>
                    <w:t xml:space="preserve">           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Pranešėja</w:t>
                  </w:r>
                  <w:r w:rsidRPr="00377695">
                    <w:rPr>
                      <w:b/>
                      <w:color w:val="000000"/>
                      <w:sz w:val="24"/>
                      <w:szCs w:val="24"/>
                    </w:rPr>
                    <w:t xml:space="preserve"> -  Ona Gucevičienė (Švie</w:t>
                  </w:r>
                  <w:r w:rsidRPr="00377695">
                    <w:rPr>
                      <w:b/>
                      <w:color w:val="000000"/>
                      <w:sz w:val="24"/>
                      <w:szCs w:val="24"/>
                    </w:rPr>
                    <w:t>timo skyri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a</w:t>
                  </w:r>
                  <w:r w:rsidRPr="00377695">
                    <w:rPr>
                      <w:b/>
                      <w:color w:val="000000"/>
                      <w:sz w:val="24"/>
                      <w:szCs w:val="24"/>
                    </w:rPr>
                    <w:t>us vedėja)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                                  </w:t>
                  </w:r>
                  <w:r w:rsidRPr="00377695"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Pr="004C3DBF">
                    <w:rPr>
                      <w:b/>
                      <w:color w:val="000000"/>
                      <w:sz w:val="24"/>
                      <w:szCs w:val="24"/>
                    </w:rPr>
                    <w:t>14:50</w:t>
                  </w:r>
                  <w:r w:rsidRPr="004C3DBF">
                    <w:rPr>
                      <w:b/>
                      <w:color w:val="000000"/>
                      <w:sz w:val="24"/>
                      <w:szCs w:val="24"/>
                    </w:rPr>
                    <w:t xml:space="preserve"> val.</w:t>
                  </w:r>
                </w:p>
              </w:tc>
            </w:tr>
          </w:tbl>
          <w:p w:rsidR="008F2046" w:rsidRPr="00377695" w:rsidRDefault="008F2046" w:rsidP="003776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8F2046" w:rsidRPr="00377695">
        <w:trPr>
          <w:trHeight w:val="660"/>
        </w:trPr>
        <w:tc>
          <w:tcPr>
            <w:tcW w:w="5272" w:type="dxa"/>
          </w:tcPr>
          <w:p w:rsidR="008F2046" w:rsidRPr="00377695" w:rsidRDefault="008F2046" w:rsidP="00377695">
            <w:pPr>
              <w:pStyle w:val="EmptyCellLayoutStyle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F2046" w:rsidRPr="00377695" w:rsidRDefault="008F2046" w:rsidP="00377695">
            <w:pPr>
              <w:pStyle w:val="EmptyCellLayoutStyle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8F2046" w:rsidRPr="00377695" w:rsidRDefault="008F2046" w:rsidP="00377695">
            <w:pPr>
              <w:pStyle w:val="EmptyCellLayoutStyle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:rsidR="008F2046" w:rsidRPr="00377695" w:rsidRDefault="008F2046" w:rsidP="00377695">
            <w:pPr>
              <w:pStyle w:val="EmptyCellLayoutStyle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377695" w:rsidRPr="00377695" w:rsidTr="00377695">
        <w:trPr>
          <w:trHeight w:val="340"/>
        </w:trPr>
        <w:tc>
          <w:tcPr>
            <w:tcW w:w="527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272"/>
            </w:tblGrid>
            <w:tr w:rsidR="008F2046" w:rsidRPr="00377695">
              <w:trPr>
                <w:trHeight w:val="262"/>
              </w:trPr>
              <w:tc>
                <w:tcPr>
                  <w:tcW w:w="52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3776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K</w:t>
                  </w:r>
                  <w:r w:rsidRPr="00377695">
                    <w:rPr>
                      <w:color w:val="000000"/>
                      <w:sz w:val="24"/>
                      <w:szCs w:val="24"/>
                    </w:rPr>
                    <w:t>omiteto pirmininkas</w:t>
                  </w:r>
                </w:p>
              </w:tc>
            </w:tr>
          </w:tbl>
          <w:p w:rsidR="008F2046" w:rsidRPr="00377695" w:rsidRDefault="008F2046" w:rsidP="003776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47" w:type="dxa"/>
          </w:tcPr>
          <w:p w:rsidR="008F2046" w:rsidRPr="00377695" w:rsidRDefault="008F2046" w:rsidP="00377695">
            <w:pPr>
              <w:pStyle w:val="EmptyCellLayoutStyle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1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516"/>
            </w:tblGrid>
            <w:tr w:rsidR="008F2046" w:rsidRPr="00377695">
              <w:trPr>
                <w:trHeight w:val="262"/>
              </w:trPr>
              <w:tc>
                <w:tcPr>
                  <w:tcW w:w="35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8F2046" w:rsidRPr="00377695" w:rsidRDefault="004C3DBF" w:rsidP="00377695">
                  <w:pPr>
                    <w:spacing w:after="0" w:line="240" w:lineRule="auto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</w:t>
                  </w:r>
                  <w:bookmarkStart w:id="0" w:name="_GoBack"/>
                  <w:bookmarkEnd w:id="0"/>
                  <w:r w:rsidRPr="00377695">
                    <w:rPr>
                      <w:color w:val="000000"/>
                      <w:sz w:val="24"/>
                      <w:szCs w:val="24"/>
                    </w:rPr>
                    <w:t>Rimantas Lekavičius</w:t>
                  </w:r>
                </w:p>
              </w:tc>
            </w:tr>
          </w:tbl>
          <w:p w:rsidR="008F2046" w:rsidRPr="00377695" w:rsidRDefault="008F2046" w:rsidP="0037769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F2046" w:rsidRPr="00377695" w:rsidRDefault="008F2046" w:rsidP="00377695">
      <w:pPr>
        <w:spacing w:after="0" w:line="240" w:lineRule="auto"/>
        <w:jc w:val="both"/>
        <w:rPr>
          <w:sz w:val="24"/>
          <w:szCs w:val="24"/>
        </w:rPr>
      </w:pPr>
    </w:p>
    <w:sectPr w:rsidR="008F2046" w:rsidRPr="00377695">
      <w:headerReference w:type="default" r:id="rId7"/>
      <w:headerReference w:type="first" r:id="rId8"/>
      <w:pgSz w:w="11905" w:h="16837"/>
      <w:pgMar w:top="1133" w:right="566" w:bottom="1133" w:left="1700" w:header="0" w:footer="0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C3DBF">
      <w:pPr>
        <w:spacing w:after="0" w:line="240" w:lineRule="auto"/>
      </w:pPr>
      <w:r>
        <w:separator/>
      </w:r>
    </w:p>
  </w:endnote>
  <w:endnote w:type="continuationSeparator" w:id="0">
    <w:p w:rsidR="00000000" w:rsidRDefault="004C3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C3DBF">
      <w:pPr>
        <w:spacing w:after="0" w:line="240" w:lineRule="auto"/>
      </w:pPr>
      <w:r>
        <w:separator/>
      </w:r>
    </w:p>
  </w:footnote>
  <w:footnote w:type="continuationSeparator" w:id="0">
    <w:p w:rsidR="00000000" w:rsidRDefault="004C3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133"/>
    </w:tblGrid>
    <w:tr w:rsidR="008F2046">
      <w:tc>
        <w:tcPr>
          <w:tcW w:w="850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8503"/>
          </w:tblGrid>
          <w:tr w:rsidR="008F2046">
            <w:trPr>
              <w:trHeight w:val="262"/>
            </w:trPr>
            <w:tc>
              <w:tcPr>
                <w:tcW w:w="850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8F2046" w:rsidRDefault="004C3DBF">
                <w:pPr>
                  <w:spacing w:after="0" w:line="240" w:lineRule="auto"/>
                  <w:jc w:val="center"/>
                </w:pPr>
                <w:r>
                  <w:rPr>
                    <w:color w:val="000000"/>
                    <w:sz w:val="24"/>
                  </w:rPr>
                  <w:fldChar w:fldCharType="begin"/>
                </w:r>
                <w:r>
                  <w:rPr>
                    <w:noProof/>
                    <w:color w:val="000000"/>
                    <w:sz w:val="24"/>
                  </w:rPr>
                  <w:instrText xml:space="preserve"> PAGE </w:instrText>
                </w:r>
                <w:r>
                  <w:rPr>
                    <w:color w:val="000000"/>
                    <w:sz w:val="24"/>
                  </w:rPr>
                  <w:fldChar w:fldCharType="separate"/>
                </w:r>
                <w:r>
                  <w:rPr>
                    <w:noProof/>
                    <w:color w:val="000000"/>
                    <w:sz w:val="24"/>
                  </w:rPr>
                  <w:t>2</w:t>
                </w:r>
                <w:r>
                  <w:rPr>
                    <w:color w:val="000000"/>
                    <w:sz w:val="24"/>
                  </w:rPr>
                  <w:fldChar w:fldCharType="end"/>
                </w:r>
              </w:p>
            </w:tc>
          </w:tr>
        </w:tbl>
        <w:p w:rsidR="008F2046" w:rsidRDefault="008F2046">
          <w:pPr>
            <w:spacing w:after="0" w:line="240" w:lineRule="auto"/>
          </w:pPr>
        </w:p>
      </w:tc>
      <w:tc>
        <w:tcPr>
          <w:tcW w:w="1133" w:type="dxa"/>
        </w:tcPr>
        <w:p w:rsidR="008F2046" w:rsidRDefault="008F2046">
          <w:pPr>
            <w:pStyle w:val="EmptyCellLayoutStyle"/>
            <w:spacing w:after="0" w:line="240" w:lineRule="auto"/>
          </w:pP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046" w:rsidRDefault="008F2046">
    <w:pPr>
      <w:spacing w:after="0" w:line="0" w:lineRule="auto"/>
      <w:rPr>
        <w:sz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046"/>
    <w:rsid w:val="00377695"/>
    <w:rsid w:val="004C3DBF"/>
    <w:rsid w:val="008F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D51FB"/>
  <w15:docId w15:val="{E84F55CE-7FAF-415E-BE29-77D59DB1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3533</Words>
  <Characters>2014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Laimutė Lapinskienė</dc:creator>
  <dc:description/>
  <cp:lastModifiedBy>Laimutė Lapinskienė</cp:lastModifiedBy>
  <cp:revision>3</cp:revision>
  <dcterms:created xsi:type="dcterms:W3CDTF">2021-09-06T09:06:00Z</dcterms:created>
  <dcterms:modified xsi:type="dcterms:W3CDTF">2021-09-06T09:10:00Z</dcterms:modified>
</cp:coreProperties>
</file>