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73014F" w:rsidTr="007301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D24D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73014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A82736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6D24DD" w:rsidRDefault="006D24DD">
            <w:pPr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73014F" w:rsidTr="007301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D24D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VALDYMO IR BENDRUOMENIŲ </w:t>
                  </w:r>
                  <w:r w:rsidR="0073014F">
                    <w:rPr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6D24DD" w:rsidRDefault="006D24DD">
            <w:pPr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73014F" w:rsidTr="007301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D24D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6D24DD" w:rsidRDefault="006D24DD">
            <w:pPr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6D24DD">
        <w:trPr>
          <w:trHeight w:val="19"/>
        </w:trPr>
        <w:tc>
          <w:tcPr>
            <w:tcW w:w="5272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73014F" w:rsidTr="007301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D24D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73014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2021-07-14  Nr. K18-D-8</w:t>
                  </w:r>
                </w:p>
              </w:tc>
            </w:tr>
          </w:tbl>
          <w:p w:rsidR="006D24DD" w:rsidRDefault="006D24DD">
            <w:pPr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6D24DD">
        <w:trPr>
          <w:trHeight w:val="20"/>
        </w:trPr>
        <w:tc>
          <w:tcPr>
            <w:tcW w:w="5272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73014F" w:rsidTr="0073014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6D24DD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73014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6D24DD" w:rsidRDefault="006D24DD">
            <w:pPr>
              <w:spacing w:after="0" w:line="240" w:lineRule="auto"/>
            </w:pPr>
          </w:p>
        </w:tc>
        <w:tc>
          <w:tcPr>
            <w:tcW w:w="1133" w:type="dxa"/>
          </w:tcPr>
          <w:p w:rsidR="006D24DD" w:rsidRDefault="006D24DD">
            <w:pPr>
              <w:pStyle w:val="EmptyCellLayoutStyle"/>
              <w:spacing w:after="0" w:line="240" w:lineRule="auto"/>
            </w:pPr>
          </w:p>
        </w:tc>
      </w:tr>
      <w:tr w:rsidR="0073014F" w:rsidTr="0073014F">
        <w:tc>
          <w:tcPr>
            <w:tcW w:w="9635" w:type="dxa"/>
            <w:gridSpan w:val="4"/>
          </w:tcPr>
          <w:p w:rsidR="0073014F" w:rsidRDefault="0073014F" w:rsidP="0073014F">
            <w:pPr>
              <w:jc w:val="center"/>
            </w:pPr>
          </w:p>
          <w:p w:rsidR="0073014F" w:rsidRPr="0073014F" w:rsidRDefault="0073014F" w:rsidP="0073014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Savivaldybės turto investavimo VšĮ „Kaunas IN“ dalininko kapitalui padidinti </w:t>
                  </w:r>
                  <w:r w:rsidR="000E0504">
                    <w:rPr>
                      <w:color w:val="000000"/>
                      <w:sz w:val="24"/>
                    </w:rPr>
                    <w:t xml:space="preserve">        </w:t>
                  </w:r>
                  <w:r>
                    <w:rPr>
                      <w:color w:val="000000"/>
                      <w:sz w:val="24"/>
                    </w:rPr>
                    <w:t xml:space="preserve">(TR-360)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73014F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="00A82736">
                    <w:rPr>
                      <w:b/>
                      <w:color w:val="000000"/>
                      <w:sz w:val="24"/>
                    </w:rPr>
                    <w:t xml:space="preserve"> -  Aistė </w:t>
                  </w:r>
                  <w:proofErr w:type="spellStart"/>
                  <w:r w:rsidR="00A82736">
                    <w:rPr>
                      <w:b/>
                      <w:color w:val="000000"/>
                      <w:sz w:val="24"/>
                    </w:rPr>
                    <w:t>Lukaševičiūtė</w:t>
                  </w:r>
                  <w:proofErr w:type="spellEnd"/>
                  <w:r w:rsidR="00A82736">
                    <w:rPr>
                      <w:b/>
                      <w:color w:val="000000"/>
                      <w:sz w:val="24"/>
                    </w:rPr>
                    <w:t xml:space="preserve"> (Investicijų ir projektų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A82736"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</w:t>
                  </w:r>
                  <w:r w:rsidRPr="0073014F">
                    <w:rPr>
                      <w:b/>
                      <w:color w:val="000000"/>
                      <w:sz w:val="24"/>
                    </w:rPr>
                    <w:t>14:00</w:t>
                  </w:r>
                  <w:r w:rsidRPr="0073014F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0E050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nekilnojamojo turto Šv. Gertrūdos g. 58, Kaune, nuomos ne konkurso būdu viešajai įstaigai Kauno įvairių tautų kultūrų centrui (TR-344)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įgaliojimų suteikimo Rasai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Mašidlauskienei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(TR-371)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skyri</w:t>
                  </w:r>
                  <w:r w:rsidR="000E0504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0E0504">
                    <w:rPr>
                      <w:color w:val="000000"/>
                      <w:sz w:val="24"/>
                    </w:rPr>
                    <w:t xml:space="preserve">            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>14:05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0E050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Kauno miesto savivaldybės tarybos 2021 m. vasario 23 d. sprendimo Nr. T-58 „Dėl Kauno miesto savivaldybės 2021 metų biudžeto patvirtinimo“ pakeitimo (TR-341)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0E0504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0E0504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0E0504">
                    <w:rPr>
                      <w:color w:val="000000"/>
                      <w:sz w:val="24"/>
                    </w:rPr>
                    <w:t xml:space="preserve">              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>14:10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0E050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2020 m. rugsėjo 15 d. sprendimo Nr. T-394 „Dėl maksimalaus socialinės globos išlaidų finansavimo Kauno miesto savivaldybės teritorijos gyventojams dydžio patvirtinimo“ pakeitimo (TR-330)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>
                    <w:rPr>
                      <w:color w:val="000000"/>
                      <w:sz w:val="24"/>
                    </w:rPr>
                    <w:t xml:space="preserve">   6. Dėl Be tėvų globos likusių vaikų laikinosios globos (rūpybos) šeimoje organizavimo, pagalbos pinigų skyrimo vaiko laikiniesiems ir nuolatiniams globėjams (rūpintojams), budintiems globotojams, šeimynoms ir vaiko laikino apgyvendinimo išmokos mokėjimo</w:t>
                  </w:r>
                  <w:r>
                    <w:rPr>
                      <w:color w:val="000000"/>
                      <w:sz w:val="24"/>
                    </w:rPr>
                    <w:t xml:space="preserve"> Kauno miesto savivaldybėje tvarkos aprašo patvirtinimo (TR-359)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0E0504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Baltaduonytė (Socialinių paslaugų skyri</w:t>
                  </w:r>
                  <w:r w:rsidR="000E0504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0E0504">
                    <w:rPr>
                      <w:color w:val="000000"/>
                      <w:sz w:val="24"/>
                    </w:rPr>
                    <w:t xml:space="preserve">           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>14:20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0E0504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7. Dėl Kauno kultūros centro nuostatų pakeitimo (TR-334)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8. Dėl Kauno kin</w:t>
                  </w:r>
                  <w:r>
                    <w:rPr>
                      <w:color w:val="000000"/>
                      <w:sz w:val="24"/>
                    </w:rPr>
                    <w:t xml:space="preserve">o centro „Romuva“ nuostatų patvirtinimo (TR-337)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9. Dėl Kauno miesto muziejaus nuostatų patvirtinimo (TR-338)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10. Dėl koncertinės įstaigos "Kauno santaka" nuostatų patvirtinimo (TR-361)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11. Dėl Kauno miesto kamerinio teatro nuostatų patvirtinimo (TR-362)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12. Dėl Kauno šokio teatro „Aura“ nuostatų patvirtinimo (TR-363)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13. Dėl Kauno menininkų namų nuostatų patvirtinimo (TR-364)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14. Dėl </w:t>
                  </w:r>
                  <w:r>
                    <w:rPr>
                      <w:color w:val="000000"/>
                      <w:sz w:val="24"/>
                    </w:rPr>
                    <w:t xml:space="preserve">koncertinės įstaigos Kauno miesto simfoninio orkestro nuostatų patvirtinimo </w:t>
                  </w:r>
                  <w:r w:rsidR="000E0504">
                    <w:rPr>
                      <w:color w:val="000000"/>
                      <w:sz w:val="24"/>
                    </w:rPr>
                    <w:t xml:space="preserve">         </w:t>
                  </w:r>
                  <w:r>
                    <w:rPr>
                      <w:color w:val="000000"/>
                      <w:sz w:val="24"/>
                    </w:rPr>
                    <w:t xml:space="preserve">(TR-365)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r w:rsidR="000E0504">
                    <w:rPr>
                      <w:b/>
                      <w:color w:val="000000"/>
                      <w:sz w:val="24"/>
                    </w:rPr>
                    <w:t>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Augonė (Kultūros skyri</w:t>
                  </w:r>
                  <w:r w:rsidR="000E0504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0E0504">
                    <w:rPr>
                      <w:b/>
                      <w:color w:val="000000"/>
                      <w:sz w:val="24"/>
                    </w:rPr>
                    <w:t xml:space="preserve">                                         </w:t>
                  </w:r>
                  <w:r w:rsidR="000E0504">
                    <w:rPr>
                      <w:color w:val="000000"/>
                      <w:sz w:val="24"/>
                    </w:rPr>
                    <w:t xml:space="preserve"> 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>14:30</w:t>
                  </w:r>
                  <w:r w:rsidR="000E0504" w:rsidRPr="000E0504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0E0504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A82736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15. Dėl Kauno miesto savivaldybės biudžetinių švietimo įstaigų mokytojų ir pagalbos mokiniui specialistų (išskyrus psichologus) atestacijos apeliacinės komisijos sudarymo ir įgaliojimų suteikimo Kauno miesto savivaldybės administracijos Švietim</w:t>
                  </w:r>
                  <w:r>
                    <w:rPr>
                      <w:color w:val="000000"/>
                      <w:sz w:val="24"/>
                    </w:rPr>
                    <w:t xml:space="preserve">o skyriaus vedėjui (TR-335)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16. Dėl Kauno miesto savivaldybės tarybos 2020 m. vasario 25 d. sprendimo Nr. T-69 ,,Dėl didžiausio leistino pareigybių (etatų) skaičiaus Kauno miesto savivaldybės biudžetinėse ikimokyklinėse įstaigose nustaty</w:t>
                  </w:r>
                  <w:r>
                    <w:rPr>
                      <w:color w:val="000000"/>
                      <w:sz w:val="24"/>
                    </w:rPr>
                    <w:t xml:space="preserve">mo“ pakeitimo (TR-336)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17. Dėl Kauno miesto savivaldybės tarybos 2010 m. liepos 9 d. sprendimo Nr. T-351 „Dėl ikimokyklinio ir priešmokyklinio ugdymo organizavimo“ pakeitimo (TR-348)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18. Dėl priešmokyklinio ugdymo grupių ir klas</w:t>
                  </w:r>
                  <w:r>
                    <w:rPr>
                      <w:color w:val="000000"/>
                      <w:sz w:val="24"/>
                    </w:rPr>
                    <w:t>ių komplektų skaičiaus Kauno miesto savivaldybės biudžetinėse bendrojo ugdymo mokyklose 2021–2022 mokslo metais patikslinimo ir pritarimo patikslintam priešmokyklinio ugdymo grupių ir klasių komplektų skaičiui viešosiose švietimo įstaigose, kuriose Savival</w:t>
                  </w:r>
                  <w:r>
                    <w:rPr>
                      <w:color w:val="000000"/>
                      <w:sz w:val="24"/>
                    </w:rPr>
                    <w:t xml:space="preserve">dybė yra dalininkė, 2021–2022 mokslo metais (TR-349)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19. Dėl valstybės turto perėmimo Savivaldybės nuosavybėn (TR-350)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20. Dėl Kauno miesto savivaldybės 2021–2022 metų neformaliojo suaugusiųjų švietimo ir tęstinio mokymosi veiksmų plano patvirtinimo ir jo įgyvendinimo koordinatoriaus paskyrimo (TR-356)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21. Dėl Kauno suaugusiųjų ir jaunimo mokymo c</w:t>
                  </w:r>
                  <w:r>
                    <w:rPr>
                      <w:color w:val="000000"/>
                      <w:sz w:val="24"/>
                    </w:rPr>
                    <w:t xml:space="preserve">entro įkainių nustatymo asmenims,  įgijusiems vidurinį išsilavinimą ir pageidaujantiems geriau pasirengti tolesniam mokymuisi (TR-358) </w:t>
                  </w:r>
                </w:p>
              </w:tc>
            </w:tr>
            <w:tr w:rsidR="006D24DD" w:rsidTr="0073014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22. Dėl Kauno miesto savivaldybės tarybos 2016 m. vasario 2 d. sprendimo Nr. T-43 „Dėl Kauno miesto savival</w:t>
                  </w:r>
                  <w:r>
                    <w:rPr>
                      <w:color w:val="000000"/>
                      <w:sz w:val="24"/>
                    </w:rPr>
                    <w:t xml:space="preserve">dybės neformaliojo vaikų švietimo lėšų skyrimo ir naudojimo tvarkos aprašo patvirtinimo“ pakeitimo (TR-366) </w:t>
                  </w:r>
                </w:p>
              </w:tc>
            </w:tr>
            <w:tr w:rsidR="006D24DD" w:rsidTr="0073014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Ona Gucevičienė (Švietimo skyria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>
                    <w:rPr>
                      <w:color w:val="000000"/>
                      <w:sz w:val="24"/>
                    </w:rPr>
                    <w:t xml:space="preserve">                                    </w:t>
                  </w:r>
                  <w:r w:rsidRPr="00A82736">
                    <w:rPr>
                      <w:b/>
                      <w:color w:val="000000"/>
                      <w:sz w:val="24"/>
                    </w:rPr>
                    <w:t>14:40</w:t>
                  </w:r>
                  <w:r w:rsidRPr="00A82736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6D24DD" w:rsidRDefault="006D24DD" w:rsidP="0073014F">
            <w:pPr>
              <w:spacing w:after="0" w:line="240" w:lineRule="auto"/>
              <w:jc w:val="both"/>
            </w:pPr>
          </w:p>
        </w:tc>
      </w:tr>
      <w:tr w:rsidR="006D24DD">
        <w:trPr>
          <w:trHeight w:val="660"/>
        </w:trPr>
        <w:tc>
          <w:tcPr>
            <w:tcW w:w="5272" w:type="dxa"/>
          </w:tcPr>
          <w:p w:rsidR="006D24DD" w:rsidRDefault="006D24DD" w:rsidP="0073014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6D24DD" w:rsidRDefault="006D24DD" w:rsidP="0073014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6D24DD" w:rsidRDefault="006D24DD" w:rsidP="0073014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6D24DD" w:rsidRDefault="006D24DD" w:rsidP="0073014F">
            <w:pPr>
              <w:pStyle w:val="EmptyCellLayoutStyle"/>
              <w:spacing w:after="0" w:line="240" w:lineRule="auto"/>
              <w:jc w:val="both"/>
            </w:pPr>
          </w:p>
        </w:tc>
      </w:tr>
      <w:tr w:rsidR="0073014F" w:rsidTr="0073014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6D24DD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:rsidR="006D24DD" w:rsidRDefault="006D24DD" w:rsidP="0073014F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6D24DD" w:rsidRDefault="006D24DD" w:rsidP="0073014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6D24DD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D24DD" w:rsidRDefault="00A82736" w:rsidP="0073014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6D24DD" w:rsidRDefault="006D24DD" w:rsidP="0073014F">
            <w:pPr>
              <w:spacing w:after="0" w:line="240" w:lineRule="auto"/>
              <w:jc w:val="both"/>
            </w:pPr>
          </w:p>
        </w:tc>
      </w:tr>
    </w:tbl>
    <w:p w:rsidR="006D24DD" w:rsidRDefault="006D24DD" w:rsidP="0073014F">
      <w:pPr>
        <w:spacing w:after="0" w:line="240" w:lineRule="auto"/>
        <w:jc w:val="both"/>
      </w:pPr>
    </w:p>
    <w:sectPr w:rsidR="006D24DD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2736">
      <w:pPr>
        <w:spacing w:after="0" w:line="240" w:lineRule="auto"/>
      </w:pPr>
      <w:r>
        <w:separator/>
      </w:r>
    </w:p>
  </w:endnote>
  <w:endnote w:type="continuationSeparator" w:id="0">
    <w:p w:rsidR="00000000" w:rsidRDefault="00A8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2736">
      <w:pPr>
        <w:spacing w:after="0" w:line="240" w:lineRule="auto"/>
      </w:pPr>
      <w:r>
        <w:separator/>
      </w:r>
    </w:p>
  </w:footnote>
  <w:footnote w:type="continuationSeparator" w:id="0">
    <w:p w:rsidR="00000000" w:rsidRDefault="00A8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6D24DD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6D24DD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D24DD" w:rsidRDefault="00A82736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6D24DD" w:rsidRDefault="006D24DD">
          <w:pPr>
            <w:spacing w:after="0" w:line="240" w:lineRule="auto"/>
          </w:pPr>
        </w:p>
      </w:tc>
      <w:tc>
        <w:tcPr>
          <w:tcW w:w="1133" w:type="dxa"/>
        </w:tcPr>
        <w:p w:rsidR="006D24DD" w:rsidRDefault="006D24DD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DD" w:rsidRDefault="006D24DD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DD"/>
    <w:rsid w:val="000E0504"/>
    <w:rsid w:val="006D24DD"/>
    <w:rsid w:val="0073014F"/>
    <w:rsid w:val="00A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4B4F"/>
  <w15:docId w15:val="{722DDD4B-19C8-4DA6-BB18-AB816D15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2021-07-12T08:02:00Z</dcterms:created>
  <dcterms:modified xsi:type="dcterms:W3CDTF">2021-07-12T08:06:00Z</dcterms:modified>
</cp:coreProperties>
</file>