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66195">
              <w:rPr>
                <w:b/>
              </w:rPr>
              <w:t> </w:t>
            </w:r>
            <w:r w:rsidR="00F66195">
              <w:rPr>
                <w:b/>
              </w:rPr>
              <w:t> </w:t>
            </w:r>
            <w:r w:rsidR="00F66195">
              <w:rPr>
                <w:b/>
              </w:rPr>
              <w:t> </w:t>
            </w:r>
            <w:r w:rsidR="00F66195">
              <w:rPr>
                <w:b/>
              </w:rPr>
              <w:t> </w:t>
            </w:r>
            <w:r w:rsidR="00F6619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1" w:name="_MON_962001925"/>
      <w:bookmarkStart w:id="2" w:name="_MON_992097487"/>
      <w:bookmarkStart w:id="3" w:name="r04" w:colFirst="3" w:colLast="3"/>
      <w:bookmarkStart w:id="4" w:name="r01" w:colFirst="0" w:colLast="0"/>
      <w:bookmarkEnd w:id="1"/>
      <w:bookmarkEnd w:id="2"/>
      <w:bookmarkStart w:id="5" w:name="_MON_961316024"/>
      <w:bookmarkEnd w:id="5"/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F66195" w:rsidRDefault="004805E9">
            <w:pPr>
              <w:pStyle w:val="Antrats"/>
              <w:tabs>
                <w:tab w:val="left" w:pos="5244"/>
              </w:tabs>
              <w:jc w:val="center"/>
            </w:pPr>
            <w:r w:rsidRPr="00F66195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8" o:title=""/>
                </v:shape>
                <o:OLEObject Type="Embed" ProgID="Word.Picture.8" ShapeID="_x0000_i1025" DrawAspect="Content" ObjectID="_1664887929" r:id="rId9"/>
              </w:object>
            </w:r>
          </w:p>
        </w:tc>
      </w:tr>
      <w:bookmarkEnd w:id="3"/>
      <w:bookmarkEnd w:id="4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8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6761B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544B4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9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6761B" w:rsidRPr="00544B44">
              <w:rPr>
                <w:b/>
                <w:noProof/>
              </w:rPr>
              <w:t xml:space="preserve">DĖL KAUNO MIESTO SAVIVALDYBĖS TARYBOS 2020 M. VASARIO 4 D. SPRENDIMO NR. T-2 „DĖL KAUNO MIESTO SAVIVALDYBĖS 2020–2022 METŲ STRATEGINIO VEIKLOS PLANO PATVIRTINIMO“ PAKEITIMO 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F66195">
              <w:t xml:space="preserve">2020 m. spalio 20 d.   </w:t>
            </w:r>
            <w:r>
              <w:fldChar w:fldCharType="end"/>
            </w:r>
            <w:bookmarkEnd w:id="10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F66195">
              <w:t>T-</w:t>
            </w:r>
            <w:r w:rsidR="00B6761B">
              <w:t>421</w:t>
            </w:r>
            <w:r>
              <w:fldChar w:fldCharType="end"/>
            </w:r>
            <w:bookmarkEnd w:id="11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544B44" w:rsidRPr="00F24951" w:rsidRDefault="00544B44" w:rsidP="00544B44">
      <w:pPr>
        <w:pStyle w:val="Pagrindinistekstas"/>
        <w:jc w:val="both"/>
      </w:pPr>
      <w:bookmarkStart w:id="13" w:name="r18"/>
      <w:r w:rsidRPr="002E262F">
        <w:rPr>
          <w:szCs w:val="24"/>
        </w:rPr>
        <w:t>Vadovaudamasi Lietuvos Respublikos vietos savivaldos įstatymo 16 straipsnio 2 dalies 40 punktu ir atsižvelgdama į Kauno miesto savivaldybės strateginio planavimo dokumentų rengimo ir įgyvendinimo stebėsenos tvarkos aprašo, patvirtinto Kauno miesto savivaldybės tarybos 2016 m. rugsėjo 6 d. sprendimu Nr. T-438 „Dėl Kauno miesto savivaldybės strateginio planavimo dokumentų rengimo ir įgyvendinimo stebėsenos tvarkos aprašo patvirtinimo“, 33 punktą, Kauno miesto savivaldybės taryba  n u s p r e n d ž i a:</w:t>
      </w:r>
      <w:r w:rsidR="00257945">
        <w:rPr>
          <w:szCs w:val="24"/>
        </w:rPr>
        <w:t xml:space="preserve"> </w:t>
      </w:r>
    </w:p>
    <w:p w:rsidR="00544B44" w:rsidRDefault="00544B44" w:rsidP="00544B44">
      <w:pPr>
        <w:pStyle w:val="Pagrindinistekstas"/>
        <w:jc w:val="both"/>
      </w:pPr>
      <w:r>
        <w:t xml:space="preserve">1. </w:t>
      </w:r>
      <w:r w:rsidRPr="00763CAC">
        <w:t>Pakeisti Kauno miesto savivaldybės 20</w:t>
      </w:r>
      <w:r>
        <w:t>20</w:t>
      </w:r>
      <w:r w:rsidRPr="00763CAC">
        <w:t>–202</w:t>
      </w:r>
      <w:r>
        <w:t>2</w:t>
      </w:r>
      <w:r w:rsidRPr="00763CAC">
        <w:t xml:space="preserve"> metų strateginį veiklos planą, patvirtintą Kauno </w:t>
      </w:r>
      <w:r>
        <w:t>miesto savivaldybės tarybos 2020 m. vasario 4 d. sprendimu Nr. T-2</w:t>
      </w:r>
      <w:r w:rsidRPr="00763CAC">
        <w:t xml:space="preserve"> „Dėl Kauno miesto savivaldybės 20</w:t>
      </w:r>
      <w:r>
        <w:t>20–2022</w:t>
      </w:r>
      <w:r w:rsidRPr="00763CAC">
        <w:t xml:space="preserve"> metų strateginio veiklos plano patvirtinimo“:</w:t>
      </w:r>
      <w:r>
        <w:t xml:space="preserve"> </w:t>
      </w:r>
    </w:p>
    <w:p w:rsidR="003842A9" w:rsidRPr="008F1FDF" w:rsidRDefault="003842A9" w:rsidP="003842A9">
      <w:pPr>
        <w:pStyle w:val="Pagrindinistekstas"/>
        <w:jc w:val="both"/>
      </w:pPr>
      <w:r w:rsidRPr="008F1FDF">
        <w:t>1.</w:t>
      </w:r>
      <w:r w:rsidR="000425A9">
        <w:t>1</w:t>
      </w:r>
      <w:r w:rsidRPr="008F1FDF">
        <w:t xml:space="preserve">. Pakeisti </w:t>
      </w:r>
      <w:r>
        <w:t>2</w:t>
      </w:r>
      <w:r w:rsidRPr="008F1FDF">
        <w:t xml:space="preserve"> priedą:</w:t>
      </w:r>
      <w:r w:rsidR="00257945">
        <w:t xml:space="preserve"> </w:t>
      </w:r>
    </w:p>
    <w:p w:rsidR="00342A70" w:rsidRDefault="007E0A42" w:rsidP="00544B44">
      <w:pPr>
        <w:pStyle w:val="Pagrindinistekstas"/>
        <w:jc w:val="both"/>
      </w:pPr>
      <w:r>
        <w:t>1.</w:t>
      </w:r>
      <w:r w:rsidR="000425A9">
        <w:t>1</w:t>
      </w:r>
      <w:r w:rsidR="002A3DC6" w:rsidRPr="008C6995">
        <w:t>.</w:t>
      </w:r>
      <w:r w:rsidR="003842A9">
        <w:t>1.</w:t>
      </w:r>
      <w:r w:rsidR="002A3DC6" w:rsidRPr="008C6995">
        <w:t xml:space="preserve"> </w:t>
      </w:r>
      <w:r w:rsidR="00E30821" w:rsidRPr="00E30821">
        <w:t>Pakeisti 02.0</w:t>
      </w:r>
      <w:r w:rsidR="00E30821">
        <w:t>2.02.013</w:t>
      </w:r>
      <w:r w:rsidR="00E30821" w:rsidRPr="00E30821">
        <w:t xml:space="preserve"> papunktį ir jį išdėstyti taip:</w:t>
      </w:r>
      <w:r w:rsidR="00257945">
        <w:t xml:space="preserve"> </w:t>
      </w:r>
    </w:p>
    <w:tbl>
      <w:tblPr>
        <w:tblW w:w="105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709"/>
        <w:gridCol w:w="709"/>
        <w:gridCol w:w="992"/>
        <w:gridCol w:w="992"/>
        <w:gridCol w:w="1560"/>
        <w:gridCol w:w="567"/>
        <w:gridCol w:w="425"/>
        <w:gridCol w:w="425"/>
        <w:gridCol w:w="667"/>
      </w:tblGrid>
      <w:tr w:rsidR="00E35D40" w:rsidRPr="00DE73D8" w:rsidTr="00E35D40">
        <w:trPr>
          <w:trHeight w:val="1011"/>
        </w:trPr>
        <w:tc>
          <w:tcPr>
            <w:tcW w:w="156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342A70">
            <w:pPr>
              <w:spacing w:line="276" w:lineRule="auto"/>
              <w:ind w:left="684" w:hanging="684"/>
              <w:rPr>
                <w:szCs w:val="24"/>
              </w:rPr>
            </w:pPr>
            <w:r w:rsidRPr="00DE73D8">
              <w:rPr>
                <w:szCs w:val="24"/>
              </w:rPr>
              <w:t>„02.02.02.013</w:t>
            </w:r>
            <w:r w:rsidR="000425A9">
              <w:rPr>
                <w:szCs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DE73D8">
              <w:rPr>
                <w:kern w:val="3"/>
                <w:szCs w:val="24"/>
                <w:lang w:eastAsia="lt-LT" w:bidi="ar-SA"/>
              </w:rPr>
              <w:t xml:space="preserve">Baseinų </w:t>
            </w:r>
            <w:proofErr w:type="spellStart"/>
            <w:r w:rsidRPr="00DE73D8">
              <w:rPr>
                <w:kern w:val="3"/>
                <w:szCs w:val="24"/>
                <w:lang w:eastAsia="lt-LT" w:bidi="ar-SA"/>
              </w:rPr>
              <w:t>infrastruk</w:t>
            </w:r>
            <w:r w:rsidR="00E35D40" w:rsidRPr="00DE73D8">
              <w:rPr>
                <w:kern w:val="3"/>
                <w:szCs w:val="24"/>
                <w:lang w:eastAsia="lt-LT" w:bidi="ar-SA"/>
              </w:rPr>
              <w:t>-</w:t>
            </w:r>
            <w:r w:rsidRPr="00DE73D8">
              <w:rPr>
                <w:kern w:val="3"/>
                <w:szCs w:val="24"/>
                <w:lang w:eastAsia="lt-LT" w:bidi="ar-SA"/>
              </w:rPr>
              <w:t>tūros</w:t>
            </w:r>
            <w:proofErr w:type="spellEnd"/>
            <w:r w:rsidRPr="00DE73D8">
              <w:rPr>
                <w:kern w:val="3"/>
                <w:szCs w:val="24"/>
                <w:lang w:eastAsia="lt-LT" w:bidi="ar-SA"/>
              </w:rPr>
              <w:t xml:space="preserve"> gerinimas Kauno mieste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pacing w:line="276" w:lineRule="auto"/>
              <w:rPr>
                <w:szCs w:val="24"/>
              </w:rPr>
            </w:pPr>
            <w:r w:rsidRPr="00DE73D8">
              <w:rPr>
                <w:szCs w:val="24"/>
              </w:rPr>
              <w:t>Sporto  skyrius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E35D40" w:rsidP="00AC1873">
            <w:pPr>
              <w:spacing w:line="276" w:lineRule="auto"/>
              <w:rPr>
                <w:szCs w:val="24"/>
              </w:rPr>
            </w:pPr>
            <w:r w:rsidRPr="00DE73D8">
              <w:rPr>
                <w:szCs w:val="24"/>
              </w:rPr>
              <w:t>1.1.</w:t>
            </w:r>
            <w:r w:rsidR="00342A70" w:rsidRPr="00DE73D8">
              <w:rPr>
                <w:szCs w:val="24"/>
              </w:rPr>
              <w:t>2.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rPr>
                <w:szCs w:val="24"/>
              </w:rPr>
            </w:pPr>
            <w:r w:rsidRPr="00DE73D8">
              <w:rPr>
                <w:szCs w:val="24"/>
              </w:rPr>
              <w:t>80000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F4809">
            <w:pPr>
              <w:rPr>
                <w:szCs w:val="24"/>
              </w:rPr>
            </w:pPr>
            <w:r w:rsidRPr="00DE73D8">
              <w:rPr>
                <w:szCs w:val="24"/>
              </w:rPr>
              <w:t>2</w:t>
            </w:r>
            <w:r w:rsidR="00AF4809" w:rsidRPr="00DE73D8">
              <w:rPr>
                <w:szCs w:val="24"/>
              </w:rPr>
              <w:t>0</w:t>
            </w:r>
            <w:r w:rsidRPr="00DE73D8">
              <w:rPr>
                <w:szCs w:val="24"/>
              </w:rPr>
              <w:t>000</w:t>
            </w:r>
            <w:r w:rsidR="00AF4809" w:rsidRPr="00DE73D8">
              <w:rPr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AF4809" w:rsidP="00AC1873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DE73D8">
              <w:rPr>
                <w:kern w:val="3"/>
                <w:szCs w:val="24"/>
                <w:lang w:eastAsia="lt-LT" w:bidi="ar-SA"/>
              </w:rPr>
              <w:t>5</w:t>
            </w:r>
            <w:r w:rsidR="00342A70" w:rsidRPr="00DE73D8">
              <w:rPr>
                <w:kern w:val="3"/>
                <w:szCs w:val="24"/>
                <w:lang w:eastAsia="lt-LT" w:bidi="ar-SA"/>
              </w:rPr>
              <w:t>000000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1C4D67" w:rsidP="00257945">
            <w:pPr>
              <w:suppressAutoHyphens/>
              <w:autoSpaceDN w:val="0"/>
              <w:snapToGrid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DE73D8">
              <w:rPr>
                <w:kern w:val="3"/>
                <w:szCs w:val="24"/>
                <w:lang w:eastAsia="lt-LT" w:bidi="ar-SA"/>
              </w:rPr>
              <w:t>Atliktos Kauno plaukimo mokyklos baseino „Šilainiai“ rekonstrukcijos  veiklų dalis nuo viso projekto veiklų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Proc.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9A6BF1" w:rsidP="00AC1873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3</w:t>
            </w:r>
            <w:r w:rsidR="00342A70" w:rsidRPr="00DE73D8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6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9A6BF1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7</w:t>
            </w:r>
            <w:r w:rsidR="00342A70" w:rsidRPr="00DE73D8">
              <w:rPr>
                <w:sz w:val="24"/>
                <w:szCs w:val="24"/>
                <w:lang w:val="lt-LT"/>
              </w:rPr>
              <w:t>0</w:t>
            </w:r>
          </w:p>
        </w:tc>
      </w:tr>
      <w:tr w:rsidR="00342A70" w:rsidRPr="00DE73D8" w:rsidTr="00E35D40">
        <w:trPr>
          <w:trHeight w:val="1605"/>
        </w:trPr>
        <w:tc>
          <w:tcPr>
            <w:tcW w:w="15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pacing w:line="276" w:lineRule="auto"/>
              <w:ind w:left="684" w:hanging="684"/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257945">
            <w:pPr>
              <w:suppressAutoHyphens/>
              <w:autoSpaceDN w:val="0"/>
              <w:snapToGrid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DE73D8">
              <w:rPr>
                <w:kern w:val="3"/>
                <w:szCs w:val="24"/>
                <w:lang w:eastAsia="lt-LT" w:bidi="ar-SA"/>
              </w:rPr>
              <w:t>Rekonstruoto sporto paskirties pastato ploto dalis nuo viso pastato ploto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 xml:space="preserve">Proc.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0C21C8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6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9A6BF1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7</w:t>
            </w:r>
            <w:r w:rsidR="00342A70" w:rsidRPr="00DE73D8">
              <w:rPr>
                <w:sz w:val="24"/>
                <w:szCs w:val="24"/>
                <w:lang w:val="lt-LT"/>
              </w:rPr>
              <w:t>0</w:t>
            </w:r>
          </w:p>
        </w:tc>
      </w:tr>
      <w:tr w:rsidR="00342A70" w:rsidRPr="00DE73D8" w:rsidTr="00A92482">
        <w:trPr>
          <w:trHeight w:val="698"/>
        </w:trPr>
        <w:tc>
          <w:tcPr>
            <w:tcW w:w="15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pacing w:line="276" w:lineRule="auto"/>
              <w:ind w:left="684" w:hanging="684"/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257945">
            <w:pPr>
              <w:suppressAutoHyphens/>
              <w:autoSpaceDN w:val="0"/>
              <w:snapToGrid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DE73D8">
              <w:rPr>
                <w:kern w:val="3"/>
                <w:szCs w:val="24"/>
                <w:lang w:eastAsia="lt-LT" w:bidi="ar-SA"/>
              </w:rPr>
              <w:t>Atliktų projekto baseino Panemunėje statybos veiklų dalis nuo viso projekto veiklų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Proc.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0C21C8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9A6BF1" w:rsidP="00AC1873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3</w:t>
            </w:r>
            <w:r w:rsidR="00342A70" w:rsidRPr="00DE73D8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6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9A6BF1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7</w:t>
            </w:r>
            <w:r w:rsidR="00342A70" w:rsidRPr="00DE73D8">
              <w:rPr>
                <w:sz w:val="24"/>
                <w:szCs w:val="24"/>
                <w:lang w:val="lt-LT"/>
              </w:rPr>
              <w:t>0</w:t>
            </w:r>
          </w:p>
        </w:tc>
      </w:tr>
      <w:tr w:rsidR="00E35D40" w:rsidRPr="003873AF" w:rsidTr="00E35D40">
        <w:trPr>
          <w:trHeight w:val="1605"/>
        </w:trPr>
        <w:tc>
          <w:tcPr>
            <w:tcW w:w="15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pacing w:line="276" w:lineRule="auto"/>
              <w:ind w:left="684" w:hanging="684"/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257945">
            <w:pPr>
              <w:suppressAutoHyphens/>
              <w:autoSpaceDN w:val="0"/>
              <w:snapToGrid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DE73D8">
              <w:rPr>
                <w:kern w:val="3"/>
                <w:szCs w:val="24"/>
                <w:lang w:eastAsia="lt-LT" w:bidi="ar-SA"/>
              </w:rPr>
              <w:t>Pastatyto sporto paskirties pastato ploto dalis nuo viso pastato ploto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1877A5" w:rsidP="001877A5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Proc</w:t>
            </w:r>
            <w:r w:rsidR="00342A70" w:rsidRPr="00DE73D8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0C21C8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342A70" w:rsidP="00AC1873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6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A70" w:rsidRPr="00DE73D8" w:rsidRDefault="009A6BF1" w:rsidP="00257945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7</w:t>
            </w:r>
            <w:r w:rsidR="001877A5" w:rsidRPr="00DE73D8">
              <w:rPr>
                <w:sz w:val="24"/>
                <w:szCs w:val="24"/>
                <w:lang w:val="lt-LT"/>
              </w:rPr>
              <w:t>0</w:t>
            </w:r>
            <w:r w:rsidR="00257945">
              <w:rPr>
                <w:sz w:val="24"/>
                <w:szCs w:val="24"/>
                <w:lang w:val="lt-LT"/>
              </w:rPr>
              <w:t>“</w:t>
            </w:r>
            <w:r w:rsidR="00342A70" w:rsidRPr="00DE73D8">
              <w:rPr>
                <w:sz w:val="24"/>
                <w:szCs w:val="24"/>
                <w:lang w:val="lt-LT"/>
              </w:rPr>
              <w:t>.</w:t>
            </w:r>
            <w:r w:rsidR="00257945">
              <w:rPr>
                <w:sz w:val="24"/>
                <w:szCs w:val="24"/>
                <w:lang w:val="lt-LT"/>
              </w:rPr>
              <w:t xml:space="preserve"> </w:t>
            </w:r>
          </w:p>
        </w:tc>
      </w:tr>
    </w:tbl>
    <w:p w:rsidR="00C75966" w:rsidRPr="003873AF" w:rsidRDefault="00C75966" w:rsidP="00544B44">
      <w:pPr>
        <w:pStyle w:val="Pagrindinistekstas"/>
        <w:jc w:val="both"/>
      </w:pPr>
    </w:p>
    <w:p w:rsidR="00342A70" w:rsidRPr="00DE73D8" w:rsidRDefault="00C75966" w:rsidP="000425A9">
      <w:pPr>
        <w:pStyle w:val="Pagrindinistekstas"/>
        <w:numPr>
          <w:ilvl w:val="2"/>
          <w:numId w:val="4"/>
        </w:numPr>
        <w:jc w:val="both"/>
      </w:pPr>
      <w:r w:rsidRPr="00DE73D8">
        <w:t>Papildyti nauj</w:t>
      </w:r>
      <w:r w:rsidR="00257945">
        <w:t>u</w:t>
      </w:r>
      <w:r w:rsidRPr="00DE73D8">
        <w:t xml:space="preserve"> 02.02.02.031</w:t>
      </w:r>
      <w:r w:rsidR="00257945">
        <w:t xml:space="preserve"> papunkčiu</w:t>
      </w:r>
      <w:r w:rsidRPr="00DE73D8">
        <w:t>:</w:t>
      </w:r>
      <w:r w:rsidR="00257945">
        <w:t xml:space="preserve"> 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850"/>
        <w:gridCol w:w="709"/>
        <w:gridCol w:w="850"/>
        <w:gridCol w:w="426"/>
        <w:gridCol w:w="425"/>
        <w:gridCol w:w="1508"/>
        <w:gridCol w:w="567"/>
        <w:gridCol w:w="576"/>
        <w:gridCol w:w="576"/>
        <w:gridCol w:w="600"/>
      </w:tblGrid>
      <w:tr w:rsidR="00C75966" w:rsidRPr="003873AF" w:rsidTr="003842A9">
        <w:trPr>
          <w:trHeight w:val="1872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966" w:rsidRPr="00DE73D8" w:rsidRDefault="00C75966" w:rsidP="00C75966">
            <w:pPr>
              <w:spacing w:line="276" w:lineRule="auto"/>
              <w:ind w:left="684" w:hanging="684"/>
            </w:pPr>
            <w:r w:rsidRPr="00DE73D8">
              <w:t>„02.02.02.031.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966" w:rsidRPr="00DE73D8" w:rsidRDefault="00C75966" w:rsidP="00AC1873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DE73D8">
              <w:rPr>
                <w:kern w:val="3"/>
                <w:szCs w:val="24"/>
                <w:lang w:eastAsia="lt-LT" w:bidi="ar-SA"/>
              </w:rPr>
              <w:t>Sporto paslaugų, kurias teikia viešosios įstaigos, kurių savininkė ar dalininkė yra Kauno miesto savivaldybė, kokybės užtikrinimas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966" w:rsidRPr="00DE73D8" w:rsidRDefault="00C75966" w:rsidP="00AC1873">
            <w:pPr>
              <w:spacing w:line="276" w:lineRule="auto"/>
            </w:pPr>
            <w:r w:rsidRPr="00DE73D8">
              <w:t>Sporto skyrius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966" w:rsidRPr="00DE73D8" w:rsidRDefault="00C75966" w:rsidP="00AC1873">
            <w:pPr>
              <w:spacing w:line="276" w:lineRule="auto"/>
            </w:pPr>
            <w:r w:rsidRPr="00DE73D8">
              <w:t>1.1.2</w:t>
            </w:r>
            <w:r w:rsidR="003842A9" w:rsidRPr="00DE73D8">
              <w:t>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966" w:rsidRPr="00DE73D8" w:rsidRDefault="00C75966" w:rsidP="00AC1873">
            <w:pPr>
              <w:rPr>
                <w:szCs w:val="24"/>
              </w:rPr>
            </w:pPr>
            <w:r w:rsidRPr="00DE73D8">
              <w:rPr>
                <w:szCs w:val="24"/>
              </w:rPr>
              <w:t>300000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966" w:rsidRPr="00DE73D8" w:rsidRDefault="00C75966" w:rsidP="00AC1873"/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966" w:rsidRPr="00DE73D8" w:rsidRDefault="00C75966" w:rsidP="00AC1873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1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966" w:rsidRPr="00DE73D8" w:rsidRDefault="007D09D9" w:rsidP="00AC1873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DE73D8">
              <w:rPr>
                <w:kern w:val="3"/>
                <w:szCs w:val="24"/>
                <w:lang w:eastAsia="lt-LT" w:bidi="ar-SA"/>
              </w:rPr>
              <w:t>Suderintų ataskaitų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966" w:rsidRPr="00DE73D8" w:rsidRDefault="007D09D9" w:rsidP="00AC1873">
            <w:pPr>
              <w:rPr>
                <w:color w:val="000000"/>
              </w:rPr>
            </w:pPr>
            <w:r w:rsidRPr="00DE73D8">
              <w:rPr>
                <w:color w:val="000000"/>
              </w:rPr>
              <w:t>Vnt</w:t>
            </w:r>
            <w:r w:rsidR="00C75966" w:rsidRPr="00DE73D8">
              <w:rPr>
                <w:color w:val="000000"/>
              </w:rPr>
              <w:t>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966" w:rsidRPr="00DE73D8" w:rsidRDefault="007D09D9" w:rsidP="00AC1873">
            <w:pPr>
              <w:rPr>
                <w:color w:val="000000"/>
              </w:rPr>
            </w:pPr>
            <w:r w:rsidRPr="00DE73D8">
              <w:rPr>
                <w:color w:val="000000"/>
              </w:rPr>
              <w:t>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966" w:rsidRPr="00DE73D8" w:rsidRDefault="007D09D9" w:rsidP="00AC1873">
            <w:pPr>
              <w:rPr>
                <w:color w:val="000000"/>
              </w:rPr>
            </w:pPr>
            <w:r w:rsidRPr="00DE73D8">
              <w:rPr>
                <w:color w:val="000000"/>
              </w:rPr>
              <w:t>4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966" w:rsidRPr="003873AF" w:rsidRDefault="007D09D9" w:rsidP="00AC1873">
            <w:pPr>
              <w:rPr>
                <w:color w:val="000000"/>
              </w:rPr>
            </w:pPr>
            <w:r w:rsidRPr="00DE73D8">
              <w:rPr>
                <w:color w:val="000000"/>
              </w:rPr>
              <w:t>4</w:t>
            </w:r>
            <w:r w:rsidR="00C75966" w:rsidRPr="00DE73D8">
              <w:rPr>
                <w:color w:val="000000"/>
              </w:rPr>
              <w:t>“.</w:t>
            </w:r>
          </w:p>
        </w:tc>
      </w:tr>
    </w:tbl>
    <w:p w:rsidR="00342A70" w:rsidRPr="003873AF" w:rsidRDefault="00342A70" w:rsidP="00544B44">
      <w:pPr>
        <w:pStyle w:val="Pagrindinistekstas"/>
        <w:jc w:val="both"/>
      </w:pPr>
    </w:p>
    <w:p w:rsidR="00544B44" w:rsidRPr="00257945" w:rsidRDefault="00855968" w:rsidP="000425A9">
      <w:pPr>
        <w:pStyle w:val="Pagrindinistekstas"/>
        <w:numPr>
          <w:ilvl w:val="2"/>
          <w:numId w:val="4"/>
        </w:numPr>
        <w:jc w:val="both"/>
      </w:pPr>
      <w:r w:rsidRPr="00257945">
        <w:t>Papildyti nauj</w:t>
      </w:r>
      <w:r w:rsidR="00257945">
        <w:t>u</w:t>
      </w:r>
      <w:r w:rsidRPr="00257945">
        <w:t xml:space="preserve"> 02.03.04.050</w:t>
      </w:r>
      <w:r w:rsidR="00257945">
        <w:t xml:space="preserve"> papunkčiu</w:t>
      </w:r>
      <w:r w:rsidRPr="00257945">
        <w:t>:</w:t>
      </w:r>
      <w:r w:rsidR="00257945">
        <w:t xml:space="preserve"> </w:t>
      </w:r>
    </w:p>
    <w:tbl>
      <w:tblPr>
        <w:tblW w:w="105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134"/>
        <w:gridCol w:w="284"/>
        <w:gridCol w:w="425"/>
        <w:gridCol w:w="1276"/>
        <w:gridCol w:w="1134"/>
        <w:gridCol w:w="1559"/>
        <w:gridCol w:w="567"/>
        <w:gridCol w:w="425"/>
        <w:gridCol w:w="426"/>
        <w:gridCol w:w="383"/>
      </w:tblGrid>
      <w:tr w:rsidR="0020540B" w:rsidRPr="003873AF" w:rsidTr="00CA4680">
        <w:trPr>
          <w:trHeight w:val="1011"/>
        </w:trPr>
        <w:tc>
          <w:tcPr>
            <w:tcW w:w="156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DE73D8" w:rsidRDefault="0020540B" w:rsidP="0020540B">
            <w:pPr>
              <w:spacing w:line="276" w:lineRule="auto"/>
              <w:ind w:left="684" w:hanging="684"/>
              <w:rPr>
                <w:szCs w:val="24"/>
              </w:rPr>
            </w:pPr>
            <w:r w:rsidRPr="00DE73D8">
              <w:rPr>
                <w:szCs w:val="24"/>
              </w:rPr>
              <w:t>„02.03.04.050</w:t>
            </w:r>
            <w:r w:rsidR="000425A9">
              <w:rPr>
                <w:szCs w:val="24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873" w:rsidRPr="00DE73D8" w:rsidRDefault="00AC1873" w:rsidP="00AC1873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DE73D8">
              <w:rPr>
                <w:kern w:val="3"/>
                <w:szCs w:val="24"/>
                <w:lang w:eastAsia="lt-LT" w:bidi="ar-SA"/>
              </w:rPr>
              <w:t>Projekto</w:t>
            </w:r>
          </w:p>
          <w:p w:rsidR="0020540B" w:rsidRPr="00DE73D8" w:rsidRDefault="00AC1873" w:rsidP="00AC1873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DE73D8">
              <w:rPr>
                <w:kern w:val="3"/>
                <w:szCs w:val="24"/>
                <w:lang w:eastAsia="lt-LT" w:bidi="ar-SA"/>
              </w:rPr>
              <w:t>„</w:t>
            </w:r>
            <w:proofErr w:type="spellStart"/>
            <w:r w:rsidR="0020540B" w:rsidRPr="00DE73D8">
              <w:rPr>
                <w:kern w:val="3"/>
                <w:szCs w:val="24"/>
                <w:lang w:eastAsia="lt-LT" w:bidi="ar-SA"/>
              </w:rPr>
              <w:t>Bendruome-ninių</w:t>
            </w:r>
            <w:proofErr w:type="spellEnd"/>
            <w:r w:rsidR="0020540B" w:rsidRPr="00DE73D8">
              <w:rPr>
                <w:kern w:val="3"/>
                <w:szCs w:val="24"/>
                <w:lang w:eastAsia="lt-LT" w:bidi="ar-SA"/>
              </w:rPr>
              <w:t xml:space="preserve"> apgyvendini-</w:t>
            </w:r>
            <w:proofErr w:type="spellStart"/>
            <w:r w:rsidR="0020540B" w:rsidRPr="00DE73D8">
              <w:rPr>
                <w:kern w:val="3"/>
                <w:szCs w:val="24"/>
                <w:lang w:eastAsia="lt-LT" w:bidi="ar-SA"/>
              </w:rPr>
              <w:t>mo</w:t>
            </w:r>
            <w:proofErr w:type="spellEnd"/>
            <w:r w:rsidR="0020540B" w:rsidRPr="00DE73D8">
              <w:rPr>
                <w:kern w:val="3"/>
                <w:szCs w:val="24"/>
                <w:lang w:eastAsia="lt-LT" w:bidi="ar-SA"/>
              </w:rPr>
              <w:t xml:space="preserve"> bei užimtumo paslaugų asmenims su proto ir (arba) psichi</w:t>
            </w:r>
            <w:r w:rsidR="00816F08" w:rsidRPr="00DE73D8">
              <w:rPr>
                <w:kern w:val="3"/>
                <w:szCs w:val="24"/>
                <w:lang w:eastAsia="lt-LT" w:bidi="ar-SA"/>
              </w:rPr>
              <w:t>kos negalia plėtra Kauno mieste“</w:t>
            </w:r>
            <w:r w:rsidR="0020540B" w:rsidRPr="00DE73D8">
              <w:rPr>
                <w:kern w:val="3"/>
                <w:szCs w:val="24"/>
                <w:lang w:eastAsia="lt-LT" w:bidi="ar-SA"/>
              </w:rPr>
              <w:t xml:space="preserve"> įgyvendini-</w:t>
            </w:r>
            <w:proofErr w:type="spellStart"/>
            <w:r w:rsidR="0020540B" w:rsidRPr="00DE73D8">
              <w:rPr>
                <w:kern w:val="3"/>
                <w:szCs w:val="24"/>
                <w:lang w:eastAsia="lt-LT" w:bidi="ar-SA"/>
              </w:rPr>
              <w:t>mas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DE73D8" w:rsidRDefault="0020540B" w:rsidP="00AC1873">
            <w:pPr>
              <w:spacing w:line="276" w:lineRule="auto"/>
              <w:rPr>
                <w:szCs w:val="24"/>
              </w:rPr>
            </w:pPr>
            <w:r w:rsidRPr="00DE73D8">
              <w:rPr>
                <w:szCs w:val="24"/>
              </w:rPr>
              <w:t>Investicijų ir projektų skyrius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DE73D8" w:rsidRDefault="0020540B" w:rsidP="00AC1873">
            <w:pPr>
              <w:spacing w:line="276" w:lineRule="auto"/>
              <w:rPr>
                <w:szCs w:val="24"/>
              </w:rPr>
            </w:pPr>
            <w:r w:rsidRPr="00DE73D8">
              <w:rPr>
                <w:szCs w:val="24"/>
              </w:rPr>
              <w:t>2.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DE73D8" w:rsidRDefault="009D0BC4" w:rsidP="0020540B">
            <w:pPr>
              <w:rPr>
                <w:szCs w:val="24"/>
              </w:rPr>
            </w:pPr>
            <w:r w:rsidRPr="00DE73D8">
              <w:rPr>
                <w:szCs w:val="24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DE73D8" w:rsidRDefault="0020540B" w:rsidP="00AC1873">
            <w:pPr>
              <w:rPr>
                <w:szCs w:val="24"/>
              </w:rPr>
            </w:pPr>
            <w:r w:rsidRPr="00DE73D8">
              <w:rPr>
                <w:szCs w:val="24"/>
              </w:rPr>
              <w:t>1150295,2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DE73D8" w:rsidRDefault="0020540B" w:rsidP="00AC1873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DE73D8">
              <w:rPr>
                <w:kern w:val="3"/>
                <w:szCs w:val="24"/>
                <w:lang w:eastAsia="lt-LT" w:bidi="ar-SA"/>
              </w:rPr>
              <w:t>1150295,2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DE73D8" w:rsidRDefault="0020540B" w:rsidP="00AC1873">
            <w:pPr>
              <w:suppressAutoHyphens/>
              <w:autoSpaceDN w:val="0"/>
              <w:snapToGrid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DE73D8">
              <w:rPr>
                <w:kern w:val="3"/>
                <w:szCs w:val="24"/>
                <w:lang w:eastAsia="lt-LT" w:bidi="ar-SA"/>
              </w:rPr>
              <w:t>Atliktų veiklų dalis nuo visų projekto veiklų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DE73D8" w:rsidRDefault="0020540B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Proc.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DE73D8" w:rsidRDefault="0020540B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20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DE73D8" w:rsidRDefault="0020540B" w:rsidP="00AC1873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40</w:t>
            </w:r>
          </w:p>
        </w:tc>
        <w:tc>
          <w:tcPr>
            <w:tcW w:w="3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20540B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25</w:t>
            </w:r>
          </w:p>
        </w:tc>
      </w:tr>
      <w:tr w:rsidR="0020540B" w:rsidRPr="003873AF" w:rsidTr="00CA4680">
        <w:trPr>
          <w:trHeight w:val="1549"/>
        </w:trPr>
        <w:tc>
          <w:tcPr>
            <w:tcW w:w="15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spacing w:line="276" w:lineRule="auto"/>
              <w:ind w:left="684" w:hanging="684"/>
              <w:rPr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rPr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suppressAutoHyphens/>
              <w:autoSpaceDN w:val="0"/>
              <w:snapToGrid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3873AF">
              <w:rPr>
                <w:kern w:val="3"/>
                <w:szCs w:val="24"/>
                <w:lang w:eastAsia="lt-LT" w:bidi="ar-SA"/>
              </w:rPr>
              <w:t>Pastatytų ir įrengtų grupinio gyvenimo namų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3873AF">
              <w:rPr>
                <w:sz w:val="24"/>
                <w:szCs w:val="24"/>
                <w:lang w:val="lt-LT"/>
              </w:rPr>
              <w:t>Vnt.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3873AF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  <w:r w:rsidRPr="003873AF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3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3873AF">
              <w:rPr>
                <w:sz w:val="24"/>
                <w:szCs w:val="24"/>
                <w:lang w:val="lt-LT"/>
              </w:rPr>
              <w:t>4</w:t>
            </w:r>
          </w:p>
        </w:tc>
      </w:tr>
      <w:tr w:rsidR="0020540B" w:rsidRPr="003873AF" w:rsidTr="00DB44BD">
        <w:trPr>
          <w:trHeight w:val="1605"/>
        </w:trPr>
        <w:tc>
          <w:tcPr>
            <w:tcW w:w="15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spacing w:line="276" w:lineRule="auto"/>
              <w:ind w:left="684" w:hanging="684"/>
              <w:rPr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rPr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suppressAutoHyphens/>
              <w:autoSpaceDN w:val="0"/>
              <w:snapToGrid w:val="0"/>
              <w:textAlignment w:val="baseline"/>
              <w:rPr>
                <w:kern w:val="3"/>
                <w:szCs w:val="24"/>
                <w:lang w:eastAsia="lt-LT" w:bidi="ar-SA"/>
              </w:rPr>
            </w:pPr>
            <w:proofErr w:type="spellStart"/>
            <w:r w:rsidRPr="003873AF">
              <w:rPr>
                <w:kern w:val="3"/>
                <w:szCs w:val="24"/>
                <w:lang w:eastAsia="lt-LT" w:bidi="ar-SA"/>
              </w:rPr>
              <w:t>Irengtų</w:t>
            </w:r>
            <w:proofErr w:type="spellEnd"/>
            <w:r w:rsidRPr="003873AF">
              <w:rPr>
                <w:kern w:val="3"/>
                <w:szCs w:val="24"/>
                <w:lang w:eastAsia="lt-LT" w:bidi="ar-SA"/>
              </w:rPr>
              <w:t xml:space="preserve"> dienos užimtumo centrų ir socialinių dirbtuvių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3873AF">
              <w:rPr>
                <w:sz w:val="24"/>
                <w:szCs w:val="24"/>
                <w:lang w:val="lt-LT"/>
              </w:rPr>
              <w:t>Vnt.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3873AF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AC1873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  <w:r w:rsidRPr="003873AF">
              <w:rPr>
                <w:sz w:val="24"/>
                <w:szCs w:val="24"/>
                <w:lang w:val="lt-LT"/>
              </w:rPr>
              <w:t>2</w:t>
            </w:r>
          </w:p>
        </w:tc>
        <w:tc>
          <w:tcPr>
            <w:tcW w:w="3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40B" w:rsidRPr="003873AF" w:rsidRDefault="0020540B" w:rsidP="00257945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3873AF">
              <w:rPr>
                <w:sz w:val="24"/>
                <w:szCs w:val="24"/>
                <w:lang w:val="lt-LT"/>
              </w:rPr>
              <w:t>2</w:t>
            </w:r>
            <w:r w:rsidR="00257945">
              <w:rPr>
                <w:sz w:val="24"/>
                <w:szCs w:val="24"/>
                <w:lang w:val="lt-LT"/>
              </w:rPr>
              <w:t>“</w:t>
            </w:r>
            <w:r w:rsidRPr="003873AF">
              <w:rPr>
                <w:sz w:val="24"/>
                <w:szCs w:val="24"/>
                <w:lang w:val="lt-LT"/>
              </w:rPr>
              <w:t>.</w:t>
            </w:r>
          </w:p>
        </w:tc>
      </w:tr>
    </w:tbl>
    <w:p w:rsidR="00641739" w:rsidRPr="003873AF" w:rsidRDefault="00641739" w:rsidP="00544B44">
      <w:pPr>
        <w:pStyle w:val="Pagrindinistekstas"/>
        <w:jc w:val="both"/>
        <w:rPr>
          <w:highlight w:val="yellow"/>
        </w:rPr>
      </w:pPr>
    </w:p>
    <w:p w:rsidR="00544B44" w:rsidRPr="00DE73D8" w:rsidRDefault="00544B44" w:rsidP="00544B44">
      <w:pPr>
        <w:pStyle w:val="Pagrindinistekstas"/>
        <w:jc w:val="both"/>
      </w:pPr>
      <w:r w:rsidRPr="003873AF">
        <w:t>1.2</w:t>
      </w:r>
      <w:r w:rsidRPr="00DE73D8">
        <w:t>. Pakeisti 3 priedą:</w:t>
      </w:r>
      <w:r w:rsidR="00257945">
        <w:t xml:space="preserve"> </w:t>
      </w:r>
    </w:p>
    <w:p w:rsidR="00544B44" w:rsidRPr="003873AF" w:rsidRDefault="00544B44" w:rsidP="00544B44">
      <w:pPr>
        <w:pStyle w:val="Pagrindinistekstas"/>
        <w:jc w:val="both"/>
      </w:pPr>
      <w:r w:rsidRPr="00DE73D8">
        <w:t xml:space="preserve">1.2.1. Papildyti </w:t>
      </w:r>
      <w:r w:rsidR="00E5518A" w:rsidRPr="00DE73D8">
        <w:t>nauj</w:t>
      </w:r>
      <w:r w:rsidR="000425A9">
        <w:t>u</w:t>
      </w:r>
      <w:r w:rsidR="00E5518A" w:rsidRPr="00DE73D8">
        <w:t xml:space="preserve"> </w:t>
      </w:r>
      <w:r w:rsidRPr="003873AF">
        <w:t>03.01.0</w:t>
      </w:r>
      <w:r w:rsidR="005E0F33" w:rsidRPr="003873AF">
        <w:t>2</w:t>
      </w:r>
      <w:r w:rsidRPr="003873AF">
        <w:t>.0</w:t>
      </w:r>
      <w:r w:rsidR="005E0F33" w:rsidRPr="003873AF">
        <w:t>13</w:t>
      </w:r>
      <w:r w:rsidR="000425A9">
        <w:t xml:space="preserve"> papunkčiu</w:t>
      </w:r>
      <w:r w:rsidRPr="003873AF">
        <w:t>:</w:t>
      </w:r>
      <w:r w:rsidR="000425A9">
        <w:t xml:space="preserve"> </w:t>
      </w:r>
    </w:p>
    <w:tbl>
      <w:tblPr>
        <w:tblW w:w="10632" w:type="dxa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134"/>
        <w:gridCol w:w="708"/>
        <w:gridCol w:w="993"/>
        <w:gridCol w:w="992"/>
        <w:gridCol w:w="992"/>
        <w:gridCol w:w="1276"/>
        <w:gridCol w:w="567"/>
        <w:gridCol w:w="425"/>
        <w:gridCol w:w="284"/>
        <w:gridCol w:w="425"/>
      </w:tblGrid>
      <w:tr w:rsidR="00355422" w:rsidRPr="003873AF" w:rsidTr="00152695">
        <w:trPr>
          <w:trHeight w:val="581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873AF" w:rsidRDefault="000C7332" w:rsidP="00B532FC">
            <w:pPr>
              <w:spacing w:line="276" w:lineRule="auto"/>
              <w:ind w:left="684" w:hanging="684"/>
              <w:rPr>
                <w:szCs w:val="24"/>
              </w:rPr>
            </w:pPr>
            <w:r w:rsidRPr="003873AF">
              <w:rPr>
                <w:szCs w:val="24"/>
              </w:rPr>
              <w:t>„03.01.02.013.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873AF" w:rsidRDefault="000C7332" w:rsidP="00AC1873">
            <w:pPr>
              <w:suppressAutoHyphens/>
              <w:autoSpaceDN w:val="0"/>
              <w:textAlignment w:val="baseline"/>
              <w:rPr>
                <w:szCs w:val="24"/>
              </w:rPr>
            </w:pPr>
            <w:r w:rsidRPr="003873AF">
              <w:rPr>
                <w:szCs w:val="24"/>
              </w:rPr>
              <w:t>Kauno miesto gatvių apšvietimo moderni</w:t>
            </w:r>
            <w:r w:rsidR="00355422" w:rsidRPr="003873AF">
              <w:rPr>
                <w:szCs w:val="24"/>
              </w:rPr>
              <w:t>-</w:t>
            </w:r>
            <w:proofErr w:type="spellStart"/>
            <w:r w:rsidRPr="003873AF">
              <w:rPr>
                <w:szCs w:val="24"/>
              </w:rPr>
              <w:t>zavimas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873AF" w:rsidRDefault="000C7332" w:rsidP="00B532FC">
            <w:pPr>
              <w:spacing w:line="276" w:lineRule="auto"/>
              <w:rPr>
                <w:szCs w:val="24"/>
              </w:rPr>
            </w:pPr>
            <w:r w:rsidRPr="003873AF">
              <w:rPr>
                <w:szCs w:val="24"/>
              </w:rPr>
              <w:t>Investicijų ir projektų skyrius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873AF" w:rsidRDefault="000C7332" w:rsidP="00AC1873">
            <w:pPr>
              <w:spacing w:line="276" w:lineRule="auto"/>
              <w:rPr>
                <w:szCs w:val="24"/>
              </w:rPr>
            </w:pPr>
            <w:r w:rsidRPr="003873AF">
              <w:rPr>
                <w:szCs w:val="24"/>
              </w:rPr>
              <w:t>Iš viso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422" w:rsidRPr="003873AF" w:rsidRDefault="00355422" w:rsidP="00355422">
            <w:pPr>
              <w:rPr>
                <w:bCs/>
                <w:szCs w:val="24"/>
                <w:lang w:eastAsia="lt-LT" w:bidi="ar-SA"/>
              </w:rPr>
            </w:pPr>
            <w:r w:rsidRPr="003873AF">
              <w:rPr>
                <w:bCs/>
                <w:szCs w:val="24"/>
              </w:rPr>
              <w:t>161778,3</w:t>
            </w:r>
          </w:p>
          <w:p w:rsidR="000C7332" w:rsidRPr="003873AF" w:rsidRDefault="000C7332" w:rsidP="00AC1873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422" w:rsidRPr="003873AF" w:rsidRDefault="00355422" w:rsidP="00355422">
            <w:pPr>
              <w:rPr>
                <w:bCs/>
                <w:szCs w:val="24"/>
                <w:lang w:eastAsia="lt-LT" w:bidi="ar-SA"/>
              </w:rPr>
            </w:pPr>
            <w:r w:rsidRPr="003873AF">
              <w:rPr>
                <w:bCs/>
                <w:szCs w:val="24"/>
              </w:rPr>
              <w:t>689462,4</w:t>
            </w:r>
          </w:p>
          <w:p w:rsidR="000C7332" w:rsidRPr="003873AF" w:rsidRDefault="000C7332" w:rsidP="00AC1873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422" w:rsidRPr="003873AF" w:rsidRDefault="00355422" w:rsidP="00355422">
            <w:pPr>
              <w:jc w:val="both"/>
              <w:rPr>
                <w:bCs/>
                <w:szCs w:val="24"/>
                <w:lang w:eastAsia="lt-LT" w:bidi="ar-SA"/>
              </w:rPr>
            </w:pPr>
            <w:r w:rsidRPr="003873AF">
              <w:rPr>
                <w:bCs/>
                <w:szCs w:val="24"/>
              </w:rPr>
              <w:t>105134,4</w:t>
            </w:r>
          </w:p>
          <w:p w:rsidR="000C7332" w:rsidRPr="003873AF" w:rsidRDefault="000C7332" w:rsidP="00AC1873">
            <w:pPr>
              <w:suppressAutoHyphens/>
              <w:autoSpaceDN w:val="0"/>
              <w:snapToGri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873AF" w:rsidRDefault="00507A93" w:rsidP="00AC1873">
            <w:pPr>
              <w:rPr>
                <w:color w:val="000000"/>
                <w:szCs w:val="24"/>
              </w:rPr>
            </w:pPr>
            <w:r w:rsidRPr="003873AF">
              <w:rPr>
                <w:color w:val="000000"/>
                <w:szCs w:val="24"/>
              </w:rPr>
              <w:t>Parengtų dokumentų skaičius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0C7332" w:rsidRPr="003873AF" w:rsidRDefault="00507A93" w:rsidP="00AC1873">
            <w:pPr>
              <w:rPr>
                <w:color w:val="000000"/>
                <w:szCs w:val="24"/>
              </w:rPr>
            </w:pPr>
            <w:r w:rsidRPr="003873AF">
              <w:rPr>
                <w:color w:val="000000"/>
                <w:szCs w:val="24"/>
              </w:rPr>
              <w:t>Vnt.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0C7332" w:rsidRPr="003873AF" w:rsidRDefault="00507A93" w:rsidP="00AC1873">
            <w:pPr>
              <w:rPr>
                <w:color w:val="000000"/>
                <w:szCs w:val="24"/>
              </w:rPr>
            </w:pPr>
            <w:r w:rsidRPr="003873AF">
              <w:rPr>
                <w:color w:val="000000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0C7332" w:rsidRPr="003873AF" w:rsidRDefault="00355422" w:rsidP="00AC1873">
            <w:pPr>
              <w:rPr>
                <w:color w:val="000000"/>
                <w:szCs w:val="24"/>
              </w:rPr>
            </w:pPr>
            <w:r w:rsidRPr="003873AF">
              <w:rPr>
                <w:color w:val="00000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0C7332" w:rsidRPr="003873AF" w:rsidRDefault="00355422" w:rsidP="00AC1873">
            <w:pPr>
              <w:rPr>
                <w:color w:val="000000"/>
                <w:szCs w:val="24"/>
              </w:rPr>
            </w:pPr>
            <w:r w:rsidRPr="003873AF">
              <w:rPr>
                <w:color w:val="000000"/>
                <w:szCs w:val="24"/>
              </w:rPr>
              <w:t>0</w:t>
            </w:r>
          </w:p>
        </w:tc>
      </w:tr>
      <w:tr w:rsidR="00355422" w:rsidRPr="00355422" w:rsidTr="00152695">
        <w:trPr>
          <w:trHeight w:val="845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AC1873">
            <w:pPr>
              <w:spacing w:line="276" w:lineRule="auto"/>
              <w:ind w:left="684" w:hanging="684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AC1873">
            <w:pPr>
              <w:suppressAutoHyphens/>
              <w:autoSpaceDN w:val="0"/>
              <w:textAlignment w:val="baseline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AC1873">
            <w:pPr>
              <w:spacing w:line="276" w:lineRule="auto"/>
              <w:rPr>
                <w:szCs w:val="24"/>
              </w:rPr>
            </w:pPr>
            <w:r w:rsidRPr="00355422">
              <w:rPr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152695">
            <w:pPr>
              <w:rPr>
                <w:szCs w:val="24"/>
              </w:rPr>
            </w:pPr>
            <w:r w:rsidRPr="00355422">
              <w:rPr>
                <w:szCs w:val="24"/>
              </w:rPr>
              <w:t>80443,3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355422">
            <w:pPr>
              <w:jc w:val="both"/>
              <w:rPr>
                <w:szCs w:val="24"/>
              </w:rPr>
            </w:pPr>
            <w:r w:rsidRPr="00355422">
              <w:rPr>
                <w:szCs w:val="24"/>
              </w:rPr>
              <w:t>308166,9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AC1873">
            <w:pPr>
              <w:suppressAutoHyphens/>
              <w:autoSpaceDN w:val="0"/>
              <w:snapToGrid w:val="0"/>
              <w:jc w:val="both"/>
              <w:textAlignment w:val="baseline"/>
              <w:rPr>
                <w:szCs w:val="24"/>
              </w:rPr>
            </w:pPr>
            <w:r w:rsidRPr="00355422">
              <w:rPr>
                <w:szCs w:val="24"/>
              </w:rPr>
              <w:t>52567,2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507A93" w:rsidP="00AC1873">
            <w:pPr>
              <w:rPr>
                <w:color w:val="000000"/>
                <w:szCs w:val="24"/>
              </w:rPr>
            </w:pPr>
            <w:r w:rsidRPr="00355422">
              <w:rPr>
                <w:color w:val="000000"/>
                <w:szCs w:val="24"/>
              </w:rPr>
              <w:t>Įvykdytų pirkimų skaičius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0C7332" w:rsidRPr="00355422" w:rsidRDefault="00507A93" w:rsidP="00AC1873">
            <w:pPr>
              <w:rPr>
                <w:color w:val="000000"/>
                <w:szCs w:val="24"/>
              </w:rPr>
            </w:pPr>
            <w:r w:rsidRPr="00355422">
              <w:rPr>
                <w:color w:val="000000"/>
                <w:szCs w:val="24"/>
              </w:rPr>
              <w:t>Vnt.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0C7332" w:rsidRPr="00355422" w:rsidRDefault="00507A93" w:rsidP="00AC1873">
            <w:pPr>
              <w:rPr>
                <w:color w:val="000000"/>
                <w:szCs w:val="24"/>
              </w:rPr>
            </w:pPr>
            <w:r w:rsidRPr="00355422">
              <w:rPr>
                <w:color w:val="000000"/>
                <w:szCs w:val="24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0C7332" w:rsidRPr="00355422" w:rsidRDefault="00355422" w:rsidP="00AC187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0C7332" w:rsidRPr="00355422" w:rsidRDefault="00355422" w:rsidP="00AC187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355422" w:rsidRPr="00355422" w:rsidTr="00152695">
        <w:trPr>
          <w:trHeight w:val="947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AC1873">
            <w:pPr>
              <w:spacing w:line="276" w:lineRule="auto"/>
              <w:ind w:left="684" w:hanging="684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AC1873">
            <w:pPr>
              <w:suppressAutoHyphens/>
              <w:autoSpaceDN w:val="0"/>
              <w:textAlignment w:val="baseline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A53CB2">
            <w:pPr>
              <w:spacing w:line="276" w:lineRule="auto"/>
              <w:rPr>
                <w:szCs w:val="24"/>
              </w:rPr>
            </w:pPr>
            <w:r w:rsidRPr="00355422">
              <w:rPr>
                <w:szCs w:val="24"/>
              </w:rPr>
              <w:t>1.1.2.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AC1873">
            <w:pPr>
              <w:rPr>
                <w:szCs w:val="24"/>
              </w:rPr>
            </w:pPr>
            <w:r w:rsidRPr="00355422">
              <w:rPr>
                <w:szCs w:val="24"/>
              </w:rPr>
              <w:t>81335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152695">
            <w:pPr>
              <w:rPr>
                <w:szCs w:val="24"/>
              </w:rPr>
            </w:pPr>
            <w:r w:rsidRPr="00355422">
              <w:rPr>
                <w:szCs w:val="24"/>
              </w:rPr>
              <w:t>381295,</w:t>
            </w:r>
            <w:r w:rsidR="00152695">
              <w:rPr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355422" w:rsidP="00B532FC">
            <w:pPr>
              <w:rPr>
                <w:szCs w:val="24"/>
              </w:rPr>
            </w:pPr>
            <w:r w:rsidRPr="00355422">
              <w:rPr>
                <w:szCs w:val="24"/>
              </w:rPr>
              <w:t>52567,2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507A93" w:rsidP="00AC1873">
            <w:pPr>
              <w:rPr>
                <w:color w:val="000000"/>
                <w:szCs w:val="24"/>
              </w:rPr>
            </w:pPr>
            <w:r w:rsidRPr="00355422">
              <w:rPr>
                <w:color w:val="000000"/>
                <w:szCs w:val="24"/>
              </w:rPr>
              <w:t>Įgyvendinta projekto dalis nuo viso projekto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0C7332" w:rsidRPr="00355422" w:rsidRDefault="00507A93" w:rsidP="00AC1873">
            <w:pPr>
              <w:rPr>
                <w:color w:val="000000"/>
                <w:szCs w:val="24"/>
              </w:rPr>
            </w:pPr>
            <w:r w:rsidRPr="00355422">
              <w:rPr>
                <w:color w:val="000000"/>
                <w:szCs w:val="24"/>
              </w:rPr>
              <w:t>Proc.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0C7332" w:rsidRPr="00355422" w:rsidRDefault="00507A93" w:rsidP="00AC1873">
            <w:pPr>
              <w:rPr>
                <w:color w:val="000000"/>
                <w:szCs w:val="24"/>
              </w:rPr>
            </w:pPr>
            <w:r w:rsidRPr="00355422">
              <w:rPr>
                <w:color w:val="000000"/>
                <w:szCs w:val="24"/>
              </w:rPr>
              <w:t>18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0C7332" w:rsidRPr="00355422" w:rsidRDefault="00507A93" w:rsidP="00AC1873">
            <w:pPr>
              <w:rPr>
                <w:color w:val="000000"/>
                <w:szCs w:val="24"/>
              </w:rPr>
            </w:pPr>
            <w:r w:rsidRPr="00355422">
              <w:rPr>
                <w:color w:val="000000"/>
                <w:szCs w:val="24"/>
              </w:rPr>
              <w:t>71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0C7332" w:rsidRPr="00355422" w:rsidRDefault="00507A93" w:rsidP="00AC1873">
            <w:pPr>
              <w:rPr>
                <w:color w:val="000000"/>
                <w:szCs w:val="24"/>
              </w:rPr>
            </w:pPr>
            <w:r w:rsidRPr="00355422">
              <w:rPr>
                <w:color w:val="000000"/>
                <w:szCs w:val="24"/>
              </w:rPr>
              <w:t>11</w:t>
            </w:r>
          </w:p>
        </w:tc>
      </w:tr>
      <w:tr w:rsidR="00355422" w:rsidRPr="00355422" w:rsidTr="00152695">
        <w:trPr>
          <w:trHeight w:val="705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AC1873">
            <w:pPr>
              <w:spacing w:line="276" w:lineRule="auto"/>
              <w:ind w:left="684" w:hanging="684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AC1873">
            <w:pPr>
              <w:suppressAutoHyphens/>
              <w:autoSpaceDN w:val="0"/>
              <w:textAlignment w:val="baseline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A53CB2">
            <w:pPr>
              <w:spacing w:line="276" w:lineRule="auto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AC1873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AC1873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0C7332" w:rsidP="00B532FC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32" w:rsidRPr="00355422" w:rsidRDefault="00507A93" w:rsidP="00AC1873">
            <w:pPr>
              <w:rPr>
                <w:color w:val="000000"/>
                <w:szCs w:val="24"/>
              </w:rPr>
            </w:pPr>
            <w:r w:rsidRPr="00355422">
              <w:rPr>
                <w:color w:val="000000"/>
                <w:szCs w:val="24"/>
              </w:rPr>
              <w:t>Pateiktų dokumentų skaičius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0C7332" w:rsidRPr="00355422" w:rsidRDefault="00507A93" w:rsidP="00AC1873">
            <w:pPr>
              <w:rPr>
                <w:color w:val="000000"/>
                <w:szCs w:val="24"/>
              </w:rPr>
            </w:pPr>
            <w:r w:rsidRPr="00355422">
              <w:rPr>
                <w:color w:val="000000"/>
                <w:szCs w:val="24"/>
              </w:rPr>
              <w:t>Vnt.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0C7332" w:rsidRPr="00355422" w:rsidRDefault="00507A93" w:rsidP="00AC1873">
            <w:pPr>
              <w:rPr>
                <w:color w:val="000000"/>
                <w:szCs w:val="24"/>
              </w:rPr>
            </w:pPr>
            <w:r w:rsidRPr="00355422">
              <w:rPr>
                <w:color w:val="000000"/>
                <w:szCs w:val="24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0C7332" w:rsidRPr="00355422" w:rsidRDefault="00507A93" w:rsidP="00AC1873">
            <w:pPr>
              <w:rPr>
                <w:color w:val="000000"/>
                <w:szCs w:val="24"/>
              </w:rPr>
            </w:pPr>
            <w:r w:rsidRPr="00355422">
              <w:rPr>
                <w:color w:val="000000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0C7332" w:rsidRPr="00355422" w:rsidRDefault="00507A93" w:rsidP="00AC1873">
            <w:pPr>
              <w:rPr>
                <w:color w:val="000000"/>
                <w:szCs w:val="24"/>
              </w:rPr>
            </w:pPr>
            <w:r w:rsidRPr="00355422">
              <w:rPr>
                <w:color w:val="000000"/>
                <w:szCs w:val="24"/>
              </w:rPr>
              <w:t>3“.</w:t>
            </w:r>
          </w:p>
        </w:tc>
      </w:tr>
    </w:tbl>
    <w:p w:rsidR="00641739" w:rsidRDefault="00641739" w:rsidP="00D24011">
      <w:pPr>
        <w:pStyle w:val="Pagrindinistekstas"/>
        <w:ind w:firstLine="1296"/>
        <w:jc w:val="both"/>
      </w:pPr>
    </w:p>
    <w:p w:rsidR="00507A93" w:rsidRPr="00DE73D8" w:rsidRDefault="00641739" w:rsidP="00D24011">
      <w:pPr>
        <w:pStyle w:val="Pagrindinistekstas"/>
        <w:ind w:firstLine="1296"/>
        <w:jc w:val="both"/>
      </w:pPr>
      <w:r>
        <w:t xml:space="preserve">1.2.2. </w:t>
      </w:r>
      <w:r w:rsidRPr="00641739">
        <w:t xml:space="preserve">Pakeisti </w:t>
      </w:r>
      <w:r w:rsidRPr="00DE73D8">
        <w:t>03.02.01.019 papunktį ir jį išdėstyti taip:</w:t>
      </w:r>
      <w:r w:rsidR="000425A9">
        <w:t xml:space="preserve"> </w:t>
      </w:r>
    </w:p>
    <w:tbl>
      <w:tblPr>
        <w:tblW w:w="105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134"/>
        <w:gridCol w:w="708"/>
        <w:gridCol w:w="851"/>
        <w:gridCol w:w="709"/>
        <w:gridCol w:w="708"/>
        <w:gridCol w:w="1134"/>
        <w:gridCol w:w="567"/>
        <w:gridCol w:w="567"/>
        <w:gridCol w:w="567"/>
        <w:gridCol w:w="809"/>
      </w:tblGrid>
      <w:tr w:rsidR="00C43877" w:rsidRPr="00DE73D8" w:rsidTr="00C43877">
        <w:trPr>
          <w:trHeight w:val="1011"/>
        </w:trPr>
        <w:tc>
          <w:tcPr>
            <w:tcW w:w="156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995657">
            <w:pPr>
              <w:spacing w:line="276" w:lineRule="auto"/>
              <w:ind w:left="684" w:hanging="684"/>
              <w:rPr>
                <w:szCs w:val="24"/>
              </w:rPr>
            </w:pPr>
            <w:r w:rsidRPr="00DE73D8">
              <w:rPr>
                <w:szCs w:val="24"/>
              </w:rPr>
              <w:t>„0</w:t>
            </w:r>
            <w:r w:rsidR="00995657" w:rsidRPr="00DE73D8">
              <w:rPr>
                <w:szCs w:val="24"/>
              </w:rPr>
              <w:t>3</w:t>
            </w:r>
            <w:r w:rsidRPr="00DE73D8">
              <w:rPr>
                <w:szCs w:val="24"/>
              </w:rPr>
              <w:t>.02.0</w:t>
            </w:r>
            <w:r w:rsidR="00995657" w:rsidRPr="00DE73D8">
              <w:rPr>
                <w:szCs w:val="24"/>
              </w:rPr>
              <w:t>1</w:t>
            </w:r>
            <w:r w:rsidRPr="00DE73D8">
              <w:rPr>
                <w:szCs w:val="24"/>
              </w:rPr>
              <w:t>.019</w:t>
            </w:r>
            <w:r w:rsidR="000425A9">
              <w:rPr>
                <w:szCs w:val="24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0425A9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DE73D8">
              <w:rPr>
                <w:kern w:val="3"/>
                <w:szCs w:val="24"/>
                <w:lang w:eastAsia="lt-LT" w:bidi="ar-SA"/>
              </w:rPr>
              <w:t>Visuomenės ugdymas saugaus eismo klausimais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C43877">
            <w:pPr>
              <w:spacing w:line="276" w:lineRule="auto"/>
              <w:rPr>
                <w:szCs w:val="24"/>
              </w:rPr>
            </w:pPr>
            <w:r w:rsidRPr="00DE73D8">
              <w:rPr>
                <w:szCs w:val="24"/>
              </w:rPr>
              <w:t xml:space="preserve">Transporto ir eismo </w:t>
            </w:r>
            <w:proofErr w:type="spellStart"/>
            <w:r w:rsidRPr="00DE73D8">
              <w:rPr>
                <w:szCs w:val="24"/>
              </w:rPr>
              <w:t>organiza</w:t>
            </w:r>
            <w:proofErr w:type="spellEnd"/>
            <w:r w:rsidR="00C43877" w:rsidRPr="00DE73D8">
              <w:rPr>
                <w:szCs w:val="24"/>
              </w:rPr>
              <w:t>-</w:t>
            </w:r>
            <w:r w:rsidRPr="00DE73D8">
              <w:rPr>
                <w:szCs w:val="24"/>
              </w:rPr>
              <w:t>vimo skyrius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spacing w:line="276" w:lineRule="auto"/>
              <w:rPr>
                <w:szCs w:val="24"/>
              </w:rPr>
            </w:pPr>
            <w:r w:rsidRPr="00DE73D8">
              <w:rPr>
                <w:szCs w:val="24"/>
              </w:rPr>
              <w:t>1.1.2.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rPr>
                <w:szCs w:val="24"/>
              </w:rPr>
            </w:pPr>
            <w:r w:rsidRPr="00DE73D8">
              <w:rPr>
                <w:szCs w:val="24"/>
              </w:rPr>
              <w:t>30800</w:t>
            </w:r>
            <w:r w:rsidR="00C43877" w:rsidRPr="00DE73D8">
              <w:rPr>
                <w:szCs w:val="24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rPr>
                <w:szCs w:val="24"/>
              </w:rPr>
            </w:pPr>
            <w:r w:rsidRPr="00DE73D8">
              <w:rPr>
                <w:szCs w:val="24"/>
              </w:rPr>
              <w:t>25000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DE73D8">
              <w:rPr>
                <w:kern w:val="3"/>
                <w:szCs w:val="24"/>
                <w:lang w:eastAsia="lt-LT" w:bidi="ar-SA"/>
              </w:rPr>
              <w:t>25000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0425A9">
            <w:pPr>
              <w:suppressAutoHyphens/>
              <w:autoSpaceDN w:val="0"/>
              <w:snapToGrid w:val="0"/>
              <w:textAlignment w:val="baseline"/>
              <w:rPr>
                <w:kern w:val="3"/>
                <w:szCs w:val="24"/>
                <w:lang w:eastAsia="lt-LT" w:bidi="ar-SA"/>
              </w:rPr>
            </w:pPr>
            <w:proofErr w:type="spellStart"/>
            <w:r w:rsidRPr="00DE73D8">
              <w:rPr>
                <w:kern w:val="3"/>
                <w:szCs w:val="24"/>
                <w:lang w:eastAsia="lt-LT" w:bidi="ar-SA"/>
              </w:rPr>
              <w:t>Įgyvendin</w:t>
            </w:r>
            <w:proofErr w:type="spellEnd"/>
            <w:r w:rsidR="00C43877" w:rsidRPr="00DE73D8">
              <w:rPr>
                <w:kern w:val="3"/>
                <w:szCs w:val="24"/>
                <w:lang w:eastAsia="lt-LT" w:bidi="ar-SA"/>
              </w:rPr>
              <w:t>-</w:t>
            </w:r>
            <w:r w:rsidRPr="00DE73D8">
              <w:rPr>
                <w:kern w:val="3"/>
                <w:szCs w:val="24"/>
                <w:lang w:eastAsia="lt-LT" w:bidi="ar-SA"/>
              </w:rPr>
              <w:t>tų viešini</w:t>
            </w:r>
            <w:r w:rsidR="00C43877" w:rsidRPr="00DE73D8">
              <w:rPr>
                <w:kern w:val="3"/>
                <w:szCs w:val="24"/>
                <w:lang w:eastAsia="lt-LT" w:bidi="ar-SA"/>
              </w:rPr>
              <w:t>-</w:t>
            </w:r>
            <w:proofErr w:type="spellStart"/>
            <w:r w:rsidRPr="00DE73D8">
              <w:rPr>
                <w:kern w:val="3"/>
                <w:szCs w:val="24"/>
                <w:lang w:eastAsia="lt-LT" w:bidi="ar-SA"/>
              </w:rPr>
              <w:t>mo</w:t>
            </w:r>
            <w:proofErr w:type="spellEnd"/>
            <w:r w:rsidRPr="00DE73D8">
              <w:rPr>
                <w:kern w:val="3"/>
                <w:szCs w:val="24"/>
                <w:lang w:eastAsia="lt-LT" w:bidi="ar-SA"/>
              </w:rPr>
              <w:t xml:space="preserve"> prie</w:t>
            </w:r>
            <w:r w:rsidR="00C43877" w:rsidRPr="00DE73D8">
              <w:rPr>
                <w:kern w:val="3"/>
                <w:szCs w:val="24"/>
                <w:lang w:eastAsia="lt-LT" w:bidi="ar-SA"/>
              </w:rPr>
              <w:t>-</w:t>
            </w:r>
            <w:proofErr w:type="spellStart"/>
            <w:r w:rsidRPr="00DE73D8">
              <w:rPr>
                <w:kern w:val="3"/>
                <w:szCs w:val="24"/>
                <w:lang w:eastAsia="lt-LT" w:bidi="ar-SA"/>
              </w:rPr>
              <w:t>monių</w:t>
            </w:r>
            <w:proofErr w:type="spellEnd"/>
            <w:r w:rsidRPr="00DE73D8">
              <w:rPr>
                <w:kern w:val="3"/>
                <w:szCs w:val="24"/>
                <w:lang w:eastAsia="lt-LT" w:bidi="ar-SA"/>
              </w:rPr>
              <w:t xml:space="preserve">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Vnt.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3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3</w:t>
            </w:r>
          </w:p>
        </w:tc>
      </w:tr>
      <w:tr w:rsidR="00641739" w:rsidRPr="00DE73D8" w:rsidTr="00C43877">
        <w:trPr>
          <w:trHeight w:val="637"/>
        </w:trPr>
        <w:tc>
          <w:tcPr>
            <w:tcW w:w="15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spacing w:line="276" w:lineRule="auto"/>
              <w:ind w:left="684" w:hanging="684"/>
              <w:rPr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rPr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rPr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DE73D8">
              <w:rPr>
                <w:kern w:val="3"/>
                <w:szCs w:val="24"/>
                <w:lang w:eastAsia="lt-LT" w:bidi="ar-SA"/>
              </w:rPr>
              <w:t>Dalyvių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 xml:space="preserve">Vnt.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1000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1000</w:t>
            </w:r>
          </w:p>
        </w:tc>
      </w:tr>
      <w:tr w:rsidR="00C43877" w:rsidRPr="008F1FDF" w:rsidTr="00C43877">
        <w:trPr>
          <w:trHeight w:val="989"/>
        </w:trPr>
        <w:tc>
          <w:tcPr>
            <w:tcW w:w="15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spacing w:line="276" w:lineRule="auto"/>
              <w:ind w:left="684" w:hanging="684"/>
              <w:rPr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spacing w:line="276" w:lineRule="auto"/>
              <w:rPr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rPr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rPr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DE73D8">
              <w:rPr>
                <w:kern w:val="3"/>
                <w:szCs w:val="24"/>
                <w:lang w:eastAsia="lt-LT" w:bidi="ar-SA"/>
              </w:rPr>
              <w:t>Įrengta saugaus eismo ugdymo aikštelė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Vnt.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AC1873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739" w:rsidRPr="00DE73D8" w:rsidRDefault="00641739" w:rsidP="000425A9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DE73D8">
              <w:rPr>
                <w:sz w:val="24"/>
                <w:szCs w:val="24"/>
                <w:lang w:val="lt-LT"/>
              </w:rPr>
              <w:t>0</w:t>
            </w:r>
            <w:r w:rsidR="000425A9">
              <w:rPr>
                <w:sz w:val="24"/>
                <w:szCs w:val="24"/>
                <w:lang w:val="lt-LT"/>
              </w:rPr>
              <w:t>“</w:t>
            </w:r>
            <w:r w:rsidRPr="00DE73D8">
              <w:rPr>
                <w:sz w:val="24"/>
                <w:szCs w:val="24"/>
                <w:lang w:val="lt-LT"/>
              </w:rPr>
              <w:t>.</w:t>
            </w:r>
            <w:r w:rsidR="000425A9">
              <w:rPr>
                <w:sz w:val="24"/>
                <w:szCs w:val="24"/>
                <w:lang w:val="lt-LT"/>
              </w:rPr>
              <w:t xml:space="preserve"> </w:t>
            </w:r>
          </w:p>
        </w:tc>
      </w:tr>
    </w:tbl>
    <w:p w:rsidR="00641739" w:rsidRDefault="00641739" w:rsidP="00D24011">
      <w:pPr>
        <w:pStyle w:val="Pagrindinistekstas"/>
        <w:ind w:firstLine="1296"/>
        <w:jc w:val="both"/>
      </w:pPr>
    </w:p>
    <w:p w:rsidR="004805E9" w:rsidRDefault="00544B44" w:rsidP="00D24011">
      <w:pPr>
        <w:pStyle w:val="Pagrindinistekstas"/>
        <w:ind w:firstLine="1296"/>
        <w:jc w:val="both"/>
      </w:pPr>
      <w:r w:rsidRPr="008C6995">
        <w:t xml:space="preserve">2. Šis sprendimas </w:t>
      </w:r>
      <w:r w:rsidR="000425A9" w:rsidRPr="000425A9">
        <w:t xml:space="preserve">per vieną mėnesį nuo jo paskelbimo dienos </w:t>
      </w:r>
      <w:r w:rsidRPr="008C6995">
        <w:t>gali būti skundžiamas Regionų apygardos administracinio teismo Kauno rūmams (A. Mickevičiaus g. 8A, Kaunas) Lietuvos Respublikos administracinių bylų teisenos įstatymo nustatyta tvarka.</w:t>
      </w:r>
      <w:r w:rsidR="000425A9">
        <w:t xml:space="preserve"> </w:t>
      </w:r>
    </w:p>
    <w:bookmarkEnd w:id="13"/>
    <w:p w:rsidR="004805E9" w:rsidRDefault="004805E9">
      <w:pPr>
        <w:ind w:firstLine="1298"/>
        <w:sectPr w:rsidR="004805E9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947A2F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4" w:name="r20_1_1"/>
            <w:r>
              <w:instrText xml:space="preserve"> FORMTEXT </w:instrText>
            </w:r>
            <w:r>
              <w:fldChar w:fldCharType="separate"/>
            </w:r>
            <w:r w:rsidR="00947A2F">
              <w:t>Savivaldybės meras</w:t>
            </w:r>
            <w:r>
              <w:fldChar w:fldCharType="end"/>
            </w:r>
            <w:bookmarkEnd w:id="14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F66195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F66195">
              <w:rPr>
                <w:noProof/>
              </w:rPr>
              <w:t>Visvaldas</w:t>
            </w:r>
            <w:r>
              <w:fldChar w:fldCharType="end"/>
            </w:r>
            <w:bookmarkEnd w:id="15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F66195">
              <w:rPr>
                <w:noProof/>
              </w:rPr>
              <w:t>Matijošaitis</w:t>
            </w:r>
            <w:r>
              <w:fldChar w:fldCharType="end"/>
            </w:r>
            <w:bookmarkEnd w:id="16"/>
          </w:p>
        </w:tc>
      </w:tr>
    </w:tbl>
    <w:p w:rsidR="004805E9" w:rsidRDefault="004805E9">
      <w:pPr>
        <w:keepNext/>
      </w:pPr>
    </w:p>
    <w:sectPr w:rsidR="004805E9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9A" w:rsidRDefault="0026469A">
      <w:r>
        <w:separator/>
      </w:r>
    </w:p>
  </w:endnote>
  <w:endnote w:type="continuationSeparator" w:id="0">
    <w:p w:rsidR="0026469A" w:rsidRDefault="0026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9A" w:rsidRDefault="0026469A">
      <w:pPr>
        <w:pStyle w:val="Porat"/>
        <w:spacing w:before="240"/>
      </w:pPr>
    </w:p>
  </w:footnote>
  <w:footnote w:type="continuationSeparator" w:id="0">
    <w:p w:rsidR="0026469A" w:rsidRDefault="0026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1C76B0">
      <w:rPr>
        <w:rStyle w:val="Puslapionumeris"/>
        <w:noProof/>
      </w:rPr>
      <w:t>3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5986"/>
    <w:multiLevelType w:val="multilevel"/>
    <w:tmpl w:val="57665E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92" w:hanging="1800"/>
      </w:pPr>
      <w:rPr>
        <w:rFonts w:hint="default"/>
      </w:rPr>
    </w:lvl>
  </w:abstractNum>
  <w:abstractNum w:abstractNumId="1" w15:restartNumberingAfterBreak="0">
    <w:nsid w:val="175F5F1B"/>
    <w:multiLevelType w:val="multilevel"/>
    <w:tmpl w:val="A49A0F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92" w:hanging="1800"/>
      </w:pPr>
      <w:rPr>
        <w:rFonts w:hint="default"/>
      </w:rPr>
    </w:lvl>
  </w:abstractNum>
  <w:abstractNum w:abstractNumId="2" w15:restartNumberingAfterBreak="0">
    <w:nsid w:val="18687595"/>
    <w:multiLevelType w:val="multilevel"/>
    <w:tmpl w:val="372843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92" w:hanging="1800"/>
      </w:pPr>
      <w:rPr>
        <w:rFonts w:hint="default"/>
      </w:rPr>
    </w:lvl>
  </w:abstractNum>
  <w:abstractNum w:abstractNumId="3" w15:restartNumberingAfterBreak="0">
    <w:nsid w:val="4C010905"/>
    <w:multiLevelType w:val="multilevel"/>
    <w:tmpl w:val="6D560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9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544B44"/>
    <w:rsid w:val="00021947"/>
    <w:rsid w:val="000263EC"/>
    <w:rsid w:val="000425A9"/>
    <w:rsid w:val="0004523A"/>
    <w:rsid w:val="00050B61"/>
    <w:rsid w:val="000727A2"/>
    <w:rsid w:val="000933B6"/>
    <w:rsid w:val="000967FA"/>
    <w:rsid w:val="000C21C8"/>
    <w:rsid w:val="000C7332"/>
    <w:rsid w:val="000D1BF0"/>
    <w:rsid w:val="00152695"/>
    <w:rsid w:val="001654E0"/>
    <w:rsid w:val="001877A5"/>
    <w:rsid w:val="001C4D67"/>
    <w:rsid w:val="001C76B0"/>
    <w:rsid w:val="001D4A44"/>
    <w:rsid w:val="0020540B"/>
    <w:rsid w:val="00257945"/>
    <w:rsid w:val="0026469A"/>
    <w:rsid w:val="00266465"/>
    <w:rsid w:val="002A3DC6"/>
    <w:rsid w:val="002C0DD4"/>
    <w:rsid w:val="00316861"/>
    <w:rsid w:val="00324FAD"/>
    <w:rsid w:val="00342A70"/>
    <w:rsid w:val="00355422"/>
    <w:rsid w:val="00357551"/>
    <w:rsid w:val="003637E1"/>
    <w:rsid w:val="003842A9"/>
    <w:rsid w:val="003873AF"/>
    <w:rsid w:val="003A2503"/>
    <w:rsid w:val="0040350F"/>
    <w:rsid w:val="004805E9"/>
    <w:rsid w:val="00486B7B"/>
    <w:rsid w:val="00507A93"/>
    <w:rsid w:val="005160EA"/>
    <w:rsid w:val="00535B28"/>
    <w:rsid w:val="00544B44"/>
    <w:rsid w:val="005774CE"/>
    <w:rsid w:val="00580811"/>
    <w:rsid w:val="005E0F33"/>
    <w:rsid w:val="006330BA"/>
    <w:rsid w:val="00641739"/>
    <w:rsid w:val="006A138F"/>
    <w:rsid w:val="006A2161"/>
    <w:rsid w:val="007D09D9"/>
    <w:rsid w:val="007D1D62"/>
    <w:rsid w:val="007E0A42"/>
    <w:rsid w:val="007F0AF8"/>
    <w:rsid w:val="007F2A7C"/>
    <w:rsid w:val="00816F08"/>
    <w:rsid w:val="00851D77"/>
    <w:rsid w:val="00855968"/>
    <w:rsid w:val="00865FE8"/>
    <w:rsid w:val="008C6995"/>
    <w:rsid w:val="008D13CF"/>
    <w:rsid w:val="008F1FDF"/>
    <w:rsid w:val="00940D15"/>
    <w:rsid w:val="00947A2F"/>
    <w:rsid w:val="00995657"/>
    <w:rsid w:val="009A6BF1"/>
    <w:rsid w:val="009D0BC4"/>
    <w:rsid w:val="009D2799"/>
    <w:rsid w:val="009F39E5"/>
    <w:rsid w:val="00A53CB2"/>
    <w:rsid w:val="00A92482"/>
    <w:rsid w:val="00AC1873"/>
    <w:rsid w:val="00AF4809"/>
    <w:rsid w:val="00B07510"/>
    <w:rsid w:val="00B462C9"/>
    <w:rsid w:val="00B532FC"/>
    <w:rsid w:val="00B535F7"/>
    <w:rsid w:val="00B57F2F"/>
    <w:rsid w:val="00B62681"/>
    <w:rsid w:val="00B6761B"/>
    <w:rsid w:val="00BB3F5F"/>
    <w:rsid w:val="00BD77D0"/>
    <w:rsid w:val="00C06CE3"/>
    <w:rsid w:val="00C10BF5"/>
    <w:rsid w:val="00C240C4"/>
    <w:rsid w:val="00C43877"/>
    <w:rsid w:val="00C6727E"/>
    <w:rsid w:val="00C7041F"/>
    <w:rsid w:val="00C75966"/>
    <w:rsid w:val="00CA4680"/>
    <w:rsid w:val="00CC5C2A"/>
    <w:rsid w:val="00D12B1C"/>
    <w:rsid w:val="00D24011"/>
    <w:rsid w:val="00D86282"/>
    <w:rsid w:val="00DB44BD"/>
    <w:rsid w:val="00DE73D8"/>
    <w:rsid w:val="00E11A67"/>
    <w:rsid w:val="00E30821"/>
    <w:rsid w:val="00E35D40"/>
    <w:rsid w:val="00E5518A"/>
    <w:rsid w:val="00E87B48"/>
    <w:rsid w:val="00F2223C"/>
    <w:rsid w:val="00F6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72A26B-E4D9-4CE2-A251-698F1F91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12B1C"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customStyle="1" w:styleId="Standard">
    <w:name w:val="Standard"/>
    <w:rsid w:val="00544B44"/>
    <w:pPr>
      <w:suppressAutoHyphens/>
      <w:autoSpaceDN w:val="0"/>
      <w:textAlignment w:val="baseline"/>
    </w:pPr>
    <w:rPr>
      <w:kern w:val="3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518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518A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40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009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3068-5225-4FAD-BAFB-B890C657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t_T_projektas.dot</Template>
  <TotalTime>2</TotalTime>
  <Pages>1</Pages>
  <Words>2345</Words>
  <Characters>1338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2020-10-20   SPRENDIMAS   Nr. T-421</vt:lpstr>
      <vt:lpstr> </vt:lpstr>
    </vt:vector>
  </TitlesOfParts>
  <Manager>Savivaldybės meras Visvaldas Matijošaitis</Manager>
  <Company>KAUNO MIESTO SAVIVALDYBĖ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2020-10-20   SPRENDIMAS   Nr. T-421</dc:title>
  <dc:subject>DĖL KAUNO MIESTO SAVIVALDYBĖS TARYBOS 2020 M. VASARIO 4 D. SPRENDIMO NR. T-2 „DĖL KAUNO MIESTO SAVIVALDYBĖS 2020–2022 METŲ STRATEGINIO VEIKLOS PLANO PATVIRTINIMO“ PAKEITIMO</dc:subject>
  <dc:creator>Vitalija Romanovienė</dc:creator>
  <cp:lastModifiedBy>Lina Rutavičienė</cp:lastModifiedBy>
  <cp:revision>2</cp:revision>
  <cp:lastPrinted>2020-10-20T11:33:00Z</cp:lastPrinted>
  <dcterms:created xsi:type="dcterms:W3CDTF">2020-10-20T11:35:00Z</dcterms:created>
  <dcterms:modified xsi:type="dcterms:W3CDTF">2020-10-20T11:35:00Z</dcterms:modified>
</cp:coreProperties>
</file>