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F31C4" w:rsidRPr="003152F4" w:rsidTr="00315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55478" w:rsidRPr="003152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KAUNO MIESTO SAVIVALDYBĖS</w:t>
                  </w:r>
                  <w:r w:rsidR="001F31C4"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TARYBA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F31C4" w:rsidRPr="003152F4" w:rsidTr="00315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55478" w:rsidRPr="003152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SVEIKATOS IR SOCIALINI</w:t>
                  </w:r>
                  <w:r w:rsidR="001F31C4" w:rsidRPr="003152F4">
                    <w:rPr>
                      <w:b/>
                      <w:color w:val="000000"/>
                      <w:sz w:val="24"/>
                      <w:szCs w:val="24"/>
                    </w:rPr>
                    <w:t>Ų REIKALŲ KOMITETO POSĖDŽIO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F31C4" w:rsidRPr="003152F4" w:rsidTr="00315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55478" w:rsidRPr="003152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F31C4" w:rsidRPr="003152F4" w:rsidTr="00315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55478" w:rsidRPr="003152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1F31C4" w:rsidP="003152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>2020-07-14   Nr. K16-D-9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F31C4" w:rsidRPr="003152F4" w:rsidTr="003152F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55478" w:rsidRPr="003152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152F4">
                    <w:rPr>
                      <w:color w:val="000000"/>
                      <w:sz w:val="24"/>
                      <w:szCs w:val="24"/>
                    </w:rPr>
                    <w:t>Kaunas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F31C4" w:rsidRPr="003152F4" w:rsidTr="003152F4">
        <w:tc>
          <w:tcPr>
            <w:tcW w:w="9635" w:type="dxa"/>
            <w:gridSpan w:val="4"/>
          </w:tcPr>
          <w:p w:rsidR="003152F4" w:rsidRPr="003152F4" w:rsidRDefault="003152F4" w:rsidP="003152F4">
            <w:pPr>
              <w:spacing w:line="360" w:lineRule="auto"/>
              <w:rPr>
                <w:sz w:val="24"/>
                <w:szCs w:val="24"/>
              </w:rPr>
            </w:pPr>
          </w:p>
          <w:p w:rsidR="003152F4" w:rsidRPr="003152F4" w:rsidRDefault="003152F4" w:rsidP="003152F4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152F4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1. Dėl Sveikatos ir socialinių reikalų komiteto pirmininko skyrimo (Kauno miesto savivaldybės mero teikimu (2020 m. liepos 10 d. potvarkis Nr. M-118))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2. Dėl Sveikatos ir socialinių reikalų komiteto pirmininko pavaduotojo sky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rimo (Kauno miesto savivaldybės mero teikimu (2020 m. liepos 10 d. potvarkis Nr.M-118)). </w:t>
                  </w:r>
                </w:p>
              </w:tc>
            </w:tr>
            <w:tr w:rsidR="00A55478" w:rsidRPr="003152F4" w:rsidTr="003152F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52F4" w:rsidRPr="003152F4" w:rsidRDefault="003152F4" w:rsidP="003152F4">
                  <w:pPr>
                    <w:spacing w:after="0" w:line="36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Donatas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Večerskis,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Sveikatos ir socialinių reikalų komiteto pirmininkas</w:t>
                  </w:r>
                </w:p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3. Dėl pritarimo įgyvendinti projektą „Bendruomeninių apgyvendinimo bei užimtumo paslaugų asmenims su proto ir (arba) psichikos negalia plėtra Kauno mieste“ (TR-326) </w:t>
                  </w:r>
                </w:p>
              </w:tc>
            </w:tr>
            <w:tr w:rsidR="00A55478" w:rsidRPr="003152F4" w:rsidTr="003152F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-  Aistė Lukaševičiūtė (Investicijų ir projektų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skyria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13:05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4. Dėl Kauno miesto savivaldybės tarybos 2014 m. gruodžio 22 d. sprendimo Nr. T-682 „Dėl Kauno miesto savivaldybės nevyriausybinių organizacijų tarybos nuostatų patvirtinimo“ pakeitimo (TR-341)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5. Dėl Asmens 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(šeimos) socialinių paslaugų poreikio nustatymo ir socialinių paslaugų skyrimo Kauno mieste tvarkos aprašo patvirtinimo (TR-355) </w:t>
                  </w:r>
                </w:p>
              </w:tc>
            </w:tr>
            <w:tr w:rsidR="00A55478" w:rsidRPr="003152F4" w:rsidTr="003152F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Baltaduonytė (Socialinių paslaugų skyria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13:10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6. Dėl pritarimo Kauno miesto savivaldybės biudžetinių švietimo įstaigų ikimokyklinio ugdymo programoms (TR-332)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7. Dėl Kauno miesto savivaldybės tarybos 2019 m. spalio 15 d. sprendimo Nr. T-454 „Dėl Atlyginimo už vaikų, ugdo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mų pagal ikimokyklinio ir (ar) priešmokyklinio ugdymo programas, išlaikymą dydžio nustatymo ir mokėjimo tvarkos aprašo patvirtinimo“ pakeitimo (TR-345)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8. Dėl Kauno miesto savivaldybės vandens tiekimo ir nuotekų tvarkymo infrastruktūros plėtr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os specialiojo plano keitimo (TR-352)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9. Dėl Kauno Šančių mokyklos-daugiafunkcio centro veiklos perspektyvos (TR-354) </w:t>
                  </w:r>
                </w:p>
              </w:tc>
            </w:tr>
            <w:tr w:rsidR="00A55478" w:rsidRPr="003152F4" w:rsidTr="003152F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-  Ona Gucevičienė (Švietimo skyrius vedėjo pavaduotoja)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13:20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10. Dėl Kauno miesto savivald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ybės būsto fondo ir socialinio būsto fondo patalpų, bendrojo naudojimo patalpų ir inžinerinių įrenginių naudojimo taisyklių patvirtinimo (TR-330)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11. Dėl pritarimo atlikti negyvenamųjų patalpų Pakraščio g. 22, Kaune,  remontą ir suformuoti atskirus gyvenamosios paskirties objektus – butus (TR-337)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12. Dėl nekilnojamojo turto R. Kalantos g. 55, Kaune, perdavimo Kauno miesto 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socialinių paslaugų centrui valdyti, naudoti ir disponuoti juo patikėjimo teise (TR-338)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13. Dėl Savivaldybės turto panaudos sutarčių su viešosiomis įstaigomis K. Griniaus slaugos ir palaikomojo gydymo ligonine, Kauno miesto poliklinika ir Ka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uno miesto greitosios medicinos pagalbos stotimi nutraukimo ir turto perdavimo šioms įstaigoms valdyti, naudoti ir disponuoti juo patikėjimo teise ir panaudos pagrindais organizavimo (TR-346) </w:t>
                  </w:r>
                </w:p>
              </w:tc>
            </w:tr>
            <w:tr w:rsidR="00A55478" w:rsidRPr="003152F4" w:rsidTr="003152F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14. Dėl panaudos sutarties, sudarytos su Kauno mie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sto Aleksoto vietos veiklos grupe, nutraukimo prieš terminą (TR-351) </w:t>
                  </w:r>
                </w:p>
              </w:tc>
            </w:tr>
            <w:tr w:rsidR="00A55478" w:rsidRPr="003152F4" w:rsidTr="003152F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Donatas Valiukas (Nekilnojamojo turto skyrius vedėjas)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>13:30</w:t>
                  </w:r>
                  <w:r w:rsidRPr="003152F4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A55478" w:rsidRPr="003152F4">
        <w:trPr>
          <w:trHeight w:val="660"/>
        </w:trPr>
        <w:tc>
          <w:tcPr>
            <w:tcW w:w="5272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F31C4" w:rsidRPr="003152F4" w:rsidTr="003152F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55478" w:rsidRPr="003152F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152F4">
                    <w:rPr>
                      <w:color w:val="000000"/>
                      <w:sz w:val="24"/>
                      <w:szCs w:val="24"/>
                    </w:rPr>
                    <w:t>Sveikatos ir socialinių reikalų komiteto pirmininkas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A55478" w:rsidRPr="003152F4" w:rsidRDefault="00A55478" w:rsidP="003152F4">
            <w:pPr>
              <w:pStyle w:val="EmptyCellLayoutStyle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55478" w:rsidRPr="003152F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5478" w:rsidRPr="003152F4" w:rsidRDefault="003152F4" w:rsidP="003152F4">
                  <w:p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3152F4">
                    <w:rPr>
                      <w:color w:val="000000"/>
                      <w:sz w:val="24"/>
                      <w:szCs w:val="24"/>
                    </w:rPr>
                    <w:t>Donatas Večerskis</w:t>
                  </w:r>
                </w:p>
              </w:tc>
            </w:tr>
          </w:tbl>
          <w:p w:rsidR="00A55478" w:rsidRPr="003152F4" w:rsidRDefault="00A55478" w:rsidP="003152F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5478" w:rsidRPr="003152F4" w:rsidRDefault="00A55478" w:rsidP="003152F4">
      <w:pPr>
        <w:spacing w:after="0" w:line="360" w:lineRule="auto"/>
        <w:jc w:val="both"/>
        <w:rPr>
          <w:sz w:val="24"/>
          <w:szCs w:val="24"/>
        </w:rPr>
      </w:pPr>
    </w:p>
    <w:sectPr w:rsidR="00A55478" w:rsidRPr="003152F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2F4">
      <w:pPr>
        <w:spacing w:after="0" w:line="240" w:lineRule="auto"/>
      </w:pPr>
      <w:r>
        <w:separator/>
      </w:r>
    </w:p>
  </w:endnote>
  <w:endnote w:type="continuationSeparator" w:id="0">
    <w:p w:rsidR="00000000" w:rsidRDefault="0031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2F4">
      <w:pPr>
        <w:spacing w:after="0" w:line="240" w:lineRule="auto"/>
      </w:pPr>
      <w:r>
        <w:separator/>
      </w:r>
    </w:p>
  </w:footnote>
  <w:footnote w:type="continuationSeparator" w:id="0">
    <w:p w:rsidR="00000000" w:rsidRDefault="0031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5547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5547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5478" w:rsidRDefault="003152F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55478" w:rsidRDefault="00A55478">
          <w:pPr>
            <w:spacing w:after="0" w:line="240" w:lineRule="auto"/>
          </w:pPr>
        </w:p>
      </w:tc>
      <w:tc>
        <w:tcPr>
          <w:tcW w:w="1133" w:type="dxa"/>
        </w:tcPr>
        <w:p w:rsidR="00A55478" w:rsidRDefault="00A5547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78" w:rsidRDefault="00A5547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8"/>
    <w:rsid w:val="001F31C4"/>
    <w:rsid w:val="003152F4"/>
    <w:rsid w:val="00A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065F"/>
  <w15:docId w15:val="{71231243-36E2-4D24-85D3-5723698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2020-07-10T11:18:00Z</dcterms:created>
  <dcterms:modified xsi:type="dcterms:W3CDTF">2020-07-10T11:28:00Z</dcterms:modified>
</cp:coreProperties>
</file>