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E59D0" w:rsidTr="003E59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9339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SAVIVALDYBĖSTARYBA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3E59D0" w:rsidTr="003E59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9339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3E59D0" w:rsidTr="003E59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9339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A9339D">
        <w:trPr>
          <w:trHeight w:val="19"/>
        </w:trPr>
        <w:tc>
          <w:tcPr>
            <w:tcW w:w="5272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3E59D0" w:rsidTr="003E59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9339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2019-01-29  Nr. K16-D-1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A9339D">
        <w:trPr>
          <w:trHeight w:val="20"/>
        </w:trPr>
        <w:tc>
          <w:tcPr>
            <w:tcW w:w="5272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3E59D0" w:rsidTr="003E59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9339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3E59D0" w:rsidTr="003E59D0">
        <w:tc>
          <w:tcPr>
            <w:tcW w:w="9635" w:type="dxa"/>
            <w:gridSpan w:val="4"/>
          </w:tcPr>
          <w:p w:rsidR="003E59D0" w:rsidRPr="003E59D0" w:rsidRDefault="003E59D0" w:rsidP="003E59D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E59D0" w:rsidRPr="003E59D0" w:rsidRDefault="003E59D0" w:rsidP="003E59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59D0"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2010 m. spalio 14 d. sprendimo Nr. T-584 „Dėl Kauno miesto savivaldybės sporto stipendijos įsteigimo ir jos nuostatų patvirtinimo“ pakeitimo (TR-27) </w:t>
                  </w:r>
                </w:p>
              </w:tc>
            </w:tr>
            <w:tr w:rsidR="00A9339D" w:rsidTr="003E59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</w:t>
                  </w:r>
                  <w:r>
                    <w:rPr>
                      <w:b/>
                      <w:color w:val="000000"/>
                      <w:sz w:val="24"/>
                    </w:rPr>
                    <w:t xml:space="preserve">as Mindaugas Šivickas                                </w:t>
                  </w:r>
                  <w:r w:rsidRPr="003E59D0">
                    <w:rPr>
                      <w:b/>
                      <w:color w:val="000000"/>
                      <w:sz w:val="24"/>
                    </w:rPr>
                    <w:t>14:00</w:t>
                  </w:r>
                  <w:r w:rsidRPr="003E59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2019–2021 metų strateginio veiklos plano patvirtinimo (TR-28) </w:t>
                  </w:r>
                </w:p>
              </w:tc>
            </w:tr>
            <w:tr w:rsidR="00A9339D" w:rsidTr="003E59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     </w:t>
                  </w:r>
                  <w:r w:rsidRPr="003E59D0">
                    <w:rPr>
                      <w:b/>
                      <w:color w:val="000000"/>
                      <w:sz w:val="24"/>
                    </w:rPr>
                    <w:t>14:05</w:t>
                  </w:r>
                  <w:r w:rsidRPr="003E59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VšĮ Kauno miesto greitosios medicinos pagalbos stoties teikiamos paslaugos įkainio nustatymo (TR-1) 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triukšmo prevencijos veiksmų plano 2019–2023 m. patvirtinimo ir tyliųjų gamtos ir aglomeracijos zo</w:t>
                  </w:r>
                  <w:r>
                    <w:rPr>
                      <w:color w:val="000000"/>
                      <w:sz w:val="24"/>
                    </w:rPr>
                    <w:t xml:space="preserve">nų ir triukšmo rodiklio nustatymo (TR-19) </w:t>
                  </w:r>
                </w:p>
              </w:tc>
            </w:tr>
            <w:tr w:rsidR="00A9339D" w:rsidTr="003E59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</w:t>
                  </w:r>
                  <w:r w:rsidRPr="003E59D0">
                    <w:rPr>
                      <w:b/>
                      <w:color w:val="000000"/>
                      <w:sz w:val="24"/>
                    </w:rPr>
                    <w:t>14:15</w:t>
                  </w:r>
                  <w:r w:rsidRPr="003E59D0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2018 m. kovo 20 d. sprendimo Nr. T-128 „Dėl maksimalaus perkamos ilgalaik</w:t>
                  </w:r>
                  <w:r>
                    <w:rPr>
                      <w:color w:val="000000"/>
                      <w:sz w:val="24"/>
                    </w:rPr>
                    <w:t xml:space="preserve">ės (trumpalaikės) socialinės globos išlaidų finansavimo dydžio nustatymo“ pakeitimo (TR-25) 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9D0" w:rsidRDefault="003E59D0" w:rsidP="003E59D0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6. Dėl būsto pritaikymo neįgaliesiems</w:t>
                  </w:r>
                </w:p>
                <w:p w:rsidR="00A9339D" w:rsidRPr="003E59D0" w:rsidRDefault="003E59D0" w:rsidP="003E59D0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3E59D0">
                    <w:rPr>
                      <w:b/>
                      <w:color w:val="000000"/>
                      <w:sz w:val="24"/>
                    </w:rPr>
                    <w:t>Į klausimo svarstymą kviečiama Socialinių paslaugų skyriaus vyr. specialistė E. Mockienė</w:t>
                  </w:r>
                  <w:r w:rsidRPr="003E59D0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A9339D" w:rsidTr="003E59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           </w:t>
                  </w:r>
                  <w:r w:rsidRPr="003E59D0">
                    <w:rPr>
                      <w:b/>
                      <w:color w:val="000000"/>
                      <w:sz w:val="24"/>
                    </w:rPr>
                    <w:t>14:30</w:t>
                  </w:r>
                  <w:r w:rsidRPr="003E59D0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butų pirkimo asmenims ir šeimoms, įrašytiems į asmenų ir šeimų, turinčių teisę į paramą būstui išsinuomoti, sąrašą (TR-5) 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Uosio g. 7, Kaune, perėmimo iš Kauno kurčiųjų ir neprigirdinčiųjų ugd</w:t>
                  </w:r>
                  <w:r>
                    <w:rPr>
                      <w:color w:val="000000"/>
                      <w:sz w:val="24"/>
                    </w:rPr>
                    <w:t xml:space="preserve">ymo centro ir perdavimo pagal panaudos sutartį Lietuvos kurčiųjų draugijos Kauno teritorinei valdybai (TR-10) </w:t>
                  </w:r>
                </w:p>
              </w:tc>
            </w:tr>
            <w:tr w:rsidR="00A9339D" w:rsidTr="003E59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2014 m. gruodžio 22 d. sprendimo Nr. T-714 „Dėl Kauno miesto savivaldybės būsto fondo ir sa</w:t>
                  </w:r>
                  <w:r>
                    <w:rPr>
                      <w:color w:val="000000"/>
                      <w:sz w:val="24"/>
                    </w:rPr>
                    <w:t xml:space="preserve">vivaldybės socialinio būsto fondo, kaip savivaldybės būsto fondo dalies, sąrašų patvirtinimo“ pakeitimo (TR-31) </w:t>
                  </w:r>
                </w:p>
              </w:tc>
            </w:tr>
            <w:tr w:rsidR="00A9339D" w:rsidTr="003E59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 w:rsidP="003E59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</w:t>
                  </w:r>
                  <w:r w:rsidRPr="003E59D0">
                    <w:rPr>
                      <w:b/>
                      <w:color w:val="000000"/>
                      <w:sz w:val="24"/>
                    </w:rPr>
                    <w:t>14:45</w:t>
                  </w:r>
                  <w:r w:rsidRPr="003E59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A9339D" w:rsidRDefault="00A9339D" w:rsidP="003E59D0">
            <w:pPr>
              <w:spacing w:after="0" w:line="240" w:lineRule="auto"/>
              <w:jc w:val="both"/>
            </w:pPr>
          </w:p>
        </w:tc>
      </w:tr>
      <w:tr w:rsidR="00A9339D">
        <w:trPr>
          <w:trHeight w:val="660"/>
        </w:trPr>
        <w:tc>
          <w:tcPr>
            <w:tcW w:w="5272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</w:tr>
      <w:tr w:rsidR="003E59D0" w:rsidTr="003E59D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9339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  <w:tc>
          <w:tcPr>
            <w:tcW w:w="847" w:type="dxa"/>
          </w:tcPr>
          <w:p w:rsidR="00A9339D" w:rsidRDefault="00A9339D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9339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39D" w:rsidRDefault="003E59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A9339D" w:rsidRDefault="00A9339D">
            <w:pPr>
              <w:spacing w:after="0" w:line="240" w:lineRule="auto"/>
            </w:pPr>
          </w:p>
        </w:tc>
      </w:tr>
    </w:tbl>
    <w:p w:rsidR="00A9339D" w:rsidRDefault="00A9339D">
      <w:pPr>
        <w:spacing w:after="0" w:line="240" w:lineRule="auto"/>
      </w:pPr>
    </w:p>
    <w:sectPr w:rsidR="00A9339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59D0">
      <w:pPr>
        <w:spacing w:after="0" w:line="240" w:lineRule="auto"/>
      </w:pPr>
      <w:r>
        <w:separator/>
      </w:r>
    </w:p>
  </w:endnote>
  <w:endnote w:type="continuationSeparator" w:id="0">
    <w:p w:rsidR="00000000" w:rsidRDefault="003E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59D0">
      <w:pPr>
        <w:spacing w:after="0" w:line="240" w:lineRule="auto"/>
      </w:pPr>
      <w:r>
        <w:separator/>
      </w:r>
    </w:p>
  </w:footnote>
  <w:footnote w:type="continuationSeparator" w:id="0">
    <w:p w:rsidR="00000000" w:rsidRDefault="003E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9339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9339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339D" w:rsidRDefault="003E59D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9339D" w:rsidRDefault="00A9339D">
          <w:pPr>
            <w:spacing w:after="0" w:line="240" w:lineRule="auto"/>
          </w:pPr>
        </w:p>
      </w:tc>
      <w:tc>
        <w:tcPr>
          <w:tcW w:w="1133" w:type="dxa"/>
        </w:tcPr>
        <w:p w:rsidR="00A9339D" w:rsidRDefault="00A9339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9D" w:rsidRDefault="00A9339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9D"/>
    <w:rsid w:val="003E59D0"/>
    <w:rsid w:val="00A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22F"/>
  <w15:docId w15:val="{98734E0D-725E-4593-BC88-48858FE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2019-01-25T10:01:00Z</dcterms:created>
  <dcterms:modified xsi:type="dcterms:W3CDTF">2019-01-25T10:01:00Z</dcterms:modified>
</cp:coreProperties>
</file>