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AB41E0" w:rsidTr="00AB41E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9653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B41E0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296537" w:rsidRDefault="00296537" w:rsidP="00AB41E0">
            <w:pPr>
              <w:spacing w:after="0"/>
            </w:pPr>
          </w:p>
        </w:tc>
        <w:tc>
          <w:tcPr>
            <w:tcW w:w="1133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</w:tr>
      <w:tr w:rsidR="00AB41E0" w:rsidTr="00AB41E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9653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AB41E0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296537" w:rsidRDefault="00296537" w:rsidP="00AB41E0">
            <w:pPr>
              <w:spacing w:after="0"/>
            </w:pPr>
          </w:p>
        </w:tc>
        <w:tc>
          <w:tcPr>
            <w:tcW w:w="1133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</w:tr>
      <w:tr w:rsidR="00AB41E0" w:rsidTr="00AB41E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9653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296537" w:rsidRDefault="00296537" w:rsidP="00AB41E0">
            <w:pPr>
              <w:spacing w:after="0"/>
            </w:pPr>
          </w:p>
        </w:tc>
        <w:tc>
          <w:tcPr>
            <w:tcW w:w="1133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</w:tr>
      <w:tr w:rsidR="00296537">
        <w:trPr>
          <w:trHeight w:val="19"/>
        </w:trPr>
        <w:tc>
          <w:tcPr>
            <w:tcW w:w="5272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  <w:tc>
          <w:tcPr>
            <w:tcW w:w="847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  <w:tc>
          <w:tcPr>
            <w:tcW w:w="2383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  <w:tc>
          <w:tcPr>
            <w:tcW w:w="1133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</w:tr>
      <w:tr w:rsidR="00AB41E0" w:rsidTr="00AB41E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9653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AB41E0" w:rsidP="00AB41E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4"/>
                    </w:rPr>
                    <w:t>2018-02-21 Nr. K18-D-2</w:t>
                  </w:r>
                </w:p>
              </w:tc>
            </w:tr>
          </w:tbl>
          <w:p w:rsidR="00296537" w:rsidRDefault="00296537" w:rsidP="00AB41E0">
            <w:pPr>
              <w:spacing w:after="0"/>
            </w:pPr>
          </w:p>
        </w:tc>
        <w:tc>
          <w:tcPr>
            <w:tcW w:w="1133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</w:tr>
      <w:tr w:rsidR="00296537">
        <w:trPr>
          <w:trHeight w:val="20"/>
        </w:trPr>
        <w:tc>
          <w:tcPr>
            <w:tcW w:w="5272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  <w:tc>
          <w:tcPr>
            <w:tcW w:w="847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  <w:tc>
          <w:tcPr>
            <w:tcW w:w="2383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  <w:tc>
          <w:tcPr>
            <w:tcW w:w="1133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</w:tr>
      <w:tr w:rsidR="00AB41E0" w:rsidTr="00AB41E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9653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AB41E0" w:rsidP="00AB41E0">
                  <w:pPr>
                    <w:spacing w:after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AB41E0" w:rsidRDefault="00AB41E0" w:rsidP="00AB41E0">
                  <w:pPr>
                    <w:spacing w:after="0"/>
                    <w:jc w:val="center"/>
                    <w:rPr>
                      <w:color w:val="000000"/>
                      <w:sz w:val="24"/>
                    </w:rPr>
                  </w:pPr>
                </w:p>
                <w:p w:rsidR="00AB41E0" w:rsidRPr="00AB41E0" w:rsidRDefault="00AB41E0" w:rsidP="00AB41E0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AB41E0">
                    <w:rPr>
                      <w:b/>
                      <w:color w:val="000000"/>
                      <w:sz w:val="24"/>
                      <w:u w:val="single"/>
                    </w:rPr>
                    <w:t>POSĖDIS VYKS 305 KABINETE</w:t>
                  </w:r>
                </w:p>
              </w:tc>
            </w:tr>
          </w:tbl>
          <w:p w:rsidR="00296537" w:rsidRDefault="00296537" w:rsidP="00AB41E0">
            <w:pPr>
              <w:spacing w:after="0"/>
            </w:pPr>
          </w:p>
        </w:tc>
        <w:tc>
          <w:tcPr>
            <w:tcW w:w="1133" w:type="dxa"/>
          </w:tcPr>
          <w:p w:rsidR="00296537" w:rsidRDefault="00296537" w:rsidP="00AB41E0">
            <w:pPr>
              <w:pStyle w:val="EmptyCellLayoutStyle"/>
              <w:spacing w:after="0"/>
            </w:pPr>
          </w:p>
        </w:tc>
      </w:tr>
      <w:tr w:rsidR="00AB41E0" w:rsidTr="00AB41E0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atstovo skyrimo į Kauno miesto kamerinio teatro meno tarybą (TR-59) </w:t>
                  </w:r>
                </w:p>
              </w:tc>
            </w:tr>
            <w:tr w:rsidR="0029653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Kultūros skyriaus vedėjas Albinas Vilčinskas</w:t>
                  </w:r>
                  <w:r w:rsidR="00AB41E0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>15:00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nekilnojamojo turto  A. Juozapavičiaus pr. 21E, 23E  ir  Suomių g. 7B, Kaune, perdavimo pagal panaudos sutartį  Žemųjų Šančių bendruomenei (TR-97) </w:t>
                  </w:r>
                </w:p>
              </w:tc>
            </w:tr>
            <w:tr w:rsidR="0029653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AB41E0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>15:05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          3. Dėl Kauno miesto savivaldybės taryb</w:t>
                  </w:r>
                  <w:r w:rsidR="00AB41E0">
                    <w:rPr>
                      <w:color w:val="000000"/>
                      <w:sz w:val="24"/>
                    </w:rPr>
                    <w:t xml:space="preserve">os ir mero sekretoriato </w:t>
                  </w:r>
                  <w:r>
                    <w:rPr>
                      <w:color w:val="000000"/>
                      <w:sz w:val="24"/>
                    </w:rPr>
                    <w:t xml:space="preserve">2018 metų išlaidų sąmatos patvirtinimo (TR-70)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2018 metų biudžeto patvirtinimo (TR-69) </w:t>
                  </w:r>
                </w:p>
              </w:tc>
            </w:tr>
            <w:tr w:rsidR="0029653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</w:t>
                  </w:r>
                  <w:r>
                    <w:rPr>
                      <w:b/>
                      <w:color w:val="000000"/>
                      <w:sz w:val="24"/>
                    </w:rPr>
                    <w:t>r ekonomikos skyriaus vedėjas Algimantas Laucius</w:t>
                  </w:r>
                  <w:r w:rsidR="00AB41E0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>15:10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Komisijos Kauno miesto savivaldybės kontrolieriaus ir Savivaldybės kontrolės ir audito tarnybos valstybės tarnautojų,  Savivaldybės administracijos Centralizuoto vidaus audito skyriaus ve</w:t>
                  </w:r>
                  <w:r>
                    <w:rPr>
                      <w:color w:val="000000"/>
                      <w:sz w:val="24"/>
                    </w:rPr>
                    <w:t xml:space="preserve">dėjo ir vidaus auditorių, Savivaldybės administracijos valstybės tarnautojų tarnybinės veiklos vertinimo komisijos narių tarnybinei veiklai vertinti sudarymo ir jos darbo reglamento patvirtinimo (TR-96)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2015 m. birželio 9 d. sprendimo Nr. T-290 ,,Dėl didžiausio leistino Kauno miesto savivaldybės administracijos valstybės tarnautojų ir darbuotojų, dirbančių pagal darbo sutartis ir gaunančių užmokestį iš </w:t>
                  </w:r>
                  <w:r>
                    <w:rPr>
                      <w:color w:val="000000"/>
                      <w:sz w:val="24"/>
                    </w:rPr>
                    <w:t xml:space="preserve">savivaldybės biudžeto, pareigybių skaičiaus ir Kauno miesto savivaldybės administracijos struktūros patvirtinimo“ pakeitimo (TR-98) </w:t>
                  </w:r>
                </w:p>
              </w:tc>
            </w:tr>
            <w:tr w:rsidR="0029653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AB41E0"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AB41E0">
                    <w:rPr>
                      <w:b/>
                      <w:color w:val="000000"/>
                      <w:sz w:val="24"/>
                    </w:rPr>
                    <w:t xml:space="preserve">Personalo valdymo skyriaus </w:t>
                  </w:r>
                  <w:r>
                    <w:rPr>
                      <w:b/>
                      <w:color w:val="000000"/>
                      <w:sz w:val="24"/>
                    </w:rPr>
                    <w:t>vyr. specialistė, atliekanti skyriaus vedėjo funkcijas Štuikienė Edita</w:t>
                  </w:r>
                  <w:r w:rsidR="00AB41E0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>15:20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</w:t>
                  </w:r>
                  <w:r>
                    <w:rPr>
                      <w:color w:val="000000"/>
                      <w:sz w:val="24"/>
                    </w:rPr>
                    <w:t xml:space="preserve">miesto savivaldybės tarybos 2017 m. kovo 28 d. sprendimo Nr. T-172 „Dėl Tarpdisciplininio itin gabių mokinių ugdymo programos vykdymo ir paraiškų dalyvauti programoje teikimo tvarkos aprašo patvirtinimo“ pakeitimo (TR-61)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sutikimo</w:t>
                  </w:r>
                  <w:r>
                    <w:rPr>
                      <w:color w:val="000000"/>
                      <w:sz w:val="24"/>
                    </w:rPr>
                    <w:t xml:space="preserve"> reorganizuoti Kauno lopšelį-darželį „Eglutė“, prijungiant jį prie Kauno „Nemuno“ mokyklos-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daugiafunkcio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centro (TR-62)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sutikimo reorganizuoti Kauno 6-ąjį lopšelį-darželį, prijungiant jį prie Kauno Aleksandro Puškino gimnazijos (TR-63)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2015 m. gruodžio 29 d. sprendimo Nr. T-731 ,,Dėl Kauno miesto savivaldybės apdovanojimų teikimo ir premijų skyrimo tvarkos aprašo patvirtinimo“ pakeitimo (TR-64)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bendrojo ugdymo mokyklų aptarnavimo teritorijų asmenims priimti mokytis pagal priešmokyklinio ugdymo, pradinio ugdymo programas, pagrindinio ugdymo programos I ir II dalis priskyrimo (TR-71)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</w:t>
                  </w:r>
                  <w:r>
                    <w:rPr>
                      <w:color w:val="000000"/>
                      <w:sz w:val="24"/>
                    </w:rPr>
                    <w:t>ėl priešmokyklinio ugdymo grupių ir klasių komplektų skaičiaus Kauno miesto savivaldybės biudžetinėse bendrojo ugdymo mokyklose 2018–2019 mokslo metais nustatymo, pritarimo priešmokyklinio ugdymo grupių ir klasių komplektų skaičiui viešosiose švietimo įsta</w:t>
                  </w:r>
                  <w:r>
                    <w:rPr>
                      <w:color w:val="000000"/>
                      <w:sz w:val="24"/>
                    </w:rPr>
                    <w:t xml:space="preserve">igose, kuriose savivaldybė yra dalininkė, 2018–2019 mokslo metais ir prašymų priimti mokytis priėmimo laiko nustatymo (TR-72)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vaikų ir jaunimo teatro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Vilkolakis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direktoriaus (TR-86)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sutikimo reorganizuoti</w:t>
                  </w:r>
                  <w:r>
                    <w:rPr>
                      <w:color w:val="000000"/>
                      <w:sz w:val="24"/>
                    </w:rPr>
                    <w:t xml:space="preserve"> Kauno Vandos Tumėnienės ugdymo centrą (TR-87)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priėmimo į Kauno miesto savivaldybės bendrojo ugdymo mokyklas tvarkos apraše nenumatytų atvejų komisijos sudarymo ir jos darbo reglamento patvirtinimo (TR-88)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sutiki</w:t>
                  </w:r>
                  <w:r>
                    <w:rPr>
                      <w:color w:val="000000"/>
                      <w:sz w:val="24"/>
                    </w:rPr>
                    <w:t xml:space="preserve">mo reorganizuoti Kauno jaunimo mokyklą ir Kauno Tito Masiulio jaunimo mokyklą, prijungiant jas prie Kauno suaugusiųjų mokymo centro (TR-89)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sutikimo reorganizuoti Kauno Jono Žemaičio-Vytauto mokyklą-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daugiafunkcį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centrą, prijungiant jį</w:t>
                  </w:r>
                  <w:r>
                    <w:rPr>
                      <w:color w:val="000000"/>
                      <w:sz w:val="24"/>
                    </w:rPr>
                    <w:t xml:space="preserve"> prie Kauno Bernardo Brazdžionio mokyklos (TR-90) </w:t>
                  </w:r>
                </w:p>
              </w:tc>
            </w:tr>
            <w:tr w:rsidR="0029653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sutikimo reorganizuoti Kauno moksleivių aplinkotyros centrą ir Kauno jaunųjų turistų centrą, prijungiant juos prie Kauno Algio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Žikevičiaus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saugaus vaiko mokyklos (TR-100) </w:t>
                  </w:r>
                </w:p>
              </w:tc>
            </w:tr>
            <w:tr w:rsidR="0029653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132A0C" w:rsidP="00AB41E0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Pranešėjas -  Švietimo skyriaus vedėjas Virginijus Mažeika</w:t>
                  </w:r>
                  <w:r w:rsidR="00AB41E0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>15:30</w:t>
                  </w:r>
                  <w:r w:rsidR="00AB41E0" w:rsidRPr="00AB41E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296537" w:rsidRDefault="00296537" w:rsidP="00AB41E0">
            <w:pPr>
              <w:spacing w:after="0"/>
              <w:jc w:val="both"/>
            </w:pPr>
          </w:p>
        </w:tc>
      </w:tr>
      <w:tr w:rsidR="00296537">
        <w:trPr>
          <w:trHeight w:val="660"/>
        </w:trPr>
        <w:tc>
          <w:tcPr>
            <w:tcW w:w="5272" w:type="dxa"/>
          </w:tcPr>
          <w:p w:rsidR="00296537" w:rsidRDefault="0029653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96537" w:rsidRDefault="0029653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96537" w:rsidRDefault="0029653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96537" w:rsidRDefault="00296537">
            <w:pPr>
              <w:pStyle w:val="EmptyCellLayoutStyle"/>
              <w:spacing w:after="0" w:line="240" w:lineRule="auto"/>
            </w:pPr>
          </w:p>
        </w:tc>
      </w:tr>
      <w:tr w:rsidR="00AB41E0" w:rsidTr="00AB41E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296537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Pr="00AB41E0" w:rsidRDefault="00AB41E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B41E0">
                    <w:rPr>
                      <w:sz w:val="24"/>
                      <w:szCs w:val="24"/>
                    </w:rPr>
                    <w:t>Posėdžio pirmininkas</w:t>
                  </w:r>
                </w:p>
              </w:tc>
            </w:tr>
          </w:tbl>
          <w:p w:rsidR="00296537" w:rsidRDefault="00296537">
            <w:pPr>
              <w:spacing w:after="0" w:line="240" w:lineRule="auto"/>
            </w:pPr>
          </w:p>
        </w:tc>
        <w:tc>
          <w:tcPr>
            <w:tcW w:w="847" w:type="dxa"/>
          </w:tcPr>
          <w:p w:rsidR="00296537" w:rsidRDefault="00296537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296537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6537" w:rsidRDefault="00AB41E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 </w:t>
                  </w:r>
                  <w:r w:rsidR="00132A0C">
                    <w:rPr>
                      <w:color w:val="000000"/>
                      <w:sz w:val="24"/>
                    </w:rPr>
                    <w:t>Mantas Jurgutis</w:t>
                  </w:r>
                </w:p>
              </w:tc>
            </w:tr>
          </w:tbl>
          <w:p w:rsidR="00296537" w:rsidRDefault="00296537">
            <w:pPr>
              <w:spacing w:after="0" w:line="240" w:lineRule="auto"/>
            </w:pPr>
          </w:p>
        </w:tc>
      </w:tr>
    </w:tbl>
    <w:p w:rsidR="00296537" w:rsidRDefault="00296537">
      <w:pPr>
        <w:spacing w:after="0" w:line="240" w:lineRule="auto"/>
      </w:pPr>
      <w:bookmarkStart w:id="0" w:name="_GoBack"/>
      <w:bookmarkEnd w:id="0"/>
    </w:p>
    <w:sectPr w:rsidR="00296537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2A0C">
      <w:pPr>
        <w:spacing w:after="0" w:line="240" w:lineRule="auto"/>
      </w:pPr>
      <w:r>
        <w:separator/>
      </w:r>
    </w:p>
  </w:endnote>
  <w:endnote w:type="continuationSeparator" w:id="0">
    <w:p w:rsidR="00000000" w:rsidRDefault="0013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2A0C">
      <w:pPr>
        <w:spacing w:after="0" w:line="240" w:lineRule="auto"/>
      </w:pPr>
      <w:r>
        <w:separator/>
      </w:r>
    </w:p>
  </w:footnote>
  <w:footnote w:type="continuationSeparator" w:id="0">
    <w:p w:rsidR="00000000" w:rsidRDefault="0013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296537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296537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6537" w:rsidRDefault="00132A0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AB41E0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296537" w:rsidRDefault="00296537">
          <w:pPr>
            <w:spacing w:after="0" w:line="240" w:lineRule="auto"/>
          </w:pPr>
        </w:p>
      </w:tc>
      <w:tc>
        <w:tcPr>
          <w:tcW w:w="1133" w:type="dxa"/>
        </w:tcPr>
        <w:p w:rsidR="00296537" w:rsidRDefault="00296537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7" w:rsidRDefault="00296537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6537"/>
    <w:rsid w:val="00132A0C"/>
    <w:rsid w:val="00296537"/>
    <w:rsid w:val="00A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2845</Words>
  <Characters>1622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2</cp:revision>
  <dcterms:created xsi:type="dcterms:W3CDTF">2018-02-19T13:21:00Z</dcterms:created>
  <dcterms:modified xsi:type="dcterms:W3CDTF">2018-02-19T13:21:00Z</dcterms:modified>
</cp:coreProperties>
</file>