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0435F" w:rsidTr="0060435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B12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B12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B12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5B122D">
        <w:trPr>
          <w:trHeight w:val="19"/>
        </w:trPr>
        <w:tc>
          <w:tcPr>
            <w:tcW w:w="5272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B12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2018-02-20   Nr. K16-D-2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5B122D">
        <w:trPr>
          <w:trHeight w:val="20"/>
        </w:trPr>
        <w:tc>
          <w:tcPr>
            <w:tcW w:w="5272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B122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60435F" w:rsidRDefault="0060435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60435F" w:rsidRDefault="0060435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60435F">
                    <w:rPr>
                      <w:b/>
                      <w:color w:val="000000"/>
                      <w:sz w:val="24"/>
                      <w:u w:val="single"/>
                    </w:rPr>
                    <w:t>POSĖDIS VYKS 307 KABINETE</w:t>
                  </w:r>
                </w:p>
                <w:p w:rsidR="0060435F" w:rsidRPr="0060435F" w:rsidRDefault="0060435F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leidimo Vaikų gerovės centrui „Pastogė“ išsinuomoti automobilį (TR-74) </w:t>
                  </w:r>
                </w:p>
              </w:tc>
            </w:tr>
            <w:tr w:rsidR="005B122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       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>15:00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Komisijos Kauno miesto savivaldybės kontrolieriaus ir Savivaldybės kontrolės ir audito tarnybos valstybės tarnautojų,  Savivaldybės administracijos Centralizuoto vidaus audito skyriaus vedėjo ir vidaus auditorių, Savivaldybės administrac</w:t>
                  </w:r>
                  <w:r>
                    <w:rPr>
                      <w:color w:val="000000"/>
                      <w:sz w:val="24"/>
                    </w:rPr>
                    <w:t xml:space="preserve">ijos valstybės tarnautojų tarnybinės veiklos vertinimo komisijos narių tarnybinei veiklai vertinti sudarymo ir jos darbo reglamento patvirtinimo (TR-96) 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2015 m. birželio 9 d. sprendimo Nr. T-290 ,</w:t>
                  </w:r>
                  <w:r>
                    <w:rPr>
                      <w:color w:val="000000"/>
                      <w:sz w:val="24"/>
                    </w:rPr>
                    <w:t>,Dėl didžiausio leistino Kauno miesto savivaldybės administracijos valstybės tarnautojų ir darbuotojų, dirbančių pagal darbo sutartis ir gaunančių užmokestį iš savivaldybės biudžeto, pareigybių skaičiaus ir Kauno miesto savivaldybės administracijos struktū</w:t>
                  </w:r>
                  <w:r>
                    <w:rPr>
                      <w:color w:val="000000"/>
                      <w:sz w:val="24"/>
                    </w:rPr>
                    <w:t xml:space="preserve">ros patvirtinimo“ pakeitimo (TR-98) </w:t>
                  </w:r>
                </w:p>
              </w:tc>
            </w:tr>
            <w:tr w:rsidR="005B122D" w:rsidRPr="0060435F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Pr="0060435F" w:rsidRDefault="0060435F" w:rsidP="0060435F">
                  <w:pPr>
                    <w:spacing w:after="0"/>
                    <w:jc w:val="both"/>
                    <w:rPr>
                      <w:b/>
                    </w:rPr>
                  </w:pPr>
                  <w:r w:rsidRPr="0060435F"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–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Personalo skyriaus 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vyr. specialistė, atliekanti skyriaus vedėjo funkcijas   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Edita Štuikienė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>15:05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2017 m. kovo 28 d. sprendimo Nr. T-172 „Dėl Tarpdisciplininio itin g</w:t>
                  </w:r>
                  <w:r>
                    <w:rPr>
                      <w:color w:val="000000"/>
                      <w:sz w:val="24"/>
                    </w:rPr>
                    <w:t xml:space="preserve">abių mokinių ugdymo programos vykdymo ir paraiškų dalyvauti programoje teikimo tvarkos aprašo patvirtinimo“ pakeitimo (TR-61) 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priėmimo į Kauno miesto savivaldybės bendrojo ugdymo mokyklas tvarkos apraše nenumatytų atvejų komisijos</w:t>
                  </w:r>
                  <w:r>
                    <w:rPr>
                      <w:color w:val="000000"/>
                      <w:sz w:val="24"/>
                    </w:rPr>
                    <w:t xml:space="preserve"> sudarymo ir jos darbo reglamento patvirtinimo (TR-88) </w:t>
                  </w:r>
                </w:p>
              </w:tc>
            </w:tr>
            <w:tr w:rsidR="005B122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                          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>15:15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perdavimo valdyti, naudoti ir disponuoti juo patikėjimo teise Kauno savivaldybės vaikų globos namams (TR-73) 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Gvazdikų g. 5, Kaune, perdavimo valdyti, naudoti ir disponuoti</w:t>
                  </w:r>
                  <w:r>
                    <w:rPr>
                      <w:color w:val="000000"/>
                      <w:sz w:val="24"/>
                    </w:rPr>
                    <w:t xml:space="preserve"> juo patikėjimo teise (TR-75) </w:t>
                  </w:r>
                </w:p>
              </w:tc>
            </w:tr>
            <w:tr w:rsidR="005B122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>15:25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B122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2018 metų biudžeto patvirtinimo (TR-69) </w:t>
                  </w:r>
                </w:p>
              </w:tc>
            </w:tr>
            <w:tr w:rsidR="005B122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 w:rsidP="0060435F">
                  <w:pPr>
                    <w:spacing w:after="0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</w:t>
                  </w:r>
                  <w:r>
                    <w:rPr>
                      <w:b/>
                      <w:color w:val="000000"/>
                      <w:sz w:val="24"/>
                    </w:rPr>
                    <w:t xml:space="preserve">riaus vedėjas Algimantas Laucius    </w:t>
                  </w:r>
                  <w:r w:rsidRPr="0060435F">
                    <w:rPr>
                      <w:b/>
                      <w:color w:val="000000"/>
                      <w:sz w:val="24"/>
                    </w:rPr>
                    <w:t>15:30</w:t>
                  </w:r>
                  <w:r w:rsidRPr="0060435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B122D" w:rsidRDefault="005B122D" w:rsidP="0060435F">
            <w:pPr>
              <w:spacing w:after="0"/>
              <w:jc w:val="both"/>
            </w:pPr>
          </w:p>
        </w:tc>
        <w:bookmarkStart w:id="0" w:name="_GoBack"/>
        <w:bookmarkEnd w:id="0"/>
      </w:tr>
      <w:tr w:rsidR="005B122D">
        <w:trPr>
          <w:trHeight w:val="660"/>
        </w:trPr>
        <w:tc>
          <w:tcPr>
            <w:tcW w:w="5272" w:type="dxa"/>
          </w:tcPr>
          <w:p w:rsidR="005B122D" w:rsidRDefault="005B122D" w:rsidP="0060435F">
            <w:pPr>
              <w:pStyle w:val="EmptyCellLayoutStyle"/>
              <w:spacing w:after="0"/>
              <w:jc w:val="both"/>
            </w:pPr>
          </w:p>
        </w:tc>
        <w:tc>
          <w:tcPr>
            <w:tcW w:w="847" w:type="dxa"/>
          </w:tcPr>
          <w:p w:rsidR="005B122D" w:rsidRDefault="005B122D" w:rsidP="0060435F">
            <w:pPr>
              <w:pStyle w:val="EmptyCellLayoutStyle"/>
              <w:spacing w:after="0"/>
              <w:jc w:val="both"/>
            </w:pPr>
          </w:p>
        </w:tc>
        <w:tc>
          <w:tcPr>
            <w:tcW w:w="2383" w:type="dxa"/>
          </w:tcPr>
          <w:p w:rsidR="005B122D" w:rsidRDefault="005B122D" w:rsidP="0060435F">
            <w:pPr>
              <w:pStyle w:val="EmptyCellLayoutStyle"/>
              <w:spacing w:after="0"/>
              <w:jc w:val="both"/>
            </w:pPr>
          </w:p>
        </w:tc>
        <w:tc>
          <w:tcPr>
            <w:tcW w:w="1133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</w:tr>
      <w:tr w:rsidR="0060435F" w:rsidTr="0060435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B122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  <w:tc>
          <w:tcPr>
            <w:tcW w:w="847" w:type="dxa"/>
          </w:tcPr>
          <w:p w:rsidR="005B122D" w:rsidRDefault="005B122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B122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122D" w:rsidRDefault="0060435F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5B122D" w:rsidRDefault="005B122D">
            <w:pPr>
              <w:spacing w:after="0" w:line="240" w:lineRule="auto"/>
            </w:pPr>
          </w:p>
        </w:tc>
      </w:tr>
    </w:tbl>
    <w:p w:rsidR="005B122D" w:rsidRDefault="005B122D">
      <w:pPr>
        <w:spacing w:after="0" w:line="240" w:lineRule="auto"/>
      </w:pPr>
    </w:p>
    <w:sectPr w:rsidR="005B122D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35F">
      <w:pPr>
        <w:spacing w:after="0" w:line="240" w:lineRule="auto"/>
      </w:pPr>
      <w:r>
        <w:separator/>
      </w:r>
    </w:p>
  </w:endnote>
  <w:endnote w:type="continuationSeparator" w:id="0">
    <w:p w:rsidR="00000000" w:rsidRDefault="0060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35F">
      <w:pPr>
        <w:spacing w:after="0" w:line="240" w:lineRule="auto"/>
      </w:pPr>
      <w:r>
        <w:separator/>
      </w:r>
    </w:p>
  </w:footnote>
  <w:footnote w:type="continuationSeparator" w:id="0">
    <w:p w:rsidR="00000000" w:rsidRDefault="0060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B122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B122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122D" w:rsidRDefault="0060435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B122D" w:rsidRDefault="005B122D">
          <w:pPr>
            <w:spacing w:after="0" w:line="240" w:lineRule="auto"/>
          </w:pPr>
        </w:p>
      </w:tc>
      <w:tc>
        <w:tcPr>
          <w:tcW w:w="1133" w:type="dxa"/>
        </w:tcPr>
        <w:p w:rsidR="005B122D" w:rsidRDefault="005B122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2D" w:rsidRDefault="005B122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122D"/>
    <w:rsid w:val="005B122D"/>
    <w:rsid w:val="006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950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2</cp:revision>
  <dcterms:created xsi:type="dcterms:W3CDTF">2018-02-15T12:32:00Z</dcterms:created>
  <dcterms:modified xsi:type="dcterms:W3CDTF">2018-02-15T12:32:00Z</dcterms:modified>
</cp:coreProperties>
</file>