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49" w:rsidRPr="00BF0C49" w:rsidRDefault="00BF0C49" w:rsidP="00D77EA7">
      <w:pPr>
        <w:tabs>
          <w:tab w:val="left" w:pos="5954"/>
        </w:tabs>
        <w:spacing w:after="0" w:line="336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5E50DC" w:rsidRDefault="00BF0C49" w:rsidP="00D77EA7">
      <w:pPr>
        <w:tabs>
          <w:tab w:val="left" w:pos="5954"/>
        </w:tabs>
        <w:spacing w:after="0" w:line="336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B55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Kauno </w:t>
      </w:r>
      <w:r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miesto savivaldybės</w:t>
      </w:r>
      <w:r w:rsidR="00F036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5E50DC" w:rsidRDefault="005E50DC" w:rsidP="00D77EA7">
      <w:pPr>
        <w:tabs>
          <w:tab w:val="left" w:pos="5954"/>
        </w:tabs>
        <w:spacing w:after="0" w:line="336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BF0C49"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dministracijos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036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="00BF0C49"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irektoriaus</w:t>
      </w:r>
      <w:r w:rsidR="00F036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BF0C49" w:rsidRPr="00BF0C49" w:rsidRDefault="00081442" w:rsidP="00D77EA7">
      <w:pPr>
        <w:tabs>
          <w:tab w:val="left" w:pos="5954"/>
        </w:tabs>
        <w:spacing w:after="0" w:line="336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2018</w:t>
      </w:r>
      <w:r w:rsidR="00BF0C49"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6D3F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sausio 10</w:t>
      </w:r>
      <w:r w:rsidR="00BF0C49"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:rsidR="00BF0C49" w:rsidRPr="00BF0C49" w:rsidRDefault="00BF0C49" w:rsidP="00D77EA7">
      <w:pPr>
        <w:tabs>
          <w:tab w:val="left" w:pos="5954"/>
        </w:tabs>
        <w:spacing w:after="0" w:line="336" w:lineRule="auto"/>
        <w:ind w:left="7088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įsakymu Nr. </w:t>
      </w:r>
      <w:r w:rsidRPr="002B55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hyperlink r:id="rId8" w:history="1">
        <w:r w:rsidR="006D3F87" w:rsidRPr="001747A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8</w:t>
        </w:r>
        <w:bookmarkStart w:id="0" w:name="_GoBack"/>
        <w:r w:rsidR="006D3F87" w:rsidRPr="001747A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4</w:t>
        </w:r>
        <w:bookmarkEnd w:id="0"/>
      </w:hyperlink>
    </w:p>
    <w:p w:rsidR="00BF0C49" w:rsidRPr="00D77EA7" w:rsidRDefault="00BF0C49" w:rsidP="00BF0C4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BF0C4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 </w:t>
      </w:r>
    </w:p>
    <w:p w:rsidR="00BF0C49" w:rsidRPr="00226EA6" w:rsidRDefault="00081442" w:rsidP="00EF6D8C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8144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D</w:t>
      </w:r>
      <w:r w:rsidRPr="00081442">
        <w:rPr>
          <w:rFonts w:ascii="Times New Roman" w:hAnsi="Times New Roman" w:cs="Times New Roman"/>
          <w:b/>
          <w:caps/>
          <w:sz w:val="24"/>
          <w:szCs w:val="24"/>
        </w:rPr>
        <w:t>augiabuči</w:t>
      </w:r>
      <w:r w:rsidR="00452247">
        <w:rPr>
          <w:rFonts w:ascii="Times New Roman" w:hAnsi="Times New Roman" w:cs="Times New Roman"/>
          <w:b/>
          <w:caps/>
          <w:sz w:val="24"/>
          <w:szCs w:val="24"/>
        </w:rPr>
        <w:t>ų</w:t>
      </w:r>
      <w:r w:rsidRPr="00081442">
        <w:rPr>
          <w:rFonts w:ascii="Times New Roman" w:hAnsi="Times New Roman" w:cs="Times New Roman"/>
          <w:b/>
          <w:caps/>
          <w:sz w:val="24"/>
          <w:szCs w:val="24"/>
        </w:rPr>
        <w:t xml:space="preserve"> nam</w:t>
      </w:r>
      <w:r w:rsidR="00452247">
        <w:rPr>
          <w:rFonts w:ascii="Times New Roman" w:hAnsi="Times New Roman" w:cs="Times New Roman"/>
          <w:b/>
          <w:caps/>
          <w:sz w:val="24"/>
          <w:szCs w:val="24"/>
        </w:rPr>
        <w:t>ų</w:t>
      </w:r>
      <w:r w:rsidRPr="00081442">
        <w:rPr>
          <w:rFonts w:ascii="Times New Roman" w:hAnsi="Times New Roman" w:cs="Times New Roman"/>
          <w:b/>
          <w:caps/>
          <w:sz w:val="24"/>
          <w:szCs w:val="24"/>
        </w:rPr>
        <w:t xml:space="preserve"> bend</w:t>
      </w:r>
      <w:r w:rsidR="00452247">
        <w:rPr>
          <w:rFonts w:ascii="Times New Roman" w:hAnsi="Times New Roman" w:cs="Times New Roman"/>
          <w:b/>
          <w:caps/>
          <w:sz w:val="24"/>
          <w:szCs w:val="24"/>
        </w:rPr>
        <w:t>rojo naudojimo objektų valdytojų</w:t>
      </w:r>
      <w:r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695215"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VEIKLOS TIKRINIMO</w:t>
      </w:r>
      <w:r w:rsidR="00AE7312"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TVARKOS </w:t>
      </w:r>
      <w:r w:rsidR="00BF0C49"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APRAŠAS</w:t>
      </w:r>
    </w:p>
    <w:p w:rsidR="00BF0C49" w:rsidRPr="00226EA6" w:rsidRDefault="00BF0C49" w:rsidP="00EF6D8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226EA6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943E12" w:rsidRPr="00226EA6" w:rsidRDefault="00BF0C49" w:rsidP="006952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1" w:name="part_b59b1c695a904a44b1d4acf454fa31fa"/>
      <w:bookmarkEnd w:id="1"/>
      <w:r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943E12"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  <w:r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BF0C49" w:rsidRPr="00226EA6" w:rsidRDefault="00BF0C49" w:rsidP="006952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:rsidR="00BF0C49" w:rsidRPr="00226EA6" w:rsidRDefault="00BF0C49" w:rsidP="002B5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6EA6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 </w:t>
      </w:r>
    </w:p>
    <w:p w:rsidR="00BF0C49" w:rsidRPr="00226EA6" w:rsidRDefault="00695215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f17678a59031494d9f98ef9843a063f0"/>
      <w:bookmarkEnd w:id="2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0814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="00081442" w:rsidRPr="00081442">
        <w:rPr>
          <w:rFonts w:ascii="Times New Roman" w:hAnsi="Times New Roman" w:cs="Times New Roman"/>
          <w:sz w:val="24"/>
          <w:szCs w:val="24"/>
        </w:rPr>
        <w:t>augiabuči</w:t>
      </w:r>
      <w:r w:rsidR="00452247">
        <w:rPr>
          <w:rFonts w:ascii="Times New Roman" w:hAnsi="Times New Roman" w:cs="Times New Roman"/>
          <w:sz w:val="24"/>
          <w:szCs w:val="24"/>
        </w:rPr>
        <w:t>ų namų</w:t>
      </w:r>
      <w:r w:rsidR="00081442" w:rsidRPr="00081442">
        <w:rPr>
          <w:rFonts w:ascii="Times New Roman" w:hAnsi="Times New Roman" w:cs="Times New Roman"/>
          <w:sz w:val="24"/>
          <w:szCs w:val="24"/>
        </w:rPr>
        <w:t xml:space="preserve"> bend</w:t>
      </w:r>
      <w:r w:rsidR="00452247">
        <w:rPr>
          <w:rFonts w:ascii="Times New Roman" w:hAnsi="Times New Roman" w:cs="Times New Roman"/>
          <w:sz w:val="24"/>
          <w:szCs w:val="24"/>
        </w:rPr>
        <w:t>rojo naudojimo objektų valdytojų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veiklos tikrinimo</w:t>
      </w:r>
      <w:r w:rsidR="002A1422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tvarkos aprašas (toliau – aprašas)</w:t>
      </w:r>
      <w:r w:rsidR="002F5A54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nustato</w:t>
      </w:r>
      <w:r w:rsidR="007A2CA5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planuojamų tikrinti </w:t>
      </w:r>
      <w:r w:rsidR="006E6825" w:rsidRPr="00226EA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daugiabučių namų 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butų ir kitų patalpų savininkų </w:t>
      </w:r>
      <w:r w:rsidR="006E6825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– patalpų savininkai) 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bendrijų valdymo organų, jungtinės veiklo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sutartimi įgaliotų asmenų ir Kauno miesto s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avivaldybės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– Savivaldybė) 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vykdomosios institucijos paskirtų bendrojo naudojimo objektų administratorių (toliau – valdytojai) sąrašo sudarymo kriterijus, kompleksinių planinių valdytojų veiklos patikrinimų (toliau – patikrinimas)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atlikimo 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tvarką ir trukmę. Vadovaujantis šiame apraše nustatytais kriterijais kiekvienais metais iki kovo 1 d. sudaromas ir viešai Savivaldybės interneto svetainėje skelbiamas einamųjų metų daugiabučių namų patikrinimo grafikas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grafikas)</w:t>
      </w:r>
      <w:r w:rsidR="00BF0C4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6b08e1241fae4238a5178bcea3319f14"/>
      <w:bookmarkEnd w:id="3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Šis aprašas galioja visoje Kauno miesto savivaldybės teritorijoje ir yra privalomas visiems valdytojams, valstybės tarnautojams ir darbuotojams, dirbantiems pagal darbo sutartį, kuriems pavesta vykdyti valdytojų veiklos priežiūrą ir kontrolę (toliau – priežiūros ir kontrolės vykdytojas).</w:t>
      </w:r>
    </w:p>
    <w:p w:rsidR="00BF0C49" w:rsidRPr="00226EA6" w:rsidRDefault="00BF0C49" w:rsidP="002B55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43E12" w:rsidRPr="00226EA6" w:rsidRDefault="00BF0C49" w:rsidP="006952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4" w:name="part_0fb0f6140325450c9645fbcb939771d0"/>
      <w:bookmarkEnd w:id="4"/>
      <w:r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</w:t>
      </w:r>
      <w:r w:rsidR="00943E12"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BF0C49" w:rsidRPr="00226EA6" w:rsidRDefault="00BF0C49" w:rsidP="006952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PLANUOJAMŲ TIKRINTI VALDYTOJŲ SARAŠO SUDARYMAS</w:t>
      </w:r>
    </w:p>
    <w:p w:rsidR="00BF0C49" w:rsidRPr="00226EA6" w:rsidRDefault="00BF0C49" w:rsidP="002B55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6EA6">
        <w:rPr>
          <w:rFonts w:ascii="Arial" w:eastAsia="Times New Roman" w:hAnsi="Arial" w:cs="Arial"/>
          <w:b/>
          <w:bCs/>
          <w:color w:val="000000"/>
          <w:sz w:val="26"/>
          <w:szCs w:val="26"/>
          <w:lang w:eastAsia="lt-LT"/>
        </w:rPr>
        <w:t> 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3f1840e48d714ddab3e4e0fa304bc7c8"/>
      <w:bookmarkEnd w:id="5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</w:t>
      </w:r>
      <w:r w:rsidR="00695215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Planuojamų tikrinti valdytojų sąrašą (toliau – sąrašas) sudaro priežiūros ir kontrolės vykdytojas.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Valdytojai į </w:t>
      </w:r>
      <w:r w:rsidR="00695215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sąrašą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įrašomi, jeigu atitinka bent vieną iš šių kriterijų: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7b0663f8f1c943bb97bb92cc23a6747e"/>
      <w:bookmarkEnd w:id="6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3.1. valdytojas buvo įrašytas į praėjusių kalendorinių metų sąrašą, tačiau valdytojui nepateikus patikrinimui </w:t>
      </w:r>
      <w:r w:rsidR="0028652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atlikti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prašomų dokumentų jo veikla nebuvo patikrinta;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dd36ab88c77044a8a4bab24f85ffd5ec"/>
      <w:bookmarkEnd w:id="7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 praėjusiais kalendoriniais metais gauta pagrįstų patalpų savininkų, viešojo administravimo subjektų ar kitų asmenų skundų, pretenzijų, pranešimų dėl valdytojo netinkamai atliekamų funkcijų ir valdytojas nebuvo įrašytas į einamųjų metų sąrašą;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f6816eaf7aaa45f299325d5c688b3048"/>
      <w:bookmarkEnd w:id="8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 planuotas valdytojo veiklos patikrinimas nebuvo atliktas;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9d783c7eca6a421db30f96d89e2a3526"/>
      <w:bookmarkEnd w:id="9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3.4. ankstesnio valdytojo veiklos patikrinimo metu nustatyti reikalavimai trūkumams pašalinti neįvykdyti per 6 mėnesius nuo valdytojo veiklos patikrinimo akto (toliau – aktas) registravimo dienos;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5bbc64112b05485cac627b7d1e9762bf"/>
      <w:bookmarkEnd w:id="10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3.5. valdytojo veikla ir su ja susiję dokumentai nebuvo tikrinti per paskutinius 5 kalendorinius metus;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9f46ed918bf2418c97011e46e9f6da70"/>
      <w:bookmarkEnd w:id="11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3.6. einamaisiais metais gaunama pagrįstų patalpų savininkų, viešojo administravimo subjektų skundų, pretenzijų, pranešimų dėl valdytojo netinkamai atliekamų teisės a</w:t>
      </w:r>
      <w:r w:rsidR="0028652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ktais priskirtų funkcijų.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773028ce865949a3b5f730b79e917872"/>
      <w:bookmarkStart w:id="13" w:name="part_174e5213900248238d72898a58aca4f6"/>
      <w:bookmarkEnd w:id="12"/>
      <w:bookmarkEnd w:id="13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Valdytojo veiklai patikrinti atsitiktinės atrankos būdu pasirenkama ne daugiau kaip 1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valdytojo administruojamų daugiabučių namų.</w:t>
      </w:r>
    </w:p>
    <w:p w:rsidR="00BF0C49" w:rsidRPr="00226EA6" w:rsidRDefault="00BF0C49" w:rsidP="002B55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43E12" w:rsidRPr="00226EA6" w:rsidRDefault="00BF0C49" w:rsidP="0028652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14" w:name="part_669d3bc66955427eb46b5bb5fdcabe8d"/>
      <w:bookmarkEnd w:id="14"/>
      <w:r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</w:t>
      </w:r>
      <w:r w:rsidR="00943E12"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BF0C49" w:rsidRPr="00226EA6" w:rsidRDefault="00286523" w:rsidP="0028652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PATIKRINIMAS</w:t>
      </w:r>
    </w:p>
    <w:p w:rsidR="002F5A54" w:rsidRPr="00226EA6" w:rsidRDefault="002F5A54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5" w:name="part_626cae4036c249f79edf29f928547fd1"/>
      <w:bookmarkEnd w:id="15"/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 Sudarius planuojamų tikrinti valdytojų sąrašą parengiamas grafikas, </w:t>
      </w:r>
      <w:r w:rsidRPr="00226EA6">
        <w:rPr>
          <w:rFonts w:ascii="Times New Roman" w:eastAsia="Times New Roman" w:hAnsi="Times New Roman" w:cs="Times New Roman"/>
          <w:sz w:val="24"/>
          <w:szCs w:val="24"/>
          <w:lang w:eastAsia="lt-LT"/>
        </w:rPr>
        <w:t>kuriame nurodomas valdytojui atstovaujantis asmuo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planuojamo patikrinimo data ir vykdymo terminas.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6" w:name="part_9c5db71f1fcd4117aa7d5471ce6f5046"/>
      <w:bookmarkEnd w:id="16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226EA6">
        <w:rPr>
          <w:rFonts w:ascii="Times New Roman" w:eastAsia="Times New Roman" w:hAnsi="Times New Roman" w:cs="Times New Roman"/>
          <w:sz w:val="24"/>
          <w:szCs w:val="24"/>
          <w:lang w:eastAsia="lt-LT"/>
        </w:rPr>
        <w:t>. Pr</w:t>
      </w:r>
      <w:r w:rsidR="00286523" w:rsidRPr="00226EA6">
        <w:rPr>
          <w:rFonts w:ascii="Times New Roman" w:eastAsia="Times New Roman" w:hAnsi="Times New Roman" w:cs="Times New Roman"/>
          <w:sz w:val="24"/>
          <w:szCs w:val="24"/>
          <w:lang w:eastAsia="lt-LT"/>
        </w:rPr>
        <w:t>iežiūros ir kontrolės vykdytojas</w:t>
      </w:r>
      <w:r w:rsidRPr="00226E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pradedamą patikrinimą pagal sudarytą grafiką prieš 1</w:t>
      </w:r>
      <w:r w:rsidR="00FC7BC5" w:rsidRPr="00226EA6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226E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darbo dienų raštu (paštu arba elektroniniu </w:t>
      </w:r>
      <w:r w:rsidR="00AE7312" w:rsidRPr="00226EA6">
        <w:rPr>
          <w:rFonts w:ascii="Times New Roman" w:eastAsia="Times New Roman" w:hAnsi="Times New Roman" w:cs="Times New Roman"/>
          <w:sz w:val="24"/>
          <w:szCs w:val="24"/>
          <w:lang w:eastAsia="lt-LT"/>
        </w:rPr>
        <w:t>paštu</w:t>
      </w:r>
      <w:r w:rsidRPr="00226EA6">
        <w:rPr>
          <w:rFonts w:ascii="Times New Roman" w:eastAsia="Times New Roman" w:hAnsi="Times New Roman" w:cs="Times New Roman"/>
          <w:sz w:val="24"/>
          <w:szCs w:val="24"/>
          <w:lang w:eastAsia="lt-LT"/>
        </w:rPr>
        <w:t>) informuoja valdytoją.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7" w:name="part_361f5b85bf0e439e8771fe20ef1591fe"/>
      <w:bookmarkEnd w:id="17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 Valdytojas, gavęs priežiūros ir kontrolės vykdytojo pranešimą apie pradedamą </w:t>
      </w:r>
      <w:r w:rsidR="0028652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jo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veiklos patikrinimą, per 1</w:t>
      </w:r>
      <w:r w:rsidR="00FC7BC5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darbo dienų priežiūros ir kontrolės vykdytojui privalo pateikti šią informaciją ir dokumentus, susijusius su pranešime nurodytais administruojamais daugiabučiais namais: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8" w:name="part_7d898f64c31b42acbd81b50b889befd3"/>
      <w:bookmarkEnd w:id="18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7.1. valdytojo paskyrimo ar išrinkimo dokumentą (patalpų savininkų sprendimo protokolus, jungtinės veiklos sutartį);</w:t>
      </w:r>
    </w:p>
    <w:p w:rsidR="003546E3" w:rsidRPr="00226EA6" w:rsidRDefault="003546E3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7.2. Juridinių asmenų registre registruotus juridinio asmens (bendrijos) įstatus;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9" w:name="part_f5bc81ed3e2a433480cac71d0d22d86c"/>
      <w:bookmarkEnd w:id="19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patalpų savininkų, bendrijos narių sąrašą;</w:t>
      </w:r>
    </w:p>
    <w:p w:rsidR="00BF0C49" w:rsidRPr="00226EA6" w:rsidRDefault="00BF0C49" w:rsidP="00A75584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0" w:name="part_c1c633be37cd4c019add0eada51ec4e0"/>
      <w:bookmarkEnd w:id="20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C6530C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daugiabučio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namo bendrojo naudojimo objektų aprašą;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1" w:name="part_a8d1457d147647acb6c0268fe2d4b71f"/>
      <w:bookmarkEnd w:id="21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metinį </w:t>
      </w:r>
      <w:r w:rsidR="00C6530C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daugiabučio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namo priežiūros ūkinį-finansinį planą, bendrojo naudojimo objektų atnaujinimo metinį planą;</w:t>
      </w:r>
    </w:p>
    <w:p w:rsidR="00BF0C49" w:rsidRPr="00226EA6" w:rsidRDefault="00BF0C49" w:rsidP="00CF2D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2" w:name="part_07d9b351edc14c55a06eef75fa7692ef"/>
      <w:bookmarkEnd w:id="22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ilgalaikį </w:t>
      </w:r>
      <w:r w:rsidR="00C6530C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daugiabučio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namo atnaujinimo planą;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3" w:name="part_b4676885315f4d6e895edf22d6531416"/>
      <w:bookmarkEnd w:id="23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kaupiamųjų lėšų </w:t>
      </w:r>
      <w:r w:rsidR="00C6530C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daugiabučiam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namui atnaujinti sąskaitos sutartį;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4" w:name="part_c3c435f151664147bc331be0d0dafe08"/>
      <w:bookmarkEnd w:id="24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informaciją (ban</w:t>
      </w:r>
      <w:r w:rsidR="0028652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 išrašą) apie sukauptų lėšų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naudojimą</w:t>
      </w:r>
      <w:r w:rsidR="0028652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einamaisiais metais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5" w:name="part_fcba6c0f4d604a4fa70c71fd7b9c8066"/>
      <w:bookmarkEnd w:id="25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paslaugų ir rangos darbų pirkimo dokumentus (paslaugų ir rangos darbų pirkimo taisykles, kai teisės aktai reikalauja nusistatyti pirkimo taisykles);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6" w:name="part_88efc4f6087349efae369b4512e31e3f"/>
      <w:bookmarkEnd w:id="26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informaciją ar dokumentus apie per </w:t>
      </w:r>
      <w:r w:rsidR="0028652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einamuosius metus atliktus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pirkimus (paslaugų ir rangos darbų pirkimo organizavimo dokumentai, sprendimai, sutartys, aktai, sąskaitos);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7" w:name="part_aceabbd62dac45f39bcd28a9f82a263b"/>
      <w:bookmarkEnd w:id="27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informaciją apie interneto svetainę, skelbimų lentas ir kitas taikomas informacijos pateikimo</w:t>
      </w:r>
      <w:r w:rsidR="00C6530C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patalpų savininkams priemones;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8" w:name="part_e5151ee814c44db5ba47bbc9c89a88bc"/>
      <w:bookmarkEnd w:id="28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informaciją (duomenis) apie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gautus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butų ir kitų patalpų savininkų rašytinius prašymus ir pretenzijas dėl informacijos teikimo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atsakymus į juos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9" w:name="part_32e9bfea741c4ad4a46b36187375f9d3"/>
      <w:bookmarkEnd w:id="29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7.1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metinę veiklos ataskaitą, jos pateikimo patalpų savininkams duomenis;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0" w:name="part_c3b0700dd06841abb10a23286ae4c8c5"/>
      <w:bookmarkEnd w:id="30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informaciją apie per </w:t>
      </w:r>
      <w:r w:rsidR="00C6530C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einamuosius metus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šauktus patalpų savininkų, bendrijos narių susirinkimus ar balsavimą raštu (protokolas, dalyvių sąrašas, dokumentai (informacija) apie susirinkimo sušaukimą);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1" w:name="part_cc3a83efc8834535a08603cbfd8cf70d"/>
      <w:bookmarkStart w:id="32" w:name="part_2c0180c038bb40d693a0d80405f25fc0"/>
      <w:bookmarkEnd w:id="31"/>
      <w:bookmarkEnd w:id="32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7.15. kitus priežiūros ir kontrolės vykdytojo nurodytus duomenis </w:t>
      </w:r>
      <w:r w:rsidR="003546E3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įgaliotinių rinkimų dokumentus ir kita).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3" w:name="part_767d563b283b4e688c87e05e24d2456b"/>
      <w:bookmarkEnd w:id="33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 Patikrinimas atliekamas pagal valdytojo pateiktą informaciją ir dokumentus (dokumentų kopijas, nuorašus, išrašus), nedalyvaujant valdytojui. Pateikiamos dokumentų kopijos (išrašai)</w:t>
      </w:r>
      <w:r w:rsidR="00C6530C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turi būti patvirtintos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teisės aktų nustatyta tvarka.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4" w:name="part_30b8dfe5ab18459a8669e7e221ab8597"/>
      <w:bookmarkEnd w:id="34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 Atlikus patikrinimą surašomas </w:t>
      </w:r>
      <w:r w:rsidR="00312B32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ktas. Aktas surašomas 2 egzemplioriais. Vienas pateikiamas valdytojui, antras saugomas priežiūros ir kontrolės vykdytojo teisės aktų nustatyta tvarka. Jeigu valdytojas įtrauktas į sąrašą pagal pareiškėjo skundą, akto kopija pateikiama ir pareiškėjui.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5" w:name="part_5cb9dd8c13a7498393db42791be295d1"/>
      <w:bookmarkEnd w:id="35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 Apie atliktą patikrinimą valdytojas per 5 darbo dienas informuojamas raštu ir (arba) telefonu, elektroniniu paštu ir kviečiamas pasirašyti aktą.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6" w:name="part_5099bd9958fb42fb8321ae2f01b84692"/>
      <w:bookmarkEnd w:id="36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</w:t>
      </w:r>
      <w:r w:rsidR="009D4CF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Aktas surašomas</w:t>
      </w:r>
      <w:r w:rsidR="00CE4CC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 vėliau kaip per </w:t>
      </w:r>
      <w:r w:rsidR="00FC7BC5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mėnesius nuo visos valdytojo priežiūros ir kontrolės vykdytojui pateiktos prašomos informacijos ir dokumentų pateikimo dienos.</w:t>
      </w:r>
    </w:p>
    <w:p w:rsidR="00BF0C49" w:rsidRPr="00226EA6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7" w:name="part_be6aaab7ab634050895e00e3b77552ac"/>
      <w:bookmarkEnd w:id="37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</w:t>
      </w:r>
      <w:r w:rsidR="009D4CF9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Patikrinim</w:t>
      </w:r>
      <w:r w:rsidR="00312B32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 turi būti atliktas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 ilgiau kaip per 6 mėnesius nuo pranešimo valdytojui apie pradedamą jo veiklos patikrinimą išsiuntimo dienos. Patikrinimas laikomas baigtu, kai valdytojas įvykdo akte surašytus reikalavimus ir apie jų įvykdymą informuoja </w:t>
      </w:r>
      <w:r w:rsidR="00EF6D8C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priežiūros ir kontrolės vykdytoją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raštu akte nustatytais terminais.</w:t>
      </w:r>
    </w:p>
    <w:p w:rsidR="00BF0C49" w:rsidRPr="00BF0C49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8" w:name="part_4dbde47795d044979eecaf5b2e778224"/>
      <w:bookmarkEnd w:id="38"/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13. Atsižvelgus į valdytojo prašymą ir pateiktus pagrįstus argumentus dėl nustatytų reikalavimų įvykdymo termino pratęsimo, priežiūros ir kontrolės vykdytojo sprendimu nustatyti terminai gali būti pratęsiami, bet ne ilgiau kaip  </w:t>
      </w:r>
      <w:r w:rsidR="0060015B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 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mėnes</w:t>
      </w:r>
      <w:r w:rsidR="0060015B"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</w:t>
      </w:r>
      <w:r w:rsidRPr="00226E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BF0C49" w:rsidRPr="00BF0C49" w:rsidRDefault="00BF0C49" w:rsidP="002B5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43E12" w:rsidRDefault="00BF0C49" w:rsidP="00EF6D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39" w:name="part_3abeb11fa88e4f8aba44791b55d69013"/>
      <w:bookmarkEnd w:id="39"/>
      <w:r w:rsidRPr="00BF0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</w:t>
      </w:r>
      <w:r w:rsidR="00943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BF0C49" w:rsidRPr="00BF0C49" w:rsidRDefault="00BF0C49" w:rsidP="00EF6D8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0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BAIGIAMOSIOS NUOSTATOS</w:t>
      </w:r>
    </w:p>
    <w:p w:rsidR="00BF0C49" w:rsidRPr="00BF0C49" w:rsidRDefault="00BF0C49" w:rsidP="002B5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F0C49" w:rsidRPr="00BF0C49" w:rsidRDefault="00BF0C49" w:rsidP="002B55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0" w:name="part_135b4a385ae04d89bd51d6a3146598e1"/>
      <w:bookmarkEnd w:id="40"/>
      <w:r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 Už šio aprašo nuostatų nesilaikymą asmenys atsako teisės aktų nustatyta tvarka.</w:t>
      </w:r>
    </w:p>
    <w:p w:rsidR="006B2F3D" w:rsidRDefault="00BF0C49" w:rsidP="00EF6D8C">
      <w:pPr>
        <w:spacing w:after="0" w:line="240" w:lineRule="auto"/>
        <w:ind w:firstLine="851"/>
        <w:jc w:val="center"/>
      </w:pPr>
      <w:bookmarkStart w:id="41" w:name="part_7648b62df54d400e9e099e08465ed93c"/>
      <w:bookmarkEnd w:id="41"/>
      <w:r w:rsidRPr="00BF0C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</w:t>
      </w:r>
    </w:p>
    <w:sectPr w:rsidR="006B2F3D" w:rsidSect="00E65859">
      <w:headerReference w:type="default" r:id="rId9"/>
      <w:pgSz w:w="11906" w:h="16838" w:code="9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D9" w:rsidRDefault="00067CD9" w:rsidP="00E65859">
      <w:pPr>
        <w:spacing w:after="0" w:line="240" w:lineRule="auto"/>
      </w:pPr>
      <w:r>
        <w:separator/>
      </w:r>
    </w:p>
  </w:endnote>
  <w:endnote w:type="continuationSeparator" w:id="0">
    <w:p w:rsidR="00067CD9" w:rsidRDefault="00067CD9" w:rsidP="00E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D9" w:rsidRDefault="00067CD9" w:rsidP="00E65859">
      <w:pPr>
        <w:spacing w:after="0" w:line="240" w:lineRule="auto"/>
      </w:pPr>
      <w:r>
        <w:separator/>
      </w:r>
    </w:p>
  </w:footnote>
  <w:footnote w:type="continuationSeparator" w:id="0">
    <w:p w:rsidR="00067CD9" w:rsidRDefault="00067CD9" w:rsidP="00E6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70149"/>
      <w:docPartObj>
        <w:docPartGallery w:val="Page Numbers (Top of Page)"/>
        <w:docPartUnique/>
      </w:docPartObj>
    </w:sdtPr>
    <w:sdtEndPr/>
    <w:sdtContent>
      <w:p w:rsidR="00E65859" w:rsidRDefault="00E658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9C">
          <w:rPr>
            <w:noProof/>
          </w:rPr>
          <w:t>2</w:t>
        </w:r>
        <w:r>
          <w:fldChar w:fldCharType="end"/>
        </w:r>
      </w:p>
    </w:sdtContent>
  </w:sdt>
  <w:p w:rsidR="00E65859" w:rsidRDefault="00E6585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49"/>
    <w:rsid w:val="00050DFE"/>
    <w:rsid w:val="00067CD9"/>
    <w:rsid w:val="00081442"/>
    <w:rsid w:val="00125D68"/>
    <w:rsid w:val="001747A7"/>
    <w:rsid w:val="00226EA6"/>
    <w:rsid w:val="00254C1B"/>
    <w:rsid w:val="00286523"/>
    <w:rsid w:val="002A1422"/>
    <w:rsid w:val="002B5556"/>
    <w:rsid w:val="002F5A54"/>
    <w:rsid w:val="00312B32"/>
    <w:rsid w:val="003546E3"/>
    <w:rsid w:val="003A4F81"/>
    <w:rsid w:val="004353B1"/>
    <w:rsid w:val="00452247"/>
    <w:rsid w:val="0057181B"/>
    <w:rsid w:val="0058003E"/>
    <w:rsid w:val="005E50DC"/>
    <w:rsid w:val="0060015B"/>
    <w:rsid w:val="00695215"/>
    <w:rsid w:val="006B273B"/>
    <w:rsid w:val="006B2F3D"/>
    <w:rsid w:val="006D3F87"/>
    <w:rsid w:val="006E6825"/>
    <w:rsid w:val="0076315C"/>
    <w:rsid w:val="007A2CA5"/>
    <w:rsid w:val="008B55E7"/>
    <w:rsid w:val="00943E12"/>
    <w:rsid w:val="009B3314"/>
    <w:rsid w:val="009D4CF9"/>
    <w:rsid w:val="009F27BA"/>
    <w:rsid w:val="00A75584"/>
    <w:rsid w:val="00AE7312"/>
    <w:rsid w:val="00B87851"/>
    <w:rsid w:val="00BF0C49"/>
    <w:rsid w:val="00C547BE"/>
    <w:rsid w:val="00C6530C"/>
    <w:rsid w:val="00C71831"/>
    <w:rsid w:val="00CE4CC9"/>
    <w:rsid w:val="00CF2D2F"/>
    <w:rsid w:val="00D77EA7"/>
    <w:rsid w:val="00DB276B"/>
    <w:rsid w:val="00E65859"/>
    <w:rsid w:val="00EC50C6"/>
    <w:rsid w:val="00EF6D8C"/>
    <w:rsid w:val="00F036C4"/>
    <w:rsid w:val="00F24A6D"/>
    <w:rsid w:val="00F524D1"/>
    <w:rsid w:val="00F7079C"/>
    <w:rsid w:val="00FC7BC5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5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5859"/>
  </w:style>
  <w:style w:type="paragraph" w:styleId="Porat">
    <w:name w:val="footer"/>
    <w:basedOn w:val="prastasis"/>
    <w:link w:val="PoratDiagrama"/>
    <w:uiPriority w:val="99"/>
    <w:unhideWhenUsed/>
    <w:rsid w:val="00E65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5859"/>
  </w:style>
  <w:style w:type="character" w:styleId="Hipersaitas">
    <w:name w:val="Hyperlink"/>
    <w:basedOn w:val="Numatytasispastraiposriftas"/>
    <w:uiPriority w:val="99"/>
    <w:unhideWhenUsed/>
    <w:rsid w:val="001747A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74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5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5859"/>
  </w:style>
  <w:style w:type="paragraph" w:styleId="Porat">
    <w:name w:val="footer"/>
    <w:basedOn w:val="prastasis"/>
    <w:link w:val="PoratDiagrama"/>
    <w:uiPriority w:val="99"/>
    <w:unhideWhenUsed/>
    <w:rsid w:val="00E65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5859"/>
  </w:style>
  <w:style w:type="character" w:styleId="Hipersaitas">
    <w:name w:val="Hyperlink"/>
    <w:basedOn w:val="Numatytasispastraiposriftas"/>
    <w:uiPriority w:val="99"/>
    <w:unhideWhenUsed/>
    <w:rsid w:val="001747A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74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180084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3527-45CF-4EEA-8EF9-815F0DD5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5696</Characters>
  <Application>Microsoft Office Word</Application>
  <DocSecurity>0</DocSecurity>
  <Lines>172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DAUGIABUČIŲ NAMŲ BENDROJO NAUDOJIMO OBJEKTŲ VALDYTOJŲ VEIKLOS TIKRINIMO TVARKOS APRAŠAS</dc:subject>
  <dc:creator>Daugiabučių namų administravimo ir renovavimo skyrius</dc:creator>
  <cp:lastModifiedBy>Dalia Staškuvienė</cp:lastModifiedBy>
  <cp:revision>4</cp:revision>
  <cp:lastPrinted>2017-12-18T09:17:00Z</cp:lastPrinted>
  <dcterms:created xsi:type="dcterms:W3CDTF">2018-01-10T08:56:00Z</dcterms:created>
  <dcterms:modified xsi:type="dcterms:W3CDTF">2018-01-10T09:04:00Z</dcterms:modified>
</cp:coreProperties>
</file>