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3" w:rsidRDefault="00314C13" w:rsidP="00B774D1">
      <w:pPr>
        <w:spacing w:after="0" w:line="240" w:lineRule="auto"/>
        <w:ind w:left="10584" w:firstLine="3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B774D1" w:rsidRPr="00B774D1" w:rsidRDefault="00B774D1" w:rsidP="00A35527">
      <w:pPr>
        <w:spacing w:after="0" w:line="240" w:lineRule="auto"/>
        <w:ind w:left="10584" w:firstLine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774D1" w:rsidRPr="00B774D1" w:rsidRDefault="000A322D" w:rsidP="00096450">
      <w:pPr>
        <w:tabs>
          <w:tab w:val="left" w:pos="14175"/>
        </w:tabs>
        <w:spacing w:after="0" w:line="240" w:lineRule="auto"/>
        <w:ind w:left="1166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miesto savivaldybės administracijos direktoriaus</w:t>
      </w:r>
    </w:p>
    <w:p w:rsidR="00B774D1" w:rsidRPr="00C16BAE" w:rsidRDefault="00325364" w:rsidP="00A35527">
      <w:pPr>
        <w:spacing w:after="0" w:line="240" w:lineRule="auto"/>
        <w:ind w:left="1036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B774D1"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34EF6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24 d.</w:t>
      </w:r>
    </w:p>
    <w:p w:rsidR="00B774D1" w:rsidRPr="00C16BAE" w:rsidRDefault="00B774D1" w:rsidP="00DF468B">
      <w:pPr>
        <w:tabs>
          <w:tab w:val="left" w:pos="9687"/>
        </w:tabs>
        <w:spacing w:after="0" w:line="240" w:lineRule="auto"/>
        <w:ind w:left="1036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0A322D" w:rsidRPr="00C16BAE">
        <w:rPr>
          <w:rFonts w:ascii="Times New Roman" w:eastAsia="Times New Roman" w:hAnsi="Times New Roman" w:cs="Times New Roman"/>
          <w:sz w:val="24"/>
          <w:szCs w:val="24"/>
          <w:lang w:eastAsia="lt-LT"/>
        </w:rPr>
        <w:t>A-</w:t>
      </w:r>
      <w:r w:rsidR="00E34EF6">
        <w:rPr>
          <w:rFonts w:ascii="Times New Roman" w:eastAsia="Times New Roman" w:hAnsi="Times New Roman" w:cs="Times New Roman"/>
          <w:sz w:val="24"/>
          <w:szCs w:val="24"/>
          <w:lang w:eastAsia="lt-LT"/>
        </w:rPr>
        <w:t>259</w:t>
      </w:r>
    </w:p>
    <w:p w:rsidR="00EF7663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4EF6" w:rsidRPr="00C16BAE" w:rsidRDefault="00E34EF6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74D1" w:rsidRPr="00C16BAE" w:rsidRDefault="000A322D" w:rsidP="00E34EF6">
      <w:pPr>
        <w:tabs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BAE">
        <w:rPr>
          <w:rFonts w:ascii="Times New Roman" w:eastAsia="Times New Roman" w:hAnsi="Times New Roman" w:cs="Times New Roman"/>
          <w:b/>
          <w:sz w:val="24"/>
          <w:szCs w:val="20"/>
        </w:rPr>
        <w:t>KAUNO MIESTO SAVIVALDYBĖS</w:t>
      </w:r>
      <w:r w:rsidR="004D57DC" w:rsidRPr="00C16B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74D1" w:rsidRPr="00C16B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  <w:r w:rsidR="00E34EF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CD4C86" w:rsidRPr="00C16B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2018–2020</w:t>
      </w:r>
      <w:r w:rsidR="00B774D1" w:rsidRPr="00C16BA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C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:rsidR="00452185" w:rsidRPr="00C16BAE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993"/>
        <w:gridCol w:w="1417"/>
        <w:gridCol w:w="992"/>
        <w:gridCol w:w="1418"/>
        <w:gridCol w:w="1134"/>
        <w:gridCol w:w="1417"/>
        <w:gridCol w:w="1134"/>
        <w:gridCol w:w="1701"/>
        <w:gridCol w:w="1276"/>
      </w:tblGrid>
      <w:tr w:rsidR="00610C04" w:rsidRPr="00C16BAE" w:rsidTr="00E83EC7">
        <w:trPr>
          <w:trHeight w:val="501"/>
        </w:trPr>
        <w:tc>
          <w:tcPr>
            <w:tcW w:w="993" w:type="dxa"/>
            <w:tcBorders>
              <w:bottom w:val="nil"/>
            </w:tcBorders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10C04" w:rsidRPr="00C16BAE" w:rsidRDefault="00610C04" w:rsidP="00D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22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Veiks</w:t>
            </w:r>
            <w:r w:rsidR="00227EA5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mingu</w:t>
            </w:r>
            <w:r w:rsidR="00227EA5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7512" w:type="dxa"/>
            <w:gridSpan w:val="6"/>
          </w:tcPr>
          <w:p w:rsidR="00B37527" w:rsidRPr="00C16BAE" w:rsidRDefault="00B37527" w:rsidP="00D1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10C04" w:rsidRPr="00C16BAE" w:rsidRDefault="00610C04" w:rsidP="00D1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Vykdymo laikotarpis, vertinimo reikšmė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0C04" w:rsidRPr="00C16BAE" w:rsidRDefault="00610C04" w:rsidP="00D86E99">
            <w:pPr>
              <w:ind w:left="-148" w:right="-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E1B7B" w:rsidRPr="00C16BAE" w:rsidRDefault="001E1B7B" w:rsidP="00465345">
            <w:pPr>
              <w:ind w:right="-469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E1B7B" w:rsidRPr="00C16BAE" w:rsidRDefault="001E1B7B" w:rsidP="00465345">
            <w:pPr>
              <w:ind w:right="-469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E1B7B" w:rsidRPr="00C16BAE" w:rsidRDefault="001E1B7B" w:rsidP="00465345">
            <w:pPr>
              <w:ind w:right="-469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10C04" w:rsidRPr="00C16BAE" w:rsidRDefault="00610C04" w:rsidP="00465345">
            <w:pPr>
              <w:ind w:right="-469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</w:t>
            </w:r>
          </w:p>
          <w:p w:rsidR="00610C04" w:rsidRPr="00C16BAE" w:rsidRDefault="00610C04" w:rsidP="0046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vykdytojas</w:t>
            </w:r>
          </w:p>
          <w:p w:rsidR="00610C04" w:rsidRPr="00C16BAE" w:rsidRDefault="00610C04" w:rsidP="00465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10C04" w:rsidRPr="00C16BAE" w:rsidRDefault="00610C04" w:rsidP="0046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10C04" w:rsidRPr="00C16BAE" w:rsidRDefault="001E1B7B" w:rsidP="001E1B7B">
            <w:pPr>
              <w:ind w:left="-148"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610C04" w:rsidRPr="00C16BAE" w:rsidTr="00E83EC7">
        <w:tc>
          <w:tcPr>
            <w:tcW w:w="993" w:type="dxa"/>
            <w:tcBorders>
              <w:top w:val="nil"/>
            </w:tcBorders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85" w:type="dxa"/>
            <w:tcBorders>
              <w:top w:val="nil"/>
            </w:tcBorders>
          </w:tcPr>
          <w:p w:rsidR="00610C04" w:rsidRPr="00C16BAE" w:rsidRDefault="00610C04" w:rsidP="00A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7C88" w:rsidRPr="00C16BAE">
              <w:rPr>
                <w:rFonts w:ascii="Times New Roman" w:hAnsi="Times New Roman" w:cs="Times New Roman"/>
                <w:sz w:val="24"/>
                <w:szCs w:val="24"/>
              </w:rPr>
              <w:t>riemonės pavadinimas</w:t>
            </w:r>
          </w:p>
        </w:tc>
        <w:tc>
          <w:tcPr>
            <w:tcW w:w="993" w:type="dxa"/>
            <w:tcBorders>
              <w:top w:val="nil"/>
            </w:tcBorders>
          </w:tcPr>
          <w:p w:rsidR="00610C04" w:rsidRPr="00C16BAE" w:rsidRDefault="001A479C" w:rsidP="00D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ertini</w:t>
            </w:r>
            <w:r w:rsidR="00227EA5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610C04" w:rsidRPr="00C16BAE" w:rsidRDefault="00610C04" w:rsidP="00D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r w:rsidR="00227EA5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jaus</w:t>
            </w:r>
            <w:r w:rsidR="00227EA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</w:p>
          <w:p w:rsidR="00610C04" w:rsidRPr="00C16BAE" w:rsidRDefault="00610C04" w:rsidP="00D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(balais)</w:t>
            </w:r>
          </w:p>
        </w:tc>
        <w:tc>
          <w:tcPr>
            <w:tcW w:w="1417" w:type="dxa"/>
          </w:tcPr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D1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2018 metai</w:t>
            </w:r>
          </w:p>
        </w:tc>
        <w:tc>
          <w:tcPr>
            <w:tcW w:w="992" w:type="dxa"/>
          </w:tcPr>
          <w:p w:rsidR="00610C04" w:rsidRPr="00C16BAE" w:rsidRDefault="00610C04" w:rsidP="000022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monės įvyk</w:t>
            </w:r>
            <w:r w:rsidR="001473B7" w:rsidRPr="00C16BAE">
              <w:rPr>
                <w:rFonts w:ascii="Times New Roman" w:hAnsi="Times New Roman" w:cs="Times New Roman"/>
                <w:sz w:val="24"/>
                <w:szCs w:val="24"/>
              </w:rPr>
              <w:t>dy-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610C04" w:rsidRPr="00C16BAE" w:rsidRDefault="001473B7" w:rsidP="000022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erti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ni-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 reikšmė</w:t>
            </w:r>
          </w:p>
          <w:p w:rsidR="00610C04" w:rsidRPr="00C16BAE" w:rsidRDefault="00610C04" w:rsidP="000022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(balais)</w:t>
            </w:r>
          </w:p>
        </w:tc>
        <w:tc>
          <w:tcPr>
            <w:tcW w:w="1418" w:type="dxa"/>
          </w:tcPr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D1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2019 metai</w:t>
            </w:r>
          </w:p>
        </w:tc>
        <w:tc>
          <w:tcPr>
            <w:tcW w:w="1134" w:type="dxa"/>
          </w:tcPr>
          <w:p w:rsidR="00610C04" w:rsidRPr="00C16BAE" w:rsidRDefault="00610C04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Priemo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nės įvykdy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610C04" w:rsidRPr="00C16BAE" w:rsidRDefault="00C32A04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ertini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 reikšmė</w:t>
            </w:r>
          </w:p>
          <w:p w:rsidR="00610C04" w:rsidRPr="00C16BAE" w:rsidRDefault="00610C04" w:rsidP="0032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(balais)</w:t>
            </w:r>
          </w:p>
        </w:tc>
        <w:tc>
          <w:tcPr>
            <w:tcW w:w="1417" w:type="dxa"/>
          </w:tcPr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B5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4" w:rsidRPr="00C16BAE" w:rsidRDefault="00610C04" w:rsidP="0046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2020 metai</w:t>
            </w:r>
          </w:p>
        </w:tc>
        <w:tc>
          <w:tcPr>
            <w:tcW w:w="1134" w:type="dxa"/>
          </w:tcPr>
          <w:p w:rsidR="00610C04" w:rsidRPr="00C16BAE" w:rsidRDefault="00610C04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Priemo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nės įvykdy</w:t>
            </w:r>
            <w:r w:rsidR="0000229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610C04" w:rsidRPr="00C16BAE" w:rsidRDefault="0000229D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ertini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610C04" w:rsidRPr="00C16BAE" w:rsidRDefault="00610C04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</w:p>
          <w:p w:rsidR="00610C04" w:rsidRPr="00C16BAE" w:rsidRDefault="00610C04" w:rsidP="006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(balais)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C04" w:rsidRPr="00C16BAE" w:rsidRDefault="0061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B" w:rsidRPr="00C16BAE" w:rsidRDefault="001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610C04" w:rsidRPr="00C16BAE" w:rsidRDefault="00E475A5" w:rsidP="0086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10C04" w:rsidRPr="00C16BAE" w:rsidRDefault="00610C04" w:rsidP="00E4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5A5" w:rsidRPr="00C1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C04" w:rsidRPr="00C16BAE" w:rsidRDefault="00610C04" w:rsidP="00E4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5A5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10C04" w:rsidRPr="00C16BAE" w:rsidRDefault="00610C04" w:rsidP="00E8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Stiprinti civilinės saugos parengtį Kauno miesto savivaldybėje</w:t>
            </w:r>
            <w:r w:rsidR="00C32A04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C7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(toliau – </w:t>
            </w:r>
            <w:r w:rsidR="00C32A04" w:rsidRPr="00C16BAE">
              <w:rPr>
                <w:rFonts w:ascii="Times New Roman" w:hAnsi="Times New Roman" w:cs="Times New Roman"/>
                <w:sz w:val="24"/>
                <w:szCs w:val="24"/>
              </w:rPr>
              <w:t>Savivaldybė) atsižvelgiant į gre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siančius pavojus ar susidariusią ekstremaliąją situaciją </w:t>
            </w:r>
          </w:p>
        </w:tc>
        <w:tc>
          <w:tcPr>
            <w:tcW w:w="993" w:type="dxa"/>
          </w:tcPr>
          <w:p w:rsidR="00610C04" w:rsidRPr="00C16BAE" w:rsidRDefault="00607ED2" w:rsidP="00CB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C04" w:rsidRPr="00C16BAE" w:rsidRDefault="0061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610C04" w:rsidRPr="00C16BAE" w:rsidRDefault="00610C04" w:rsidP="0064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Peržiūrėti ir prireikus atnaujinti Savivaldybės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ekstremaliųjų situacijų valdymo planą </w:t>
            </w:r>
          </w:p>
        </w:tc>
        <w:tc>
          <w:tcPr>
            <w:tcW w:w="993" w:type="dxa"/>
          </w:tcPr>
          <w:p w:rsidR="00610C04" w:rsidRPr="00C16BAE" w:rsidRDefault="00186227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0AC" w:rsidRPr="00C16BAE" w:rsidRDefault="00610C04" w:rsidP="00FD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Savivaldybės administracijos Miesto civilinės saugos skyrius (toliau – MCSS)</w:t>
            </w:r>
          </w:p>
        </w:tc>
        <w:tc>
          <w:tcPr>
            <w:tcW w:w="1276" w:type="dxa"/>
          </w:tcPr>
          <w:p w:rsidR="00610C04" w:rsidRPr="00C16BAE" w:rsidRDefault="00610C04" w:rsidP="00E6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610C04" w:rsidRPr="00C16BAE" w:rsidRDefault="00610C04" w:rsidP="00E6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Peržiūrėti ir prireikus atnaujinti Savivaldybės ekstremaliųjų situacijų rizikos analizę  </w:t>
            </w:r>
          </w:p>
          <w:p w:rsidR="00096450" w:rsidRPr="00C16BAE" w:rsidRDefault="00096450" w:rsidP="00E6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A62ECB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FD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54" w:rsidRPr="00C16BAE" w:rsidTr="00E83EC7">
        <w:tc>
          <w:tcPr>
            <w:tcW w:w="993" w:type="dxa"/>
          </w:tcPr>
          <w:p w:rsidR="00690E54" w:rsidRPr="00C16BAE" w:rsidRDefault="00690E5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90E54" w:rsidRPr="00C16BAE" w:rsidRDefault="00690E54" w:rsidP="0069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610C04" w:rsidRPr="00C16BAE" w:rsidRDefault="00610C04" w:rsidP="0056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Parengti ir prireikus atnaujinti Savivaldybės</w:t>
            </w:r>
            <w:r w:rsidRPr="00C16B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ekstremaliųjų situacijų 2018–2020 m. prevencijos priemonių planą</w:t>
            </w:r>
          </w:p>
          <w:p w:rsidR="00C32A04" w:rsidRPr="00C16BAE" w:rsidRDefault="00C32A04" w:rsidP="0056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07ED2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CE2C7E" w:rsidP="005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0C04" w:rsidRPr="00C16BAE" w:rsidRDefault="00610C04" w:rsidP="005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5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5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5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BD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:rsidR="00610C04" w:rsidRPr="00C16BAE" w:rsidRDefault="00610C04" w:rsidP="00E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Peržiūrėti kolektyvinės </w:t>
            </w:r>
            <w:r w:rsidR="00C32A04" w:rsidRPr="00C16BAE">
              <w:rPr>
                <w:rFonts w:ascii="Times New Roman" w:hAnsi="Times New Roman" w:cs="Times New Roman"/>
                <w:sz w:val="24"/>
                <w:szCs w:val="24"/>
              </w:rPr>
              <w:t>apsaugos statinių poreikį Savivaldybės teritorijoje</w:t>
            </w:r>
          </w:p>
          <w:p w:rsidR="00C32A04" w:rsidRPr="00C16BAE" w:rsidRDefault="00C32A04" w:rsidP="00EF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186227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:rsidR="00610C04" w:rsidRPr="00C16BAE" w:rsidRDefault="00610C04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Parengti ataskaitą apie Savivaldybės ekstremaliųjų situacijų prevencijos priemonių plano įvykdymą ir pateikti ją Kauno apskrities priešgaisrinei gelbėjimo valdybai (toliau – KAPGV)</w:t>
            </w:r>
          </w:p>
          <w:p w:rsidR="00C32A04" w:rsidRPr="00C16BAE" w:rsidRDefault="00C32A04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A6274D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992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</w:tcPr>
          <w:p w:rsidR="00610C04" w:rsidRPr="00C16BAE" w:rsidRDefault="00610C04" w:rsidP="0008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Kaupti, registruoti ir analizuoti informaciją ir duomenis apie įvykusius įvykius, ekstremaliuosius įvykius ir susidariusias ekstremaliąsias situacijas</w:t>
            </w:r>
          </w:p>
          <w:p w:rsidR="00C32A04" w:rsidRPr="00C16BAE" w:rsidRDefault="00C32A04" w:rsidP="0008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A6274D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5" w:type="dxa"/>
          </w:tcPr>
          <w:p w:rsidR="00610C04" w:rsidRPr="00C16BAE" w:rsidRDefault="00610C04" w:rsidP="00F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Peržiūrėti ir prireikus </w:t>
            </w:r>
            <w:r w:rsidR="00F87059" w:rsidRPr="00C16BAE">
              <w:rPr>
                <w:rFonts w:ascii="Times New Roman" w:hAnsi="Times New Roman" w:cs="Times New Roman"/>
                <w:sz w:val="24"/>
                <w:szCs w:val="24"/>
              </w:rPr>
              <w:t>atnaujinti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Savivaldybės ekstremaliųjų situacijų komisijos (toliau – ESK) ir Savivaldybės ekstremaliųjų situacijų operacijų centro (toliau – ESOC) personalinę sudėtį</w:t>
            </w:r>
          </w:p>
          <w:p w:rsidR="00C32A04" w:rsidRPr="00C16BAE" w:rsidRDefault="00C32A04" w:rsidP="00F8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A6274D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5" w:type="dxa"/>
          </w:tcPr>
          <w:p w:rsidR="00C32A04" w:rsidRPr="00C16BAE" w:rsidRDefault="00610C04" w:rsidP="00E8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Organizuoti ESK narių, ESOC narių mokymą Ugniagesių gelbėtojų mokyklos Civilinės saugos mokymo centre ar </w:t>
            </w:r>
            <w:r w:rsidR="00A61A28" w:rsidRPr="00C16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APGV Civilinės saugos skyriuje</w:t>
            </w:r>
          </w:p>
        </w:tc>
        <w:tc>
          <w:tcPr>
            <w:tcW w:w="993" w:type="dxa"/>
          </w:tcPr>
          <w:p w:rsidR="00610C04" w:rsidRPr="00C16BAE" w:rsidRDefault="00A6274D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8F9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F9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9330A8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9330A8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9330A8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4" w:rsidRPr="00C16BAE" w:rsidTr="00E83EC7">
        <w:tc>
          <w:tcPr>
            <w:tcW w:w="993" w:type="dxa"/>
          </w:tcPr>
          <w:p w:rsidR="00C32A04" w:rsidRPr="00C16BAE" w:rsidRDefault="00C32A04" w:rsidP="00C32A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2A04" w:rsidRPr="00C16BAE" w:rsidRDefault="00C32A04" w:rsidP="00C3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5" w:type="dxa"/>
          </w:tcPr>
          <w:p w:rsidR="00610C04" w:rsidRPr="00C16BAE" w:rsidRDefault="00E9732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ESK posėdžius</w:t>
            </w:r>
          </w:p>
          <w:p w:rsidR="00904919" w:rsidRPr="00C16BAE" w:rsidRDefault="00904919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A62ECB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8F9" w:rsidRPr="00C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F9" w:rsidRPr="00C16B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685" w:type="dxa"/>
          </w:tcPr>
          <w:p w:rsidR="00B80A13" w:rsidRPr="00C16BAE" w:rsidRDefault="00610C04" w:rsidP="00C3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Aptarti Savivaldybės civilinės saugos sistemos būklę, įvertinti Savivaldybės institucijų ir įstaigų, kitų įstaigų ir ūkio subjektų pasirengimą reaguoti į ekstremaliąsias situacijas</w:t>
            </w:r>
          </w:p>
        </w:tc>
        <w:tc>
          <w:tcPr>
            <w:tcW w:w="993" w:type="dxa"/>
          </w:tcPr>
          <w:p w:rsidR="00610C04" w:rsidRPr="00C16BAE" w:rsidRDefault="00610C04" w:rsidP="00FD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74AF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ESK pirmininko pavaduotojas,</w:t>
            </w:r>
          </w:p>
          <w:p w:rsidR="00610C04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685" w:type="dxa"/>
          </w:tcPr>
          <w:p w:rsidR="00610C04" w:rsidRPr="00C16BAE" w:rsidRDefault="00610C04" w:rsidP="006B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Aptarti </w:t>
            </w:r>
            <w:r w:rsidR="006B05FA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Savivaldybėje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Vandens telkiniuose nuskendusių asmenų skaičiaus mažinimo 2016–2018 m. veiksmų (priemonių ) plano, patvirtinto Priešgaisrinės apsaugos ir gelbėjimo departamento (toliau – PAGD) prie Vidaus reikalų ministerijos direktoriaus 2016 m. gegužės 20 d. įsakymu Nr. 1-158 „Dėl Vandens telkiniuose nuskendusių asmenų skaičiaus mažinimo 2016–2018 metų veiksmų (priemonių) plano patvirtinimo“, vykdymą </w:t>
            </w:r>
          </w:p>
        </w:tc>
        <w:tc>
          <w:tcPr>
            <w:tcW w:w="993" w:type="dxa"/>
          </w:tcPr>
          <w:p w:rsidR="00610C04" w:rsidRPr="00C16BAE" w:rsidRDefault="00610C04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Savivaldybės ekstremaliųjų situacijų valdymo plane nurodytų užduočių vykdymo sutarčių rengimą (pratęsimą)</w:t>
            </w:r>
          </w:p>
        </w:tc>
        <w:tc>
          <w:tcPr>
            <w:tcW w:w="993" w:type="dxa"/>
          </w:tcPr>
          <w:p w:rsidR="00610C04" w:rsidRPr="00C16BAE" w:rsidRDefault="00607ED2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373" w:rsidRPr="00C1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B33FEC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laikino žmonių apgyvendinimo</w:t>
            </w:r>
          </w:p>
        </w:tc>
        <w:tc>
          <w:tcPr>
            <w:tcW w:w="993" w:type="dxa"/>
          </w:tcPr>
          <w:p w:rsidR="00610C04" w:rsidRPr="00C16BAE" w:rsidRDefault="00610C04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B33FEC"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0C04" w:rsidRPr="00C16BAE" w:rsidRDefault="00610C04" w:rsidP="003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Dėl gyventojų perspėjimo sirenomis sistemos (toliau – PSS) techninės įrangos priežiūros </w:t>
            </w:r>
          </w:p>
        </w:tc>
        <w:tc>
          <w:tcPr>
            <w:tcW w:w="993" w:type="dxa"/>
          </w:tcPr>
          <w:p w:rsidR="00610C04" w:rsidRPr="00C16BAE" w:rsidRDefault="00610C04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85" w:type="dxa"/>
          </w:tcPr>
          <w:p w:rsidR="00EF21BF" w:rsidRPr="00C16BAE" w:rsidRDefault="006B05FA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Parengti S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teritorijos 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gyventojų civilinės saugos švietimo priemonių planą</w:t>
            </w:r>
          </w:p>
          <w:p w:rsidR="00EF21BF" w:rsidRPr="00C16BAE" w:rsidRDefault="00EF21BF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1D5FB2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E674AF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E674AF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E674A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FA" w:rsidRPr="00C16BAE" w:rsidTr="00E83EC7">
        <w:tc>
          <w:tcPr>
            <w:tcW w:w="993" w:type="dxa"/>
          </w:tcPr>
          <w:p w:rsidR="006B05FA" w:rsidRPr="00C16BAE" w:rsidRDefault="006B05FA" w:rsidP="002B0A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B05FA" w:rsidRPr="00C16BAE" w:rsidRDefault="006B05FA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Rengti seminarus civilinės saugos klausimais įmonių, įstaigų atsakingiems už civilinę saugą darbuotojams</w:t>
            </w:r>
          </w:p>
        </w:tc>
        <w:tc>
          <w:tcPr>
            <w:tcW w:w="993" w:type="dxa"/>
          </w:tcPr>
          <w:p w:rsidR="00610C04" w:rsidRPr="00C16BAE" w:rsidRDefault="00186227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Kartą per ketvirtį pagal MCSS patvirtintą grafiką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Kartą per ketvirtį pagal MCSS patvirtintą grafiką</w:t>
            </w:r>
          </w:p>
          <w:p w:rsidR="006F4334" w:rsidRPr="00C16BAE" w:rsidRDefault="006F433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4" w:rsidRPr="00C16BAE" w:rsidRDefault="00B9392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Kartą per ketvirtį pagal MCSS patvirtintą grafiką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DE0C3F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Atlikti gyventojų PSS techninės įrangos inventorizaciją</w:t>
            </w:r>
          </w:p>
        </w:tc>
        <w:tc>
          <w:tcPr>
            <w:tcW w:w="993" w:type="dxa"/>
          </w:tcPr>
          <w:p w:rsidR="00610C04" w:rsidRPr="00C16BAE" w:rsidRDefault="00186227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ED2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9374C6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Tobulinti gyventojų PSS ir užtikrinti jos techninę priežiūrą bei veikimą</w:t>
            </w:r>
          </w:p>
        </w:tc>
        <w:tc>
          <w:tcPr>
            <w:tcW w:w="993" w:type="dxa"/>
          </w:tcPr>
          <w:p w:rsidR="00610C04" w:rsidRPr="00C16BAE" w:rsidRDefault="00607ED2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15/100</w:t>
            </w: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Laipsniškai modernizuoti gyventojų PSS</w:t>
            </w:r>
          </w:p>
        </w:tc>
        <w:tc>
          <w:tcPr>
            <w:tcW w:w="993" w:type="dxa"/>
          </w:tcPr>
          <w:p w:rsidR="00610C04" w:rsidRPr="00C16BAE" w:rsidRDefault="00610C04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F6284C" w:rsidP="00D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0C3F" w:rsidRPr="00C16BAE">
              <w:rPr>
                <w:rFonts w:ascii="Times New Roman" w:hAnsi="Times New Roman" w:cs="Times New Roman"/>
                <w:sz w:val="24"/>
                <w:szCs w:val="24"/>
              </w:rPr>
              <w:t>sant finansavi-mui</w:t>
            </w:r>
          </w:p>
          <w:p w:rsidR="00CC28A9" w:rsidRPr="00C16BAE" w:rsidRDefault="00CC28A9" w:rsidP="00D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rPr>
          <w:trHeight w:val="1798"/>
        </w:trPr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3685" w:type="dxa"/>
          </w:tcPr>
          <w:p w:rsidR="00610C04" w:rsidRPr="00C16BAE" w:rsidRDefault="00610C04" w:rsidP="00A0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Patikrinti gyventojų PSS veikimą įjungiant gyventojų perspėjimo sirenas</w:t>
            </w:r>
          </w:p>
        </w:tc>
        <w:tc>
          <w:tcPr>
            <w:tcW w:w="993" w:type="dxa"/>
          </w:tcPr>
          <w:p w:rsidR="00610C04" w:rsidRPr="00C16BAE" w:rsidRDefault="00610C04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</w:p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metus pagal PAGD patvirtintą grafiką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</w:p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metus pagal PAGD patvirtintą grafiką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</w:p>
          <w:p w:rsidR="00610C04" w:rsidRPr="00C16BAE" w:rsidRDefault="00610C04" w:rsidP="00F3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metus pagal PAGD patvirtintą grafiką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MCSS,</w:t>
            </w:r>
          </w:p>
          <w:p w:rsidR="00A40C1D" w:rsidRPr="00C16BAE" w:rsidRDefault="003F27D0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monės, vykdančios techninę PSS priežiūrą, specialistai</w:t>
            </w:r>
          </w:p>
        </w:tc>
        <w:tc>
          <w:tcPr>
            <w:tcW w:w="1276" w:type="dxa"/>
          </w:tcPr>
          <w:p w:rsidR="00610C04" w:rsidRPr="00C16BAE" w:rsidRDefault="00610C04" w:rsidP="00A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3685" w:type="dxa"/>
          </w:tcPr>
          <w:p w:rsidR="00610C04" w:rsidRPr="00C16BAE" w:rsidRDefault="00610C04" w:rsidP="00A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Patikrinti gyventojų PSS veikimą tyliuoju būdu</w:t>
            </w:r>
          </w:p>
        </w:tc>
        <w:tc>
          <w:tcPr>
            <w:tcW w:w="993" w:type="dxa"/>
          </w:tcPr>
          <w:p w:rsidR="00610C04" w:rsidRPr="00C16BAE" w:rsidRDefault="00610C04" w:rsidP="0060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CC28A9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artą per mėnesį</w:t>
            </w:r>
          </w:p>
          <w:p w:rsidR="00610C04" w:rsidRPr="00C16BAE" w:rsidRDefault="00610C04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PAGD patvirtintą grafiką</w:t>
            </w:r>
          </w:p>
        </w:tc>
        <w:tc>
          <w:tcPr>
            <w:tcW w:w="992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CC28A9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artą per mėnesį</w:t>
            </w:r>
          </w:p>
          <w:p w:rsidR="00610C04" w:rsidRPr="00C16BAE" w:rsidRDefault="00610C04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PAGD patvirtintą grafiką</w:t>
            </w:r>
          </w:p>
          <w:p w:rsidR="00CC28A9" w:rsidRPr="00C16BAE" w:rsidRDefault="00CC28A9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CC28A9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artą per mėnesį</w:t>
            </w:r>
          </w:p>
          <w:p w:rsidR="00610C04" w:rsidRPr="00C16BAE" w:rsidRDefault="00610C04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PAGD patvirtintą grafiką</w:t>
            </w:r>
          </w:p>
        </w:tc>
        <w:tc>
          <w:tcPr>
            <w:tcW w:w="1134" w:type="dxa"/>
          </w:tcPr>
          <w:p w:rsidR="00610C04" w:rsidRPr="00C16BAE" w:rsidRDefault="00610C04" w:rsidP="0020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MCSS,</w:t>
            </w:r>
          </w:p>
          <w:p w:rsidR="00610C04" w:rsidRPr="00C16BAE" w:rsidRDefault="00270C90" w:rsidP="002B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monės, vykdančios techninę PSS priežiūrą, specialistai</w:t>
            </w:r>
          </w:p>
        </w:tc>
        <w:tc>
          <w:tcPr>
            <w:tcW w:w="1276" w:type="dxa"/>
          </w:tcPr>
          <w:p w:rsidR="00610C04" w:rsidRPr="00C16BAE" w:rsidRDefault="00610C04" w:rsidP="00E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8A1B8A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B6C27" w:rsidRPr="00C16BAE" w:rsidRDefault="008A1B8A" w:rsidP="0024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Tobulinti Savivaldybės ekstremaliųjų situacijų valdymo organų veiksmų koordinavimo įgūdžius</w:t>
            </w:r>
          </w:p>
          <w:p w:rsidR="00E83EC7" w:rsidRPr="00C16BAE" w:rsidRDefault="00E83EC7" w:rsidP="0024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2B70AC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/>
        </w:tc>
      </w:tr>
      <w:tr w:rsidR="00E97324" w:rsidRPr="00C16BAE" w:rsidTr="00E83EC7">
        <w:tc>
          <w:tcPr>
            <w:tcW w:w="993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11</w:t>
            </w:r>
          </w:p>
        </w:tc>
      </w:tr>
      <w:tr w:rsidR="00E92A9A" w:rsidRPr="00C16BAE" w:rsidTr="00E83EC7">
        <w:tc>
          <w:tcPr>
            <w:tcW w:w="993" w:type="dxa"/>
          </w:tcPr>
          <w:p w:rsidR="00E92A9A" w:rsidRPr="00C16BAE" w:rsidRDefault="00E92A9A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A76"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2A9A" w:rsidRPr="00C16BAE" w:rsidRDefault="00E92A9A" w:rsidP="00E9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Stalo pratybos tema ,,Savivaldybės ekstremaliųjų situacijų valdymo organų, miesto nuolatinės parengties tarnybų veiksmai teroristinio išpuolio atveju“</w:t>
            </w:r>
          </w:p>
        </w:tc>
        <w:tc>
          <w:tcPr>
            <w:tcW w:w="993" w:type="dxa"/>
          </w:tcPr>
          <w:p w:rsidR="00E92A9A" w:rsidRPr="00C16BAE" w:rsidRDefault="0036681F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6E1C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II–III ketvirtis</w:t>
            </w:r>
          </w:p>
        </w:tc>
        <w:tc>
          <w:tcPr>
            <w:tcW w:w="992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A9A" w:rsidRPr="00C16BAE" w:rsidRDefault="00072A76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A9A" w:rsidRPr="00C16BAE" w:rsidRDefault="00072A76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A9A" w:rsidRPr="00C16BAE" w:rsidRDefault="00A021C2" w:rsidP="002B70AC">
            <w:pPr>
              <w:jc w:val="center"/>
            </w:pPr>
            <w:r w:rsidRPr="00C16BAE">
              <w:rPr>
                <w:rFonts w:ascii="Times New Roman" w:hAnsi="Times New Roman" w:cs="Times New Roman"/>
              </w:rPr>
              <w:t>MCSS</w:t>
            </w:r>
          </w:p>
        </w:tc>
        <w:tc>
          <w:tcPr>
            <w:tcW w:w="1276" w:type="dxa"/>
          </w:tcPr>
          <w:p w:rsidR="00E92A9A" w:rsidRPr="00C16BAE" w:rsidRDefault="00E92A9A"/>
        </w:tc>
      </w:tr>
      <w:tr w:rsidR="00E92A9A" w:rsidRPr="00C16BAE" w:rsidTr="00E83EC7">
        <w:tc>
          <w:tcPr>
            <w:tcW w:w="993" w:type="dxa"/>
          </w:tcPr>
          <w:p w:rsidR="00E92A9A" w:rsidRPr="00C16BAE" w:rsidRDefault="00E92A9A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A76"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2A9A" w:rsidRPr="00C16BAE" w:rsidRDefault="00E92A9A" w:rsidP="00E9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Savivaldybės lygio civilinės saugos funkcinės pratybos</w:t>
            </w:r>
          </w:p>
        </w:tc>
        <w:tc>
          <w:tcPr>
            <w:tcW w:w="993" w:type="dxa"/>
          </w:tcPr>
          <w:p w:rsidR="00E92A9A" w:rsidRPr="00C16BAE" w:rsidRDefault="00E92A9A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A9A" w:rsidRPr="00C16BAE" w:rsidRDefault="00E92A9A" w:rsidP="00E9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A9A" w:rsidRPr="00C16BAE" w:rsidRDefault="00A021C2" w:rsidP="002B70AC">
            <w:pPr>
              <w:jc w:val="center"/>
            </w:pPr>
            <w:r w:rsidRPr="00C16BAE">
              <w:rPr>
                <w:rFonts w:ascii="Times New Roman" w:hAnsi="Times New Roman" w:cs="Times New Roman"/>
              </w:rPr>
              <w:t>MCSS</w:t>
            </w:r>
          </w:p>
        </w:tc>
        <w:tc>
          <w:tcPr>
            <w:tcW w:w="1276" w:type="dxa"/>
          </w:tcPr>
          <w:p w:rsidR="00E92A9A" w:rsidRPr="00C16BAE" w:rsidRDefault="00E92A9A"/>
        </w:tc>
      </w:tr>
      <w:tr w:rsidR="00E92A9A" w:rsidRPr="00C16BAE" w:rsidTr="00E83EC7">
        <w:tc>
          <w:tcPr>
            <w:tcW w:w="993" w:type="dxa"/>
          </w:tcPr>
          <w:p w:rsidR="00E92A9A" w:rsidRPr="00C16BAE" w:rsidRDefault="00E92A9A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A76" w:rsidRPr="00C16BA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2A9A" w:rsidRPr="00C16BAE" w:rsidRDefault="00E92A9A" w:rsidP="00E9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Savivaldybės lygio civilinės saugos stalo pratybos</w:t>
            </w:r>
          </w:p>
          <w:p w:rsidR="00050E25" w:rsidRPr="00C16BAE" w:rsidRDefault="00050E25" w:rsidP="00E9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25" w:rsidRPr="00C16BAE" w:rsidRDefault="00050E25" w:rsidP="00E9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A9A" w:rsidRPr="00C16BAE" w:rsidRDefault="00E92A9A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A9A" w:rsidRPr="00C16BAE" w:rsidRDefault="00E92A9A" w:rsidP="00E9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1134" w:type="dxa"/>
          </w:tcPr>
          <w:p w:rsidR="00E92A9A" w:rsidRPr="00C16BAE" w:rsidRDefault="00E92A9A" w:rsidP="005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A9A" w:rsidRPr="00C16BAE" w:rsidRDefault="00A021C2" w:rsidP="002B70AC">
            <w:pPr>
              <w:jc w:val="center"/>
            </w:pPr>
            <w:r w:rsidRPr="00C16BAE">
              <w:rPr>
                <w:rFonts w:ascii="Times New Roman" w:hAnsi="Times New Roman" w:cs="Times New Roman"/>
              </w:rPr>
              <w:t>MCSS</w:t>
            </w:r>
          </w:p>
        </w:tc>
        <w:tc>
          <w:tcPr>
            <w:tcW w:w="1276" w:type="dxa"/>
          </w:tcPr>
          <w:p w:rsidR="00E92A9A" w:rsidRPr="00C16BAE" w:rsidRDefault="00E92A9A"/>
        </w:tc>
      </w:tr>
      <w:tr w:rsidR="00610C04" w:rsidRPr="00C16BAE" w:rsidTr="00E83EC7">
        <w:tc>
          <w:tcPr>
            <w:tcW w:w="993" w:type="dxa"/>
          </w:tcPr>
          <w:p w:rsidR="00610C04" w:rsidRPr="00C16BAE" w:rsidRDefault="003716A3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A76"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716A3" w:rsidRPr="00C16BAE" w:rsidRDefault="00610C04" w:rsidP="00E9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Periodiškai kelti kvalifikaciją K</w:t>
            </w:r>
            <w:r w:rsidR="003716A3" w:rsidRPr="00C16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PGV ir Ugniagesių gelbėtojų mokyklos rengiamuose civilinės saugos kursuose </w:t>
            </w:r>
            <w:r w:rsidR="003716A3" w:rsidRPr="00C16BA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turėti nustatytos kategorijos asmenims galiojantį civilinės saugos pažymėjimą (pagal Civilinės saugos mokymo tvarkos aprašo 1 ir 2 priedus)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6E1C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poreikį ir atsižvel-giant į KAPGV</w:t>
            </w:r>
          </w:p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patvirtintą grafiką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poreikį ir atsižvel-giant į KAPGV</w:t>
            </w:r>
          </w:p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patvirtintą grafiką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poreikį ir atsižvel-giant į KAPGV</w:t>
            </w:r>
          </w:p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patvir</w:t>
            </w:r>
            <w:r w:rsidR="00A021C2" w:rsidRPr="00C16BAE">
              <w:rPr>
                <w:rFonts w:ascii="Times New Roman" w:hAnsi="Times New Roman" w:cs="Times New Roman"/>
                <w:sz w:val="24"/>
                <w:szCs w:val="24"/>
              </w:rPr>
              <w:t>tintą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grafiką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A021C2" w:rsidP="003935CD">
            <w:pPr>
              <w:jc w:val="center"/>
            </w:pPr>
            <w:r w:rsidRPr="00C16BAE">
              <w:rPr>
                <w:rFonts w:ascii="Times New Roman" w:hAnsi="Times New Roman" w:cs="Times New Roman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32357F" w:rsidRPr="00C16BAE" w:rsidTr="00E83EC7">
        <w:tc>
          <w:tcPr>
            <w:tcW w:w="993" w:type="dxa"/>
          </w:tcPr>
          <w:p w:rsidR="0032357F" w:rsidRPr="00C16BAE" w:rsidRDefault="0032357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A76"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2357F" w:rsidRPr="00C16BAE" w:rsidRDefault="0032357F" w:rsidP="0032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Dalyvauti valstybės institucijų, gretimų ar kitų  savivaldybių, ūkio subjektų, įstaigų rengiamose civilinės saugos pratybose</w:t>
            </w:r>
          </w:p>
          <w:p w:rsidR="00E97324" w:rsidRPr="00C16BAE" w:rsidRDefault="00E97324" w:rsidP="0032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357F" w:rsidRPr="00C16BAE" w:rsidRDefault="00A021C2" w:rsidP="00FD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E1C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I–IV ketvirtis</w:t>
            </w:r>
          </w:p>
        </w:tc>
        <w:tc>
          <w:tcPr>
            <w:tcW w:w="992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I–IV ketvirtis</w:t>
            </w:r>
          </w:p>
        </w:tc>
        <w:tc>
          <w:tcPr>
            <w:tcW w:w="1134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I–IV ketvirtis</w:t>
            </w:r>
          </w:p>
        </w:tc>
        <w:tc>
          <w:tcPr>
            <w:tcW w:w="1134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32357F" w:rsidRPr="00C16BAE" w:rsidRDefault="0032357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r w:rsidR="00240B1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po-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reikiui</w:t>
            </w:r>
            <w:r w:rsidR="00240B1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ir kvietimui dalyvauti</w:t>
            </w:r>
          </w:p>
        </w:tc>
      </w:tr>
      <w:tr w:rsidR="00610C04" w:rsidRPr="00C16BAE" w:rsidTr="00E83EC7">
        <w:trPr>
          <w:trHeight w:val="1381"/>
        </w:trPr>
        <w:tc>
          <w:tcPr>
            <w:tcW w:w="993" w:type="dxa"/>
          </w:tcPr>
          <w:p w:rsidR="00610C04" w:rsidRPr="00C16BAE" w:rsidRDefault="0033037D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458A2" w:rsidRPr="00C16BAE" w:rsidRDefault="00610C04" w:rsidP="0024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Pasirengti reaguoti į susidariusias ekstremaliąsias situacijas galimiems nuostoliams ir padariniams sumažinti, </w:t>
            </w:r>
            <w:r w:rsidR="00D77AD8" w:rsidRPr="00C16BAE">
              <w:rPr>
                <w:rFonts w:ascii="Times New Roman" w:hAnsi="Times New Roman" w:cs="Times New Roman"/>
                <w:sz w:val="24"/>
                <w:szCs w:val="24"/>
              </w:rPr>
              <w:t>padariniams šalinti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3935CD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C387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610C04" w:rsidRPr="00C16BAE" w:rsidRDefault="00610C04" w:rsidP="0024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Gaisro kilimo pavojaus mažinimo prevencijos priemonės</w:t>
            </w:r>
          </w:p>
        </w:tc>
        <w:tc>
          <w:tcPr>
            <w:tcW w:w="993" w:type="dxa"/>
          </w:tcPr>
          <w:p w:rsidR="00610C04" w:rsidRPr="00C16BAE" w:rsidRDefault="00610C04" w:rsidP="0052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C5D"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CD1"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3935CD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DC3871" w:rsidRPr="00C16BAE" w:rsidTr="00E83EC7">
        <w:tc>
          <w:tcPr>
            <w:tcW w:w="993" w:type="dxa"/>
          </w:tcPr>
          <w:p w:rsidR="00DC3871" w:rsidRPr="00C16BAE" w:rsidRDefault="00DC387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85" w:type="dxa"/>
          </w:tcPr>
          <w:p w:rsidR="00DC3871" w:rsidRPr="00C16BAE" w:rsidRDefault="00DC3871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Surengti ESK posėdį dėl pasirengimo gaisrams atvirose teritorijose</w:t>
            </w:r>
          </w:p>
          <w:p w:rsidR="00E97324" w:rsidRPr="00C16BAE" w:rsidRDefault="00E97324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871" w:rsidRPr="00C16BAE" w:rsidRDefault="00DC3871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992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134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134" w:type="dxa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871" w:rsidRPr="00C16BAE" w:rsidRDefault="00DC387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ESK p</w:t>
            </w:r>
            <w:r w:rsidR="00DC55C8" w:rsidRPr="00C16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rmininko pavaduotojas</w:t>
            </w:r>
          </w:p>
        </w:tc>
        <w:tc>
          <w:tcPr>
            <w:tcW w:w="1276" w:type="dxa"/>
          </w:tcPr>
          <w:p w:rsidR="00DC3871" w:rsidRPr="00C16BAE" w:rsidRDefault="00DC3871" w:rsidP="003935CD">
            <w:pPr>
              <w:jc w:val="center"/>
            </w:pPr>
          </w:p>
        </w:tc>
      </w:tr>
      <w:tr w:rsidR="00E97324" w:rsidRPr="00C16BAE" w:rsidTr="00E83EC7">
        <w:tc>
          <w:tcPr>
            <w:tcW w:w="993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97324" w:rsidRPr="00C16BAE" w:rsidRDefault="00E97324" w:rsidP="002B0AB3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11</w:t>
            </w:r>
          </w:p>
        </w:tc>
      </w:tr>
      <w:tr w:rsidR="0045195D" w:rsidRPr="00C16BAE" w:rsidTr="00E83EC7">
        <w:tc>
          <w:tcPr>
            <w:tcW w:w="993" w:type="dxa"/>
          </w:tcPr>
          <w:p w:rsidR="0045195D" w:rsidRPr="00C16BAE" w:rsidRDefault="00803765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85" w:type="dxa"/>
          </w:tcPr>
          <w:p w:rsidR="00535D00" w:rsidRPr="00C16BAE" w:rsidRDefault="0045195D" w:rsidP="0098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Parengti Savivaldybės </w:t>
            </w:r>
            <w:r w:rsidR="00E97324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administracijos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Švietimo skyriaus (toliau – ŠS) vedėjo įsakymą dėl bendrų moksleivių ir pedagogų susirinkimų gaisrų keliamo pavojaus klausimais surengimo mokyklose ir kitose ugdymo įstaigose</w:t>
            </w:r>
          </w:p>
        </w:tc>
        <w:tc>
          <w:tcPr>
            <w:tcW w:w="993" w:type="dxa"/>
          </w:tcPr>
          <w:p w:rsidR="0045195D" w:rsidRPr="00C16BAE" w:rsidRDefault="0045195D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ŠS</w:t>
            </w:r>
          </w:p>
        </w:tc>
        <w:tc>
          <w:tcPr>
            <w:tcW w:w="1276" w:type="dxa"/>
          </w:tcPr>
          <w:p w:rsidR="0045195D" w:rsidRPr="00C16BAE" w:rsidRDefault="0045195D" w:rsidP="003935CD">
            <w:pPr>
              <w:jc w:val="center"/>
            </w:pPr>
          </w:p>
        </w:tc>
      </w:tr>
      <w:tr w:rsidR="0045195D" w:rsidRPr="00C16BAE" w:rsidTr="00E83EC7">
        <w:tc>
          <w:tcPr>
            <w:tcW w:w="993" w:type="dxa"/>
          </w:tcPr>
          <w:p w:rsidR="0045195D" w:rsidRPr="00C16BAE" w:rsidRDefault="00803765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685" w:type="dxa"/>
          </w:tcPr>
          <w:p w:rsidR="0045195D" w:rsidRPr="00C16BAE" w:rsidRDefault="00A310B1" w:rsidP="008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Seniūnijų interneto puslapiuose  paskelbti </w:t>
            </w:r>
            <w:r w:rsidR="008A31CB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ir prireikus </w:t>
            </w:r>
            <w:r w:rsidR="000C3A30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atnaujinti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informaciją apie gaisrų pavojų, jų padarinius, administracinę atsakomybę už priešgaisrinės saugos reikalavimų nesilaikymą</w:t>
            </w:r>
          </w:p>
        </w:tc>
        <w:tc>
          <w:tcPr>
            <w:tcW w:w="993" w:type="dxa"/>
          </w:tcPr>
          <w:p w:rsidR="0045195D" w:rsidRPr="00C16BAE" w:rsidRDefault="0045195D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A310B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Kovo–balandžio mėn.</w:t>
            </w: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A310B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Kovo–balandžio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A310B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Kovo–balandžio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95D" w:rsidRPr="00C16BAE" w:rsidRDefault="00A310B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Seniūnai</w:t>
            </w:r>
          </w:p>
        </w:tc>
        <w:tc>
          <w:tcPr>
            <w:tcW w:w="1276" w:type="dxa"/>
          </w:tcPr>
          <w:p w:rsidR="0045195D" w:rsidRPr="00C16BAE" w:rsidRDefault="0045195D"/>
        </w:tc>
      </w:tr>
      <w:tr w:rsidR="0045195D" w:rsidRPr="00C16BAE" w:rsidTr="00E83EC7">
        <w:tc>
          <w:tcPr>
            <w:tcW w:w="993" w:type="dxa"/>
          </w:tcPr>
          <w:p w:rsidR="0045195D" w:rsidRPr="00C16BAE" w:rsidRDefault="00803765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685" w:type="dxa"/>
          </w:tcPr>
          <w:p w:rsidR="0045195D" w:rsidRPr="00C16BAE" w:rsidRDefault="002D1218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Organizuoti Savivaldybės administracijos Viešosios tvarkos skyriaus (toliau </w:t>
            </w:r>
            <w:r w:rsidR="00A210E7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 VTS) ir seniūnijų specialistų bendrus reidus dėl žolės deginimo, laužaviečių neteisėto įrengimo miško parkuose ir kituose žaliuosiuose plotuose, viešosios tvarkos pažeidimų paplūdimiuose</w:t>
            </w:r>
          </w:p>
        </w:tc>
        <w:tc>
          <w:tcPr>
            <w:tcW w:w="993" w:type="dxa"/>
          </w:tcPr>
          <w:p w:rsidR="0045195D" w:rsidRPr="00C16BAE" w:rsidRDefault="0045195D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2D1218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Balandžio–</w:t>
            </w:r>
            <w:r w:rsidR="002918F4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ugpjūčio mėn.</w:t>
            </w: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2D1218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Balandžio–rugpjūčio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2D1218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Balandžio–rugpjūčio mėn.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95D" w:rsidRPr="00C16BAE" w:rsidRDefault="002D1218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VTS, seniūnai</w:t>
            </w:r>
          </w:p>
        </w:tc>
        <w:tc>
          <w:tcPr>
            <w:tcW w:w="1276" w:type="dxa"/>
          </w:tcPr>
          <w:p w:rsidR="0045195D" w:rsidRPr="00C16BAE" w:rsidRDefault="0045195D"/>
        </w:tc>
      </w:tr>
      <w:tr w:rsidR="0045195D" w:rsidRPr="00C16BAE" w:rsidTr="00E83EC7">
        <w:tc>
          <w:tcPr>
            <w:tcW w:w="993" w:type="dxa"/>
          </w:tcPr>
          <w:p w:rsidR="0045195D" w:rsidRPr="00C16BAE" w:rsidRDefault="00803765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685" w:type="dxa"/>
          </w:tcPr>
          <w:p w:rsidR="0032058F" w:rsidRPr="00C16BAE" w:rsidRDefault="00803765" w:rsidP="0001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Įrengti </w:t>
            </w:r>
            <w:r w:rsidR="000145F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ir prireikus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atnaujinti </w:t>
            </w:r>
            <w:r w:rsidR="00B34A72" w:rsidRPr="00C16BAE">
              <w:rPr>
                <w:rFonts w:ascii="Times New Roman" w:hAnsi="Times New Roman" w:cs="Times New Roman"/>
                <w:sz w:val="24"/>
                <w:szCs w:val="24"/>
              </w:rPr>
              <w:t>informacinius stendus miško parkuose ir kitose poilsiautojų susibūrimo vietose</w:t>
            </w:r>
          </w:p>
          <w:p w:rsidR="0098371C" w:rsidRPr="00C16BAE" w:rsidRDefault="0098371C" w:rsidP="0001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195D" w:rsidRPr="00C16BAE" w:rsidRDefault="0045195D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B34A7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5048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    </w:t>
            </w:r>
            <w:r w:rsidR="00B34A72"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B34A7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95D" w:rsidRPr="00C16BAE" w:rsidRDefault="00B34A7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Aplinkos apsaugos sk</w:t>
            </w:r>
            <w:r w:rsidR="00A5331C" w:rsidRPr="00C16BAE">
              <w:rPr>
                <w:rFonts w:ascii="Times New Roman" w:hAnsi="Times New Roman" w:cs="Times New Roman"/>
                <w:sz w:val="24"/>
                <w:szCs w:val="24"/>
              </w:rPr>
              <w:t>yrius</w:t>
            </w:r>
          </w:p>
        </w:tc>
        <w:tc>
          <w:tcPr>
            <w:tcW w:w="1276" w:type="dxa"/>
          </w:tcPr>
          <w:p w:rsidR="0045195D" w:rsidRPr="00C16BAE" w:rsidRDefault="00B34A72" w:rsidP="00B34A7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45195D" w:rsidRPr="00C16BAE" w:rsidTr="00E83EC7">
        <w:tc>
          <w:tcPr>
            <w:tcW w:w="993" w:type="dxa"/>
          </w:tcPr>
          <w:p w:rsidR="0045195D" w:rsidRPr="00C16BAE" w:rsidRDefault="00E7182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:rsidR="0098371C" w:rsidRPr="00C16BAE" w:rsidRDefault="006C294B" w:rsidP="00E8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>chinio meteorologinio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reiškinio (</w:t>
            </w:r>
            <w:r w:rsidR="00E7182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labai smarkus vėjas, škvalas, uraganas, labai smarkus lietus, labai smarkus snygis, 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labai smarki pūga, </w:t>
            </w:r>
            <w:r w:rsidR="00E7182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labai smarki lijundra,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labai didelis speigas,</w:t>
            </w:r>
            <w:r w:rsidR="00E7182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kaitra, saus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821" w:rsidRPr="00C16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82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pavojaus ir galimų padarinių mažinimo prevencijos priemonės </w:t>
            </w:r>
          </w:p>
        </w:tc>
        <w:tc>
          <w:tcPr>
            <w:tcW w:w="993" w:type="dxa"/>
          </w:tcPr>
          <w:p w:rsidR="0045195D" w:rsidRPr="00C16BAE" w:rsidRDefault="00BA4CD1" w:rsidP="0052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C5D"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95D" w:rsidRPr="00C16BAE" w:rsidRDefault="0045195D"/>
        </w:tc>
      </w:tr>
      <w:tr w:rsidR="0098371C" w:rsidRPr="00C16BAE" w:rsidTr="00E83EC7">
        <w:tc>
          <w:tcPr>
            <w:tcW w:w="993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371C" w:rsidRPr="00C16BAE" w:rsidRDefault="0098371C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195D" w:rsidRPr="00C16BAE" w:rsidTr="00E83EC7">
        <w:tc>
          <w:tcPr>
            <w:tcW w:w="993" w:type="dxa"/>
          </w:tcPr>
          <w:p w:rsidR="0045195D" w:rsidRPr="00C16BAE" w:rsidRDefault="00E7182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685" w:type="dxa"/>
          </w:tcPr>
          <w:p w:rsidR="006B5299" w:rsidRPr="00C16BAE" w:rsidRDefault="00E71821" w:rsidP="0083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Gavus pranešimą apie pavojingo meteorologinio reiškinio grėsmę informuoti Savivaldybė</w:t>
            </w:r>
            <w:r w:rsidR="0098371C" w:rsidRPr="00C16BAE">
              <w:rPr>
                <w:rFonts w:ascii="Times New Roman" w:hAnsi="Times New Roman" w:cs="Times New Roman"/>
                <w:sz w:val="24"/>
                <w:szCs w:val="24"/>
              </w:rPr>
              <w:t>s administracijos darbuotojus, 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avivaldybės įstaigas, seniūnus, ūkio subjektų, kurių veiklai gresia pavojus, vadovus</w:t>
            </w:r>
          </w:p>
        </w:tc>
        <w:tc>
          <w:tcPr>
            <w:tcW w:w="993" w:type="dxa"/>
          </w:tcPr>
          <w:p w:rsidR="0045195D" w:rsidRPr="00C16BAE" w:rsidRDefault="0045195D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E7182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992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5D" w:rsidRPr="00C16BAE" w:rsidRDefault="00E7182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95D" w:rsidRPr="00C16BAE" w:rsidRDefault="00E7182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1134" w:type="dxa"/>
          </w:tcPr>
          <w:p w:rsidR="0045195D" w:rsidRPr="00C16BAE" w:rsidRDefault="004519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821" w:rsidRPr="00C16BAE" w:rsidRDefault="00E7182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MCSS,</w:t>
            </w:r>
          </w:p>
          <w:p w:rsidR="0045195D" w:rsidRPr="00C16BAE" w:rsidRDefault="00E7182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seniūnai</w:t>
            </w:r>
          </w:p>
        </w:tc>
        <w:tc>
          <w:tcPr>
            <w:tcW w:w="1276" w:type="dxa"/>
          </w:tcPr>
          <w:p w:rsidR="0045195D" w:rsidRPr="00C16BAE" w:rsidRDefault="00E7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1A3592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685" w:type="dxa"/>
          </w:tcPr>
          <w:p w:rsidR="00FA700F" w:rsidRPr="00C16BAE" w:rsidRDefault="00477EC4" w:rsidP="0082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Parengti ir perduoti gyventojams informaciją apie gresiantį pavojingą meteorologinį reiškinį, jo keliamą pavojų, priemones pasekmėms sumažinti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477EC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477EC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477EC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Gresiant pavojingam reiškiniui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7EC4" w:rsidRPr="00C16BAE" w:rsidRDefault="00477EC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MCSS,</w:t>
            </w:r>
          </w:p>
          <w:p w:rsidR="00610C04" w:rsidRPr="00C16BAE" w:rsidRDefault="00477EC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seniūnai</w:t>
            </w:r>
          </w:p>
        </w:tc>
        <w:tc>
          <w:tcPr>
            <w:tcW w:w="1276" w:type="dxa"/>
          </w:tcPr>
          <w:p w:rsidR="00610C04" w:rsidRPr="00C16BAE" w:rsidRDefault="0047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9B38AF" w:rsidRPr="00C16BAE" w:rsidTr="002B0AB3">
        <w:trPr>
          <w:trHeight w:val="1104"/>
        </w:trPr>
        <w:tc>
          <w:tcPr>
            <w:tcW w:w="993" w:type="dxa"/>
          </w:tcPr>
          <w:p w:rsidR="009B38AF" w:rsidRPr="00C16BAE" w:rsidRDefault="009B38A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  <w:p w:rsidR="009B38AF" w:rsidRPr="00C16BAE" w:rsidRDefault="009B38A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8AF" w:rsidRPr="00C16BAE" w:rsidRDefault="009B38AF" w:rsidP="009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Organizuoti sutarties dėl automobilinio krano paslaugų teikimo rengimą (pratęsimą) </w:t>
            </w:r>
          </w:p>
        </w:tc>
        <w:tc>
          <w:tcPr>
            <w:tcW w:w="993" w:type="dxa"/>
          </w:tcPr>
          <w:p w:rsidR="009B38AF" w:rsidRPr="00C16BAE" w:rsidRDefault="009B38AF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38AF" w:rsidRPr="00C16BAE" w:rsidRDefault="009B38A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9B38AF" w:rsidRPr="00C16BAE" w:rsidRDefault="009B38AF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38AF" w:rsidRPr="00C16BAE" w:rsidRDefault="009B38A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9B38AF" w:rsidRPr="00C16BAE" w:rsidRDefault="009B38AF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38AF" w:rsidRPr="00C16BAE" w:rsidRDefault="009B38A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9B38AF" w:rsidRPr="00C16BAE" w:rsidRDefault="009B38AF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8AF" w:rsidRPr="00C16BAE" w:rsidRDefault="009B38AF" w:rsidP="003935CD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9B38AF" w:rsidRPr="00C16BAE" w:rsidRDefault="009B38AF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77AD8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5A32"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94B"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A32"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94B"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54903" w:rsidRPr="00C16BAE" w:rsidRDefault="00945A32" w:rsidP="009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Surengti pasitarimą dėl pasirengimo šaltajam metų periodui, įvertinti Savivaldybės institucijų ir įstaigų, ūkio subjektų, kitų įstaigų pasirengimą, užtikrinti šilumos energijos, elektros</w:t>
            </w:r>
            <w:r w:rsidR="009B38A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tiekimo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, vandentiekio ir kitų paslaugų teikimą</w:t>
            </w:r>
          </w:p>
          <w:p w:rsidR="009B38AF" w:rsidRPr="00C16BAE" w:rsidRDefault="009B38AF" w:rsidP="009B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945A32" w:rsidP="003935CD">
            <w:pPr>
              <w:jc w:val="center"/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Energetikos skyrius</w:t>
            </w:r>
          </w:p>
        </w:tc>
        <w:tc>
          <w:tcPr>
            <w:tcW w:w="1276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945A32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685" w:type="dxa"/>
          </w:tcPr>
          <w:p w:rsidR="00610C04" w:rsidRPr="00C16BAE" w:rsidRDefault="00945A32" w:rsidP="003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Surengti pasitarimą su gyvenamuosius namus administruojančių įmonių vadovais, daugiabučių namų bendrijų pirmininkais, miesto avarinių tarnybų vadovais dėl pasiruošimo šildymo sezonui ir avarijų komunaliniuose tinkluose likvidavimo</w:t>
            </w:r>
          </w:p>
          <w:p w:rsidR="009B38AF" w:rsidRPr="00C16BAE" w:rsidRDefault="009B38AF" w:rsidP="0036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Energetikos skyrius</w:t>
            </w:r>
          </w:p>
        </w:tc>
        <w:tc>
          <w:tcPr>
            <w:tcW w:w="1276" w:type="dxa"/>
          </w:tcPr>
          <w:p w:rsidR="00610C04" w:rsidRPr="00C16BAE" w:rsidRDefault="00945A3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9B38AF" w:rsidRPr="00C16BAE" w:rsidTr="002B0AB3">
        <w:tc>
          <w:tcPr>
            <w:tcW w:w="993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38AF" w:rsidRPr="00C16BAE" w:rsidRDefault="009B38AF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625E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:rsidR="00610C04" w:rsidRPr="00C16BAE" w:rsidRDefault="00610C04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Pavojingos ar ypač pavojingos žmonių užkrečiamos</w:t>
            </w:r>
            <w:r w:rsidR="00D712E9" w:rsidRPr="00C16BAE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ligos protrūkio ar epidemijos kilimo pavojaus</w:t>
            </w:r>
            <w:r w:rsidR="009B38A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mažinimo prevencijos priemonės</w:t>
            </w:r>
          </w:p>
        </w:tc>
        <w:tc>
          <w:tcPr>
            <w:tcW w:w="993" w:type="dxa"/>
          </w:tcPr>
          <w:p w:rsidR="00610C04" w:rsidRPr="00C16BAE" w:rsidRDefault="00BA4CD1" w:rsidP="0052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C5D"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3935CD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625E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685" w:type="dxa"/>
          </w:tcPr>
          <w:p w:rsidR="00136307" w:rsidRPr="00C16BAE" w:rsidRDefault="00D625E1" w:rsidP="00D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 prireikus atnaujinti Savivaldybės pasirengimo gripo pandemijai planą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D625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0C04" w:rsidRPr="00C16BAE">
              <w:rPr>
                <w:rFonts w:ascii="Times New Roman" w:hAnsi="Times New Roman" w:cs="Times New Roman"/>
                <w:sz w:val="24"/>
                <w:szCs w:val="24"/>
              </w:rPr>
              <w:t>apkri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čio, gruodžio mėn.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D625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Lapkričio, gruodžio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D625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Lapkričio, gruodžio mėn.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D625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Sveikatos apsaugos skyrius</w:t>
            </w:r>
          </w:p>
        </w:tc>
        <w:tc>
          <w:tcPr>
            <w:tcW w:w="1276" w:type="dxa"/>
          </w:tcPr>
          <w:p w:rsidR="00610C04" w:rsidRPr="00C16BAE" w:rsidRDefault="00805CC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625E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685" w:type="dxa"/>
          </w:tcPr>
          <w:p w:rsidR="00E152F4" w:rsidRPr="00C16BAE" w:rsidRDefault="00D625E1" w:rsidP="00D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 atnaujinti priemonių, vykdomų gripo epidemijos metu, planą</w:t>
            </w:r>
          </w:p>
        </w:tc>
        <w:tc>
          <w:tcPr>
            <w:tcW w:w="993" w:type="dxa"/>
          </w:tcPr>
          <w:p w:rsidR="00610C04" w:rsidRPr="00C16BAE" w:rsidRDefault="00610C04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Sveikatos apsaugos skyrius</w:t>
            </w:r>
          </w:p>
        </w:tc>
        <w:tc>
          <w:tcPr>
            <w:tcW w:w="1276" w:type="dxa"/>
          </w:tcPr>
          <w:p w:rsidR="00610C04" w:rsidRPr="00C16BAE" w:rsidRDefault="00805CC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625E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685" w:type="dxa"/>
          </w:tcPr>
          <w:p w:rsidR="00610C04" w:rsidRPr="00C16BAE" w:rsidRDefault="00184491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Laiku organizuoti epidemijos paskelbimą ir jos atšaukimą Savivaldybės teritorijoje</w:t>
            </w:r>
          </w:p>
        </w:tc>
        <w:tc>
          <w:tcPr>
            <w:tcW w:w="993" w:type="dxa"/>
          </w:tcPr>
          <w:p w:rsidR="00610C04" w:rsidRPr="00C16BAE" w:rsidRDefault="00610C04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Pasiekus kr</w:t>
            </w:r>
            <w:r w:rsidR="00D712E9" w:rsidRPr="00C16BAE">
              <w:rPr>
                <w:rFonts w:ascii="Times New Roman" w:hAnsi="Times New Roman" w:cs="Times New Roman"/>
                <w:sz w:val="24"/>
                <w:szCs w:val="24"/>
              </w:rPr>
              <w:t>iterijų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Pasiekus kriterijų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Pasiekus kriterijų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18449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Sveikatos apsaugos skyrius</w:t>
            </w:r>
          </w:p>
        </w:tc>
        <w:tc>
          <w:tcPr>
            <w:tcW w:w="1276" w:type="dxa"/>
          </w:tcPr>
          <w:p w:rsidR="00CF1488" w:rsidRPr="00C16BAE" w:rsidRDefault="00184491" w:rsidP="003935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Nacionali</w:t>
            </w:r>
            <w:r w:rsidR="00C366D2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nio visuomenės sveikatos centro (toliau – NVSC) prie Sveikatos apsaugos ministerijos (toliau – SAM) pateiktas rekomenda</w:t>
            </w:r>
            <w:r w:rsidR="00C366D2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cijas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D625E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685" w:type="dxa"/>
          </w:tcPr>
          <w:p w:rsidR="00610C04" w:rsidRPr="00C16BAE" w:rsidRDefault="00BE7106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Savivaldybės darbuotojų skiepijimą sezoninio gripo vakcina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BE7106" w:rsidP="003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Aprūpinimo</w:t>
            </w:r>
            <w:r w:rsidR="00377F9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  <w:r w:rsidR="00EE7B32" w:rsidRPr="00C16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EA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Sveikatos apsaugos </w:t>
            </w:r>
            <w:r w:rsidR="00091EAD" w:rsidRPr="00C16BAE">
              <w:rPr>
                <w:rFonts w:ascii="Times New Roman" w:hAnsi="Times New Roman" w:cs="Times New Roman"/>
                <w:sz w:val="24"/>
                <w:szCs w:val="24"/>
              </w:rPr>
              <w:t>skyri</w:t>
            </w:r>
            <w:r w:rsidR="00377F9F" w:rsidRPr="00C16BA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276" w:type="dxa"/>
          </w:tcPr>
          <w:p w:rsidR="00610C04" w:rsidRPr="00C16BAE" w:rsidRDefault="00CA2D45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finansavi</w:t>
            </w:r>
            <w:r w:rsidR="003935CD" w:rsidRPr="00C1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mui</w:t>
            </w:r>
          </w:p>
        </w:tc>
      </w:tr>
      <w:tr w:rsidR="00023DA7" w:rsidRPr="00C16BAE" w:rsidTr="00E83EC7">
        <w:tc>
          <w:tcPr>
            <w:tcW w:w="993" w:type="dxa"/>
          </w:tcPr>
          <w:p w:rsidR="00023DA7" w:rsidRPr="00C16BAE" w:rsidRDefault="00996B66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685" w:type="dxa"/>
          </w:tcPr>
          <w:p w:rsidR="00023DA7" w:rsidRPr="00C16BAE" w:rsidRDefault="00023DA7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Koordinuoti asmens sveikatos priežiūros įstaigų pasirengimą galimai gripo epidemijai</w:t>
            </w:r>
          </w:p>
        </w:tc>
        <w:tc>
          <w:tcPr>
            <w:tcW w:w="993" w:type="dxa"/>
          </w:tcPr>
          <w:p w:rsidR="00023DA7" w:rsidRPr="00C16BAE" w:rsidRDefault="00023DA7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A7" w:rsidRPr="00C16BAE" w:rsidRDefault="00A50CB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Lapkričio, gruodžio mėn.</w:t>
            </w:r>
          </w:p>
        </w:tc>
        <w:tc>
          <w:tcPr>
            <w:tcW w:w="992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DA7" w:rsidRPr="00C16BAE" w:rsidRDefault="00A50CB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Lapkričio, gruodžio mėn.</w:t>
            </w:r>
          </w:p>
        </w:tc>
        <w:tc>
          <w:tcPr>
            <w:tcW w:w="1134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A7" w:rsidRPr="00C16BAE" w:rsidRDefault="00A50CB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Lapkričio, gruodžio mėn.</w:t>
            </w:r>
          </w:p>
        </w:tc>
        <w:tc>
          <w:tcPr>
            <w:tcW w:w="1134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3DA7" w:rsidRPr="00C16BAE" w:rsidRDefault="00A50CB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Sveikatos apsaugos skyrius</w:t>
            </w:r>
          </w:p>
        </w:tc>
        <w:tc>
          <w:tcPr>
            <w:tcW w:w="1276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E9" w:rsidRPr="00C16BAE" w:rsidTr="002B0AB3">
        <w:tc>
          <w:tcPr>
            <w:tcW w:w="993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712E9" w:rsidRPr="00C16BAE" w:rsidRDefault="00D712E9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DA7" w:rsidRPr="00C16BAE" w:rsidTr="00E83EC7">
        <w:tc>
          <w:tcPr>
            <w:tcW w:w="993" w:type="dxa"/>
          </w:tcPr>
          <w:p w:rsidR="00023DA7" w:rsidRPr="00C16BAE" w:rsidRDefault="00996B66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3685" w:type="dxa"/>
          </w:tcPr>
          <w:p w:rsidR="00023DA7" w:rsidRPr="00C16BAE" w:rsidRDefault="006A1A3F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Savivaldybės interneto svetainėje paskelbti informaciją gyventojams, kokių priemonių reikėtų imtis epidemijos metu, siekiant apsisaugoti nuo gripo</w:t>
            </w:r>
          </w:p>
        </w:tc>
        <w:tc>
          <w:tcPr>
            <w:tcW w:w="993" w:type="dxa"/>
          </w:tcPr>
          <w:p w:rsidR="00023DA7" w:rsidRPr="00C16BAE" w:rsidRDefault="00023DA7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A7" w:rsidRPr="00C16BAE" w:rsidRDefault="006A1A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992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DA7" w:rsidRPr="00C16BAE" w:rsidRDefault="006A1A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134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A7" w:rsidRPr="00C16BAE" w:rsidRDefault="006A1A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134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3DA7" w:rsidRPr="00C16BAE" w:rsidRDefault="00C331D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Sveikatos apsaugos skyrius</w:t>
            </w:r>
            <w:r w:rsidR="00EE7B32" w:rsidRPr="00C16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1D2" w:rsidRPr="00C16BAE" w:rsidRDefault="00C331D2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Viešųjų ryšių skyrius</w:t>
            </w:r>
          </w:p>
        </w:tc>
        <w:tc>
          <w:tcPr>
            <w:tcW w:w="1276" w:type="dxa"/>
          </w:tcPr>
          <w:p w:rsidR="00023DA7" w:rsidRPr="00C16BAE" w:rsidRDefault="00023DA7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0112C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5" w:type="dxa"/>
          </w:tcPr>
          <w:p w:rsidR="00977FE4" w:rsidRPr="00C16BAE" w:rsidRDefault="00610C04" w:rsidP="00D7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Pramoninės avarijos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pavojingame objekte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pastatų griūčių,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oro taršos pavojingomis cheminėmis medžiagomis pavojaus ir galimų padarinių mažinimo prevencijos</w:t>
            </w:r>
            <w:r w:rsidR="00D44002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3935CD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10C04" w:rsidRPr="00C16BAE" w:rsidRDefault="000003FE" w:rsidP="00A3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Tikrinti prekybos centrų, koncertų salių ir kitų masinių žmonių susibūrimo vietų aptarnaujančio personalo pasirengimą evakuoti žmones, veikti nelaimės atveju</w:t>
            </w: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civilinės saugos būklės patikrinimų grafiką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2F4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civilinės saugos būklės patikrinimų grafiką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Pagal civilinės saugos būklės patikrinimų grafiką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</w:tcPr>
          <w:p w:rsidR="00610C04" w:rsidRPr="00C16BAE" w:rsidRDefault="00361C3F" w:rsidP="001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</w:t>
            </w:r>
            <w:r w:rsidR="00FA09C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prireikus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atnaujinti pa</w:t>
            </w:r>
            <w:r w:rsidR="00D712E9" w:rsidRPr="00C16BAE">
              <w:rPr>
                <w:rFonts w:ascii="Times New Roman" w:hAnsi="Times New Roman" w:cs="Times New Roman"/>
                <w:sz w:val="24"/>
                <w:szCs w:val="24"/>
              </w:rPr>
              <w:t>vojingų objektų išorės avarinius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planus</w:t>
            </w: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227EA5" w:rsidRPr="00C16BAE" w:rsidTr="00E83EC7">
        <w:tc>
          <w:tcPr>
            <w:tcW w:w="993" w:type="dxa"/>
          </w:tcPr>
          <w:p w:rsidR="00361C3F" w:rsidRPr="00C16BAE" w:rsidRDefault="00721D18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685" w:type="dxa"/>
          </w:tcPr>
          <w:p w:rsidR="00361C3F" w:rsidRPr="00C16BAE" w:rsidRDefault="00361C3F" w:rsidP="001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Atnaujinti ir paskelbti Savivaldybės interneto svetain</w:t>
            </w:r>
            <w:r w:rsidR="00AD78E1" w:rsidRPr="00C16BAE">
              <w:rPr>
                <w:rFonts w:ascii="Times New Roman" w:hAnsi="Times New Roman" w:cs="Times New Roman"/>
                <w:sz w:val="24"/>
                <w:szCs w:val="24"/>
              </w:rPr>
              <w:t>ėje pavojingų objektų atmintines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gyventojams</w:t>
            </w:r>
          </w:p>
        </w:tc>
        <w:tc>
          <w:tcPr>
            <w:tcW w:w="993" w:type="dxa"/>
          </w:tcPr>
          <w:p w:rsidR="00361C3F" w:rsidRPr="00C16BAE" w:rsidRDefault="00361C3F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gruodžio 1 d.</w:t>
            </w:r>
          </w:p>
        </w:tc>
        <w:tc>
          <w:tcPr>
            <w:tcW w:w="992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gruodžio 1 d.</w:t>
            </w:r>
          </w:p>
        </w:tc>
        <w:tc>
          <w:tcPr>
            <w:tcW w:w="1134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gruodžio 1 d.</w:t>
            </w:r>
          </w:p>
        </w:tc>
        <w:tc>
          <w:tcPr>
            <w:tcW w:w="1134" w:type="dxa"/>
          </w:tcPr>
          <w:p w:rsidR="00361C3F" w:rsidRPr="00C16BAE" w:rsidRDefault="00361C3F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C3F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361C3F" w:rsidRPr="00C16BAE" w:rsidRDefault="00361C3F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167D35" w:rsidP="00A46BE7">
            <w:pPr>
              <w:jc w:val="center"/>
              <w:rPr>
                <w:rFonts w:ascii="Times New Roman" w:hAnsi="Times New Roman" w:cs="Times New Roman"/>
              </w:rPr>
            </w:pPr>
            <w:r w:rsidRPr="00C16BAE">
              <w:rPr>
                <w:rFonts w:ascii="Times New Roman" w:hAnsi="Times New Roman" w:cs="Times New Roman"/>
              </w:rPr>
              <w:t>3.4.</w:t>
            </w:r>
            <w:r w:rsidR="00721D18" w:rsidRPr="00C16BAE">
              <w:rPr>
                <w:rFonts w:ascii="Times New Roman" w:hAnsi="Times New Roman" w:cs="Times New Roman"/>
              </w:rPr>
              <w:t>4</w:t>
            </w:r>
            <w:r w:rsidRPr="00C16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10C04" w:rsidRPr="00C16BAE" w:rsidRDefault="000003FE" w:rsidP="00F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Savivaldybės ekstremaliųjų situacijų valdymo plane nurodytų užduočių vykdymo sutarčių rengimą</w:t>
            </w:r>
          </w:p>
        </w:tc>
        <w:tc>
          <w:tcPr>
            <w:tcW w:w="993" w:type="dxa"/>
          </w:tcPr>
          <w:p w:rsidR="00610C04" w:rsidRPr="00C16BAE" w:rsidRDefault="00610C04" w:rsidP="00FD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C04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721D18"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3FE" w:rsidRPr="00C16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10C04" w:rsidRPr="00C16BAE" w:rsidRDefault="000003FE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pastatų griovimo technikos darbų atlikimo ekstremaliosios situacijos atveju</w:t>
            </w:r>
          </w:p>
          <w:p w:rsidR="00AD78E1" w:rsidRPr="00C16BAE" w:rsidRDefault="00AD78E1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1A285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1A285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1D18"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D35"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3FE"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10C04" w:rsidRPr="00C16BAE" w:rsidRDefault="000003FE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eksperto paslaugų teikimo statinio avarijos (griūties) priežasčiai nustatyti</w:t>
            </w:r>
          </w:p>
          <w:p w:rsidR="00AD78E1" w:rsidRPr="00C16BAE" w:rsidRDefault="00AD78E1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BF522B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BF522B" w:rsidP="0050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50485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I–II </w:t>
            </w:r>
            <w:r w:rsidR="00BF522B" w:rsidRPr="00C16BAE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AD78E1" w:rsidRPr="00C16BAE" w:rsidTr="002B0AB3">
        <w:tc>
          <w:tcPr>
            <w:tcW w:w="993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8E1" w:rsidRPr="00C16BAE" w:rsidRDefault="00AD78E1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3FE" w:rsidRPr="00C16BAE" w:rsidTr="00E83EC7">
        <w:tc>
          <w:tcPr>
            <w:tcW w:w="993" w:type="dxa"/>
          </w:tcPr>
          <w:p w:rsidR="000003FE" w:rsidRPr="00C16BAE" w:rsidRDefault="000003FE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721D18"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</w:tcPr>
          <w:p w:rsidR="000003FE" w:rsidRPr="00C16BAE" w:rsidRDefault="00BF522B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ekologinių nelaimių bei gamybinių ir transporto avarijų metu išsipylusių ar rastų Savivaldybės teritorijoje pavojingų cheminių medžiagų ar teršalų (pavojingų atliekų) surinkimo, išvežimo, identifikavimo</w:t>
            </w:r>
            <w:r w:rsidR="00AD78E1" w:rsidRPr="00C16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laikino saugojimo ir utilizavimo</w:t>
            </w:r>
          </w:p>
        </w:tc>
        <w:tc>
          <w:tcPr>
            <w:tcW w:w="993" w:type="dxa"/>
          </w:tcPr>
          <w:p w:rsidR="000003FE" w:rsidRPr="00C16BAE" w:rsidRDefault="000003FE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3FE" w:rsidRPr="00C16BAE" w:rsidRDefault="00AD78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 w:rsidR="00BF522B"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992" w:type="dxa"/>
          </w:tcPr>
          <w:p w:rsidR="000003FE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3FE" w:rsidRPr="00C16BAE" w:rsidRDefault="00AD78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 w:rsidR="00BF522B"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0003FE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3FE" w:rsidRPr="00C16BAE" w:rsidRDefault="00AD78E1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 w:rsidR="00BF522B" w:rsidRPr="00C16BAE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134" w:type="dxa"/>
          </w:tcPr>
          <w:p w:rsidR="000003FE" w:rsidRPr="00C16BAE" w:rsidRDefault="000003FE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3FE" w:rsidRPr="00C16BAE" w:rsidRDefault="00173DD6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0003FE" w:rsidRPr="00C16BAE" w:rsidRDefault="000003FE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0112C1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5" w:type="dxa"/>
          </w:tcPr>
          <w:p w:rsidR="00610C04" w:rsidRPr="00C16BAE" w:rsidRDefault="00610C04" w:rsidP="004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Potvynio, katastrofinio užtvindymo pavojaus ir galimų padarinių mažinimo prevencijos priemonės</w:t>
            </w:r>
          </w:p>
          <w:p w:rsidR="00610C04" w:rsidRPr="00C16BAE" w:rsidRDefault="00610C04" w:rsidP="004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610C04" w:rsidP="003935CD">
            <w:pPr>
              <w:jc w:val="center"/>
            </w:pPr>
          </w:p>
        </w:tc>
        <w:tc>
          <w:tcPr>
            <w:tcW w:w="1276" w:type="dxa"/>
          </w:tcPr>
          <w:p w:rsidR="00610C04" w:rsidRPr="00C16BAE" w:rsidRDefault="00610C04" w:rsidP="003935CD">
            <w:pPr>
              <w:jc w:val="center"/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2FD3" w:rsidRPr="00C16B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FA700F" w:rsidRPr="00C16BAE" w:rsidRDefault="0031156D" w:rsidP="003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 atnaujinti pasirengimo Neries potvyniui veiksmų planą</w:t>
            </w:r>
          </w:p>
          <w:p w:rsidR="004448EA" w:rsidRPr="00C16BAE" w:rsidRDefault="004448EA" w:rsidP="0031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vasario </w:t>
            </w:r>
            <w:r w:rsidR="00AD78E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716163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vasario </w:t>
            </w:r>
            <w:r w:rsidR="00AD78E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vasario </w:t>
            </w:r>
            <w:r w:rsidR="00AD78E1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610C04" w:rsidRPr="00C16BAE" w:rsidRDefault="00610C0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31156D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F4334" w:rsidRPr="00C16BAE" w:rsidRDefault="00716163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  <w:p w:rsidR="006F4334" w:rsidRPr="00C16BAE" w:rsidRDefault="006F4334" w:rsidP="003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FD3"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62FD3" w:rsidRPr="00C16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10C04" w:rsidRPr="00C16BAE" w:rsidRDefault="0031156D" w:rsidP="009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Peržiūrėti ir </w:t>
            </w:r>
            <w:r w:rsidR="00FA09C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prireikus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atnaujinti katastrofinio užtvindymo veiksmų planą</w:t>
            </w: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31156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2FD3" w:rsidRPr="00C16BA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610C04" w:rsidRPr="00C16BAE" w:rsidRDefault="0031156D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Surengti ESK posėdį dėl pasirengimo galimiems potvyniams</w:t>
            </w:r>
          </w:p>
        </w:tc>
        <w:tc>
          <w:tcPr>
            <w:tcW w:w="993" w:type="dxa"/>
          </w:tcPr>
          <w:p w:rsidR="00610C04" w:rsidRPr="00C16BAE" w:rsidRDefault="00610C04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992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I–II ketvirtis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04" w:rsidRPr="00C16BAE" w:rsidRDefault="0031156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ESK pirmininko pavaduotojas, MCSS vedėjas</w:t>
            </w:r>
          </w:p>
        </w:tc>
        <w:tc>
          <w:tcPr>
            <w:tcW w:w="1276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610C04" w:rsidRPr="00C16BAE" w:rsidTr="00E83EC7">
        <w:tc>
          <w:tcPr>
            <w:tcW w:w="993" w:type="dxa"/>
          </w:tcPr>
          <w:p w:rsidR="00610C04" w:rsidRPr="00C16BAE" w:rsidRDefault="00610C04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FD3" w:rsidRPr="00C16BAE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0C04" w:rsidRPr="00C16BAE" w:rsidRDefault="0031156D" w:rsidP="008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Peržiūrėti ir </w:t>
            </w:r>
            <w:r w:rsidR="00FA09C5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prireikus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atnaujinti tarpusavio pagalbos su  Kauno rajono, Jonavos rajono ir Prienų rajono savivaldybėmis planus</w:t>
            </w:r>
          </w:p>
        </w:tc>
        <w:tc>
          <w:tcPr>
            <w:tcW w:w="993" w:type="dxa"/>
          </w:tcPr>
          <w:p w:rsidR="00610C04" w:rsidRPr="00C16BAE" w:rsidRDefault="00610C04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vasario 15 d.</w:t>
            </w:r>
          </w:p>
        </w:tc>
        <w:tc>
          <w:tcPr>
            <w:tcW w:w="992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vasario 15 d.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vasario 15 d.</w:t>
            </w:r>
          </w:p>
        </w:tc>
        <w:tc>
          <w:tcPr>
            <w:tcW w:w="1134" w:type="dxa"/>
          </w:tcPr>
          <w:p w:rsidR="00610C04" w:rsidRPr="00C16BAE" w:rsidRDefault="00610C0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0C04" w:rsidRPr="00C16BAE" w:rsidRDefault="0071616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610C04" w:rsidRPr="00C16BAE" w:rsidRDefault="00B8129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C50669" w:rsidRPr="00C16BAE" w:rsidTr="00E83EC7">
        <w:trPr>
          <w:trHeight w:val="1110"/>
        </w:trPr>
        <w:tc>
          <w:tcPr>
            <w:tcW w:w="993" w:type="dxa"/>
          </w:tcPr>
          <w:p w:rsidR="00C50669" w:rsidRPr="00C16BAE" w:rsidRDefault="00C5066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3685" w:type="dxa"/>
          </w:tcPr>
          <w:p w:rsidR="00C50669" w:rsidRPr="00C16BAE" w:rsidRDefault="00C50669" w:rsidP="00F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Savivaldybės ekstremaliųjų situacijų valdymo plane nurodytų užduočių vykdymo sutarčių rengimą (pratęsimą)</w:t>
            </w: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C5066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3.5.5.1.</w:t>
            </w:r>
          </w:p>
        </w:tc>
        <w:tc>
          <w:tcPr>
            <w:tcW w:w="3685" w:type="dxa"/>
          </w:tcPr>
          <w:p w:rsidR="00C50669" w:rsidRPr="00C16BAE" w:rsidRDefault="00C50669" w:rsidP="008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žemės kasimo darbų atlikimo</w:t>
            </w:r>
          </w:p>
          <w:p w:rsidR="0050485D" w:rsidRPr="00C16BAE" w:rsidRDefault="0050485D" w:rsidP="0080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3" w:rsidRPr="00C16BAE" w:rsidTr="00E83EC7">
        <w:tc>
          <w:tcPr>
            <w:tcW w:w="993" w:type="dxa"/>
          </w:tcPr>
          <w:p w:rsidR="00B53733" w:rsidRPr="00C16BAE" w:rsidRDefault="00B53733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3.5.5.2.</w:t>
            </w:r>
          </w:p>
        </w:tc>
        <w:tc>
          <w:tcPr>
            <w:tcW w:w="3685" w:type="dxa"/>
          </w:tcPr>
          <w:p w:rsidR="00525770" w:rsidRPr="00C16BAE" w:rsidRDefault="00B53733" w:rsidP="003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gyventojų išvežimo į laikiną gyvenamąją vietą</w:t>
            </w:r>
          </w:p>
          <w:p w:rsidR="0050485D" w:rsidRPr="00C16BAE" w:rsidRDefault="0050485D" w:rsidP="003D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733" w:rsidRPr="00C16BAE" w:rsidRDefault="00B53733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733" w:rsidRPr="00C16BAE" w:rsidRDefault="0083218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992" w:type="dxa"/>
          </w:tcPr>
          <w:p w:rsidR="00B53733" w:rsidRPr="00C16BAE" w:rsidRDefault="00B5373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733" w:rsidRPr="00C16BAE" w:rsidRDefault="0083218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B53733" w:rsidRPr="00C16BAE" w:rsidRDefault="00B5373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733" w:rsidRPr="00C16BAE" w:rsidRDefault="0083218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B53733" w:rsidRPr="00C16BAE" w:rsidRDefault="00B5373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3733" w:rsidRPr="00C16BAE" w:rsidRDefault="0083218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B53733" w:rsidRPr="00C16BAE" w:rsidRDefault="00B53733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5D" w:rsidRPr="00C16BAE" w:rsidTr="002B0AB3">
        <w:tc>
          <w:tcPr>
            <w:tcW w:w="993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485D" w:rsidRPr="00C16BAE" w:rsidRDefault="0050485D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A5" w:rsidRPr="00C16BAE" w:rsidTr="00E83EC7">
        <w:trPr>
          <w:trHeight w:val="1705"/>
        </w:trPr>
        <w:tc>
          <w:tcPr>
            <w:tcW w:w="993" w:type="dxa"/>
          </w:tcPr>
          <w:p w:rsidR="00C50669" w:rsidRPr="00C16BAE" w:rsidRDefault="00C5066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C50669" w:rsidRPr="00C16BAE" w:rsidRDefault="00C50669" w:rsidP="001E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Pavojingo ra</w:t>
            </w:r>
            <w:r w:rsidR="0050485D" w:rsidRPr="00C16BAE">
              <w:rPr>
                <w:rFonts w:ascii="Times New Roman" w:hAnsi="Times New Roman" w:cs="Times New Roman"/>
                <w:sz w:val="24"/>
                <w:szCs w:val="24"/>
              </w:rPr>
              <w:t>dinio (sprogmens aptikimo</w:t>
            </w:r>
            <w:r w:rsidR="005F6269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atveju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, grasinimo susprogdinti</w:t>
            </w:r>
            <w:r w:rsidR="008A6B80" w:rsidRPr="00C16BAE">
              <w:rPr>
                <w:rFonts w:ascii="Times New Roman" w:hAnsi="Times New Roman" w:cs="Times New Roman"/>
                <w:sz w:val="24"/>
                <w:szCs w:val="24"/>
              </w:rPr>
              <w:t>, teroristinių išpuolių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) pavojaus ir galimų padarinių mažinimo prevencijos priemonės</w:t>
            </w: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C50669" w:rsidP="00E6409F">
            <w:pPr>
              <w:jc w:val="center"/>
            </w:pP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3E66D0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685" w:type="dxa"/>
          </w:tcPr>
          <w:p w:rsidR="00C50669" w:rsidRPr="00C16BAE" w:rsidRDefault="008D38DD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Parengti ir paskelbti Savivaldybės interneto svetainėje informaciją gyventojams apie likusių nuo karo sprogmenų keliamą pavojų ir gyventojų elgesį aptikus tokius sprogmenis</w:t>
            </w:r>
          </w:p>
        </w:tc>
        <w:tc>
          <w:tcPr>
            <w:tcW w:w="993" w:type="dxa"/>
          </w:tcPr>
          <w:p w:rsidR="00C50669" w:rsidRPr="00C16BAE" w:rsidRDefault="00C50669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3E66D0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3685" w:type="dxa"/>
          </w:tcPr>
          <w:p w:rsidR="003D331B" w:rsidRPr="00C16BAE" w:rsidRDefault="008D38DD" w:rsidP="002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Rinkti ir teikti informaciją KAPGV ir PAGD apie </w:t>
            </w:r>
            <w:r w:rsidR="005F6269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galimai sprogmenimis užterštas </w:t>
            </w:r>
            <w:r w:rsidR="002B0AB3" w:rsidRPr="00C16B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6269" w:rsidRPr="00C16BAE">
              <w:rPr>
                <w:rFonts w:ascii="Times New Roman" w:hAnsi="Times New Roman" w:cs="Times New Roman"/>
                <w:sz w:val="24"/>
                <w:szCs w:val="24"/>
              </w:rPr>
              <w:t>avivaldybės teritorij</w:t>
            </w:r>
            <w:r w:rsidR="002B0AB3" w:rsidRPr="00C16BA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93" w:type="dxa"/>
          </w:tcPr>
          <w:p w:rsidR="00C50669" w:rsidRPr="00C16BAE" w:rsidRDefault="00C50669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69" w:rsidRPr="00C16BAE" w:rsidRDefault="00347282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3E66D0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3685" w:type="dxa"/>
          </w:tcPr>
          <w:p w:rsidR="00C50669" w:rsidRPr="00C16BAE" w:rsidRDefault="008D38DD" w:rsidP="0067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 Savivaldybės ekstremaliųjų situacijų valdymo plane nurodytų užduočių vykdymo sutarčių rengimą (pratęsimą)</w:t>
            </w:r>
          </w:p>
        </w:tc>
        <w:tc>
          <w:tcPr>
            <w:tcW w:w="993" w:type="dxa"/>
          </w:tcPr>
          <w:p w:rsidR="00C50669" w:rsidRPr="00C16BAE" w:rsidRDefault="00C50669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C50669" w:rsidP="00E6409F">
            <w:pPr>
              <w:jc w:val="center"/>
            </w:pP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rPr>
          <w:trHeight w:val="630"/>
        </w:trPr>
        <w:tc>
          <w:tcPr>
            <w:tcW w:w="993" w:type="dxa"/>
          </w:tcPr>
          <w:p w:rsidR="00C50669" w:rsidRPr="00C16BAE" w:rsidRDefault="003E66D0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8D38DD"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8DD" w:rsidRPr="00C16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50669" w:rsidRPr="00C16BAE" w:rsidRDefault="00B53733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laikino žmonių apgyvendinimo</w:t>
            </w:r>
          </w:p>
        </w:tc>
        <w:tc>
          <w:tcPr>
            <w:tcW w:w="993" w:type="dxa"/>
          </w:tcPr>
          <w:p w:rsidR="00C50669" w:rsidRPr="00C16BAE" w:rsidRDefault="00C50669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8D38D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8D38D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8D38D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II–IV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69" w:rsidRPr="00C16BAE" w:rsidRDefault="008D38D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E44C3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3.6.3.2.</w:t>
            </w:r>
          </w:p>
        </w:tc>
        <w:tc>
          <w:tcPr>
            <w:tcW w:w="3685" w:type="dxa"/>
          </w:tcPr>
          <w:p w:rsidR="00C50669" w:rsidRPr="00C16BAE" w:rsidRDefault="00670680" w:rsidP="005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statybinių blokų įsigijimo kultūrinių renginių saugumui užtikrinti</w:t>
            </w: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E44C3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3.6.3.3.</w:t>
            </w:r>
          </w:p>
        </w:tc>
        <w:tc>
          <w:tcPr>
            <w:tcW w:w="3685" w:type="dxa"/>
          </w:tcPr>
          <w:p w:rsidR="00C50669" w:rsidRPr="00C16BAE" w:rsidRDefault="0067068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Dėl statybinių blokų transportavimo</w:t>
            </w:r>
          </w:p>
        </w:tc>
        <w:tc>
          <w:tcPr>
            <w:tcW w:w="993" w:type="dxa"/>
          </w:tcPr>
          <w:p w:rsidR="00C50669" w:rsidRPr="00C16BAE" w:rsidRDefault="00C50669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670680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361C3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0669" w:rsidRPr="00C16BAE" w:rsidRDefault="00361C3F" w:rsidP="003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Radiologinės ir (ar) branduolinės avarijos pavojaus ir galimų padarinių mažinimo prevencijos priemonės</w:t>
            </w:r>
          </w:p>
        </w:tc>
        <w:tc>
          <w:tcPr>
            <w:tcW w:w="993" w:type="dxa"/>
          </w:tcPr>
          <w:p w:rsidR="00C50669" w:rsidRPr="00C16BAE" w:rsidRDefault="00BA4CD1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69" w:rsidRPr="00C16BAE" w:rsidRDefault="00C50669" w:rsidP="00E6409F">
            <w:pPr>
              <w:jc w:val="center"/>
            </w:pP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227EA5" w:rsidRPr="00C16BAE" w:rsidTr="00E83EC7">
        <w:tc>
          <w:tcPr>
            <w:tcW w:w="993" w:type="dxa"/>
            <w:tcBorders>
              <w:bottom w:val="single" w:sz="4" w:space="0" w:color="auto"/>
            </w:tcBorders>
          </w:tcPr>
          <w:p w:rsidR="00C50669" w:rsidRPr="00C16BAE" w:rsidRDefault="00361C3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5953" w:rsidRPr="00C16BAE" w:rsidRDefault="00361C3F" w:rsidP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 atnaujinti Kauno miesto savivaldybės gyventojų evakavimo planą</w:t>
            </w:r>
          </w:p>
          <w:p w:rsidR="002B0AB3" w:rsidRPr="00C16BAE" w:rsidRDefault="002B0AB3" w:rsidP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Iki lapkričio 1 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9" w:rsidRPr="00C16BAE" w:rsidRDefault="00A1600B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669" w:rsidRPr="00C16BAE" w:rsidRDefault="00C50669" w:rsidP="00E6409F">
            <w:pPr>
              <w:jc w:val="center"/>
            </w:pPr>
          </w:p>
        </w:tc>
      </w:tr>
      <w:tr w:rsidR="002B0AB3" w:rsidRPr="00C16BAE" w:rsidTr="002B0AB3">
        <w:tc>
          <w:tcPr>
            <w:tcW w:w="993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0AB3" w:rsidRPr="00C16BAE" w:rsidRDefault="002B0AB3" w:rsidP="002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A5" w:rsidRPr="00C16BAE" w:rsidTr="00E83EC7">
        <w:tc>
          <w:tcPr>
            <w:tcW w:w="993" w:type="dxa"/>
          </w:tcPr>
          <w:p w:rsidR="00C50669" w:rsidRPr="00C16BAE" w:rsidRDefault="00361C3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C50669" w:rsidRPr="00C16BAE" w:rsidRDefault="00361C3F" w:rsidP="002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Patikslinti ir paskelbti Savivaldybės interneto svetainėje gyventojų</w:t>
            </w:r>
            <w:r w:rsidR="002B0AB3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surinkimo punktų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, tarpinių gyventojų e</w:t>
            </w:r>
            <w:r w:rsidR="002B0AB3" w:rsidRPr="00C16BAE">
              <w:rPr>
                <w:rFonts w:ascii="Times New Roman" w:hAnsi="Times New Roman" w:cs="Times New Roman"/>
                <w:sz w:val="24"/>
                <w:szCs w:val="24"/>
              </w:rPr>
              <w:t>vakavimo punktų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ir gyventojų priėmimo punktų vietas</w:t>
            </w:r>
          </w:p>
        </w:tc>
        <w:tc>
          <w:tcPr>
            <w:tcW w:w="993" w:type="dxa"/>
          </w:tcPr>
          <w:p w:rsidR="00C50669" w:rsidRPr="00C16BAE" w:rsidRDefault="00C50669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0669" w:rsidRPr="00C16BAE" w:rsidRDefault="00A1600B" w:rsidP="00E6409F">
            <w:pPr>
              <w:jc w:val="center"/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361C3F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</w:tcPr>
          <w:p w:rsidR="00C50669" w:rsidRPr="00C16BAE" w:rsidRDefault="002B0AB3" w:rsidP="002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="00361C3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ūkio subjektų ir įstaigų atsakingiems už civilinę saugą darbuotojams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seminarą</w:t>
            </w:r>
            <w:r w:rsidR="00361C3F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radiacinės saugos klausimais</w:t>
            </w:r>
          </w:p>
          <w:p w:rsidR="00BC64CD" w:rsidRPr="00C16BAE" w:rsidRDefault="00BC64CD" w:rsidP="002B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669" w:rsidRPr="00C16BAE" w:rsidRDefault="00C50669" w:rsidP="00FD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III–IV ketvirtis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III–IV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361C3F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III–IV ketvirtis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69" w:rsidRPr="00C16BAE" w:rsidRDefault="00A1600B" w:rsidP="00E6409F">
            <w:pPr>
              <w:jc w:val="center"/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BC64CD" w:rsidRPr="00C16BAE" w:rsidTr="000F4E46">
        <w:trPr>
          <w:trHeight w:val="3036"/>
        </w:trPr>
        <w:tc>
          <w:tcPr>
            <w:tcW w:w="993" w:type="dxa"/>
          </w:tcPr>
          <w:p w:rsidR="00BC64CD" w:rsidRPr="00C16BAE" w:rsidRDefault="00BC64CD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  <w:p w:rsidR="00BC64CD" w:rsidRPr="00C16BAE" w:rsidRDefault="00BC64CD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4CD" w:rsidRPr="00C16BAE" w:rsidRDefault="00BC64CD" w:rsidP="00B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Avarijos šilumos ir elektros tiekimo tinkluose (tiekimo nutraukimo iki  3 parų) pavojaus ir galimų padarinių mažinimo prevencijos priemonė – paskelbti seniūnijų interneto svetainėse informaciją gyventojams, kokių priemonių reikėtų imtis avarijos metu, informaciją apie avarijos padarinių mastą ir jų likvidavimo eigą</w:t>
            </w:r>
          </w:p>
        </w:tc>
        <w:tc>
          <w:tcPr>
            <w:tcW w:w="993" w:type="dxa"/>
          </w:tcPr>
          <w:p w:rsidR="00BC64CD" w:rsidRPr="00C16BAE" w:rsidRDefault="00BC64CD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1417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Įvykus avarijai</w:t>
            </w:r>
          </w:p>
        </w:tc>
        <w:tc>
          <w:tcPr>
            <w:tcW w:w="992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Įvykus avarijai</w:t>
            </w:r>
          </w:p>
        </w:tc>
        <w:tc>
          <w:tcPr>
            <w:tcW w:w="1134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Įvykus avarijai</w:t>
            </w:r>
          </w:p>
        </w:tc>
        <w:tc>
          <w:tcPr>
            <w:tcW w:w="1134" w:type="dxa"/>
          </w:tcPr>
          <w:p w:rsidR="00BC64CD" w:rsidRPr="00C16BAE" w:rsidRDefault="00BC64CD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64CD" w:rsidRPr="00C16BAE" w:rsidRDefault="00BC64CD" w:rsidP="00E6409F">
            <w:pPr>
              <w:jc w:val="center"/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MCSS, seniūnai</w:t>
            </w:r>
          </w:p>
        </w:tc>
        <w:tc>
          <w:tcPr>
            <w:tcW w:w="1276" w:type="dxa"/>
          </w:tcPr>
          <w:p w:rsidR="00BC64CD" w:rsidRPr="00C16BAE" w:rsidRDefault="00BC64CD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436C7B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0669" w:rsidRPr="00C16BAE" w:rsidRDefault="00F65A16" w:rsidP="00A0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Kibernetinės atakos, kompiuterinio viruso pasklidimo Savivaldybės vidiniame tinkle ir (ar) interneto paslaugos tiekimo sutrikimo ar ilgalaikio veiklos sutrikdymo pavojaus ir galimų padarinių mažinimo prevencijos priemonės</w:t>
            </w:r>
          </w:p>
          <w:p w:rsidR="00BC64CD" w:rsidRPr="00C16BAE" w:rsidRDefault="00BC64CD" w:rsidP="00A0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0669" w:rsidRPr="00C16BAE" w:rsidRDefault="00C50669" w:rsidP="00E6409F">
            <w:pPr>
              <w:jc w:val="center"/>
            </w:pP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A32936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</w:tcPr>
          <w:p w:rsidR="00A1600B" w:rsidRPr="00C16BAE" w:rsidRDefault="00F65A16" w:rsidP="00F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Peržiūrėti ir prireikus atnaujinti Savivaldybės informacinės sistemos veiklos tęstinumo valdymo planą ir parengti rizikos įvertinimo ataskaitą</w:t>
            </w:r>
          </w:p>
        </w:tc>
        <w:tc>
          <w:tcPr>
            <w:tcW w:w="993" w:type="dxa"/>
          </w:tcPr>
          <w:p w:rsidR="00C50669" w:rsidRPr="00C16BAE" w:rsidRDefault="00C50669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F65A16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Ne rečiau kaip kartą metuose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F65A16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Ne rečiau kaip kartą metuose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F65A16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Ne rečiau kaip kartą metuose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64CD" w:rsidRPr="00C16BAE" w:rsidRDefault="00B67B05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E. paslaugų ir informacinių technologijų skyrius </w:t>
            </w:r>
          </w:p>
          <w:p w:rsidR="00BC64CD" w:rsidRPr="00C16BAE" w:rsidRDefault="00B67B05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(toliau – </w:t>
            </w:r>
          </w:p>
          <w:p w:rsidR="00C50669" w:rsidRPr="00C16BAE" w:rsidRDefault="00B67B05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EP IT</w:t>
            </w:r>
            <w:r w:rsidR="006762B3" w:rsidRPr="00C16B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CD" w:rsidRPr="00C16BAE" w:rsidTr="00FB4C28">
        <w:tc>
          <w:tcPr>
            <w:tcW w:w="993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64CD" w:rsidRPr="00C16BAE" w:rsidRDefault="00BC64CD" w:rsidP="00F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0669" w:rsidRPr="00C16BAE" w:rsidTr="00E83EC7">
        <w:tc>
          <w:tcPr>
            <w:tcW w:w="993" w:type="dxa"/>
          </w:tcPr>
          <w:p w:rsidR="00C50669" w:rsidRPr="00C16BAE" w:rsidRDefault="00A02099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C50669" w:rsidRPr="00C16BAE" w:rsidRDefault="00F65A16" w:rsidP="00B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Publikuoti Savivaldybės darbuotojams prieinamoje svetainėje su informacijos saugumo valdymu susijusius dokumentus, </w:t>
            </w:r>
            <w:r w:rsidR="00BC64C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nustatančius 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saugaus elektroninės</w:t>
            </w:r>
            <w:r w:rsidR="00BC64CD"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informacijos tvarkymo reikalavimus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, procedūras, taisykles</w:t>
            </w:r>
          </w:p>
        </w:tc>
        <w:tc>
          <w:tcPr>
            <w:tcW w:w="993" w:type="dxa"/>
          </w:tcPr>
          <w:p w:rsidR="00C50669" w:rsidRPr="00C16BAE" w:rsidRDefault="00C50669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92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669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69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50669" w:rsidRPr="00C16BAE" w:rsidRDefault="00C50669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69" w:rsidRPr="00C16BAE" w:rsidRDefault="00582074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EP ITS</w:t>
            </w:r>
          </w:p>
        </w:tc>
        <w:tc>
          <w:tcPr>
            <w:tcW w:w="1276" w:type="dxa"/>
          </w:tcPr>
          <w:p w:rsidR="00C50669" w:rsidRPr="00C16BAE" w:rsidRDefault="00C50669" w:rsidP="00E6409F">
            <w:pPr>
              <w:jc w:val="center"/>
            </w:pPr>
          </w:p>
        </w:tc>
      </w:tr>
      <w:tr w:rsidR="0090672E" w:rsidRPr="00C16BAE" w:rsidTr="00E83EC7">
        <w:tc>
          <w:tcPr>
            <w:tcW w:w="993" w:type="dxa"/>
          </w:tcPr>
          <w:p w:rsidR="0090672E" w:rsidRPr="00C16BAE" w:rsidRDefault="0090672E" w:rsidP="00A4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553" w:rsidRPr="00C16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68" w:rsidRPr="00C1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0672E" w:rsidRPr="00C16BAE" w:rsidRDefault="00F65A16" w:rsidP="00FE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Registruoti įvykusius informacinės sistemos elektroni</w:t>
            </w:r>
            <w:r w:rsidR="00645C95" w:rsidRPr="00C16BAE">
              <w:rPr>
                <w:rFonts w:ascii="Times New Roman" w:hAnsi="Times New Roman" w:cs="Times New Roman"/>
                <w:sz w:val="24"/>
                <w:szCs w:val="24"/>
              </w:rPr>
              <w:t>nės informacijos saugos incidentus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Savivaldybės informacinės sistemos elektroninės informacijos saug</w:t>
            </w:r>
            <w:r w:rsidR="00FE2349" w:rsidRPr="00C16BAE">
              <w:rPr>
                <w:rFonts w:ascii="Times New Roman" w:hAnsi="Times New Roman" w:cs="Times New Roman"/>
                <w:sz w:val="24"/>
                <w:szCs w:val="24"/>
              </w:rPr>
              <w:t>os incidentų</w:t>
            </w: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 xml:space="preserve"> registravimo žurnale</w:t>
            </w:r>
          </w:p>
        </w:tc>
        <w:tc>
          <w:tcPr>
            <w:tcW w:w="993" w:type="dxa"/>
          </w:tcPr>
          <w:p w:rsidR="0090672E" w:rsidRPr="00C16BAE" w:rsidRDefault="0090672E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2E" w:rsidRPr="00C16BAE" w:rsidRDefault="00795DF8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92" w:type="dxa"/>
          </w:tcPr>
          <w:p w:rsidR="0090672E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72E" w:rsidRPr="00C16BAE" w:rsidRDefault="00795DF8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90672E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2E" w:rsidRPr="00C16BAE" w:rsidRDefault="00795DF8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90672E" w:rsidRPr="00C16BAE" w:rsidRDefault="0090672E" w:rsidP="00E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72E" w:rsidRPr="00C16BAE" w:rsidRDefault="00582074" w:rsidP="00E6409F">
            <w:pPr>
              <w:jc w:val="center"/>
            </w:pPr>
            <w:r w:rsidRPr="00C16BAE">
              <w:rPr>
                <w:rFonts w:ascii="Times New Roman" w:hAnsi="Times New Roman" w:cs="Times New Roman"/>
                <w:sz w:val="24"/>
                <w:szCs w:val="24"/>
              </w:rPr>
              <w:t>EP ITS</w:t>
            </w:r>
          </w:p>
        </w:tc>
        <w:tc>
          <w:tcPr>
            <w:tcW w:w="1276" w:type="dxa"/>
          </w:tcPr>
          <w:p w:rsidR="0090672E" w:rsidRPr="00C16BAE" w:rsidRDefault="0090672E" w:rsidP="00E6409F">
            <w:pPr>
              <w:jc w:val="center"/>
            </w:pPr>
          </w:p>
        </w:tc>
      </w:tr>
    </w:tbl>
    <w:p w:rsidR="006848F6" w:rsidRPr="00C16BAE" w:rsidRDefault="006848F6" w:rsidP="006A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3C" w:rsidRDefault="00D56C58" w:rsidP="00D5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B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E2349" w:rsidRPr="00645C95" w:rsidRDefault="00FE2349" w:rsidP="00F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645C9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E2349" w:rsidRDefault="00FE2349" w:rsidP="00FE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349" w:rsidSect="00C32A04">
      <w:headerReference w:type="default" r:id="rId9"/>
      <w:pgSz w:w="16838" w:h="11906" w:orient="landscape"/>
      <w:pgMar w:top="284" w:right="962" w:bottom="567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A" w:rsidRDefault="00AD786A" w:rsidP="00C32A04">
      <w:pPr>
        <w:spacing w:after="0" w:line="240" w:lineRule="auto"/>
      </w:pPr>
      <w:r>
        <w:separator/>
      </w:r>
    </w:p>
  </w:endnote>
  <w:endnote w:type="continuationSeparator" w:id="0">
    <w:p w:rsidR="00AD786A" w:rsidRDefault="00AD786A" w:rsidP="00C3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A" w:rsidRDefault="00AD786A" w:rsidP="00C32A04">
      <w:pPr>
        <w:spacing w:after="0" w:line="240" w:lineRule="auto"/>
      </w:pPr>
      <w:r>
        <w:separator/>
      </w:r>
    </w:p>
  </w:footnote>
  <w:footnote w:type="continuationSeparator" w:id="0">
    <w:p w:rsidR="00AD786A" w:rsidRDefault="00AD786A" w:rsidP="00C3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236584"/>
      <w:docPartObj>
        <w:docPartGallery w:val="Page Numbers (Top of Page)"/>
        <w:docPartUnique/>
      </w:docPartObj>
    </w:sdtPr>
    <w:sdtEndPr/>
    <w:sdtContent>
      <w:p w:rsidR="002B0AB3" w:rsidRDefault="002B0A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48">
          <w:rPr>
            <w:noProof/>
          </w:rPr>
          <w:t>13</w:t>
        </w:r>
        <w:r>
          <w:fldChar w:fldCharType="end"/>
        </w:r>
      </w:p>
    </w:sdtContent>
  </w:sdt>
  <w:p w:rsidR="002B0AB3" w:rsidRDefault="002B0A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8"/>
    <w:rsid w:val="000003FE"/>
    <w:rsid w:val="00002294"/>
    <w:rsid w:val="0000229D"/>
    <w:rsid w:val="00006125"/>
    <w:rsid w:val="000112C1"/>
    <w:rsid w:val="000145FF"/>
    <w:rsid w:val="0001620F"/>
    <w:rsid w:val="0002092F"/>
    <w:rsid w:val="000222F1"/>
    <w:rsid w:val="00023DA7"/>
    <w:rsid w:val="00024A6D"/>
    <w:rsid w:val="00027D8D"/>
    <w:rsid w:val="000344A3"/>
    <w:rsid w:val="00034CD4"/>
    <w:rsid w:val="00040DAD"/>
    <w:rsid w:val="0004118E"/>
    <w:rsid w:val="00050E10"/>
    <w:rsid w:val="00050E25"/>
    <w:rsid w:val="00065D0F"/>
    <w:rsid w:val="00072A76"/>
    <w:rsid w:val="00074537"/>
    <w:rsid w:val="00076E43"/>
    <w:rsid w:val="000814DD"/>
    <w:rsid w:val="00081ACF"/>
    <w:rsid w:val="00081B1D"/>
    <w:rsid w:val="000836EF"/>
    <w:rsid w:val="00091EAD"/>
    <w:rsid w:val="00096450"/>
    <w:rsid w:val="000A322D"/>
    <w:rsid w:val="000A4BC6"/>
    <w:rsid w:val="000B0F2A"/>
    <w:rsid w:val="000B0FE4"/>
    <w:rsid w:val="000B4A16"/>
    <w:rsid w:val="000C3A30"/>
    <w:rsid w:val="000C3B94"/>
    <w:rsid w:val="000C6364"/>
    <w:rsid w:val="000D2DC1"/>
    <w:rsid w:val="000D5BFC"/>
    <w:rsid w:val="000D74CC"/>
    <w:rsid w:val="000E2559"/>
    <w:rsid w:val="000F0442"/>
    <w:rsid w:val="000F317F"/>
    <w:rsid w:val="000F5678"/>
    <w:rsid w:val="0010788C"/>
    <w:rsid w:val="00113E9E"/>
    <w:rsid w:val="00116404"/>
    <w:rsid w:val="00120E8B"/>
    <w:rsid w:val="001235AA"/>
    <w:rsid w:val="00125A88"/>
    <w:rsid w:val="00136307"/>
    <w:rsid w:val="00137FE1"/>
    <w:rsid w:val="001473B7"/>
    <w:rsid w:val="001479A7"/>
    <w:rsid w:val="00150584"/>
    <w:rsid w:val="00152FDC"/>
    <w:rsid w:val="001559B3"/>
    <w:rsid w:val="00162523"/>
    <w:rsid w:val="001629E2"/>
    <w:rsid w:val="00167D35"/>
    <w:rsid w:val="00170C2F"/>
    <w:rsid w:val="001720C7"/>
    <w:rsid w:val="00173DD6"/>
    <w:rsid w:val="00175C7C"/>
    <w:rsid w:val="001808AA"/>
    <w:rsid w:val="00180FDE"/>
    <w:rsid w:val="00184491"/>
    <w:rsid w:val="00186227"/>
    <w:rsid w:val="0019069B"/>
    <w:rsid w:val="00194CE4"/>
    <w:rsid w:val="001A2851"/>
    <w:rsid w:val="001A3592"/>
    <w:rsid w:val="001A479C"/>
    <w:rsid w:val="001A7604"/>
    <w:rsid w:val="001B6C97"/>
    <w:rsid w:val="001C3CB7"/>
    <w:rsid w:val="001C5F70"/>
    <w:rsid w:val="001C6E4E"/>
    <w:rsid w:val="001D5FB2"/>
    <w:rsid w:val="001D675B"/>
    <w:rsid w:val="001E02B8"/>
    <w:rsid w:val="001E0CFE"/>
    <w:rsid w:val="001E1233"/>
    <w:rsid w:val="001E14CB"/>
    <w:rsid w:val="001E1B7B"/>
    <w:rsid w:val="001E3E13"/>
    <w:rsid w:val="001E551B"/>
    <w:rsid w:val="001E5953"/>
    <w:rsid w:val="001E7A98"/>
    <w:rsid w:val="001F58B4"/>
    <w:rsid w:val="001F6CDC"/>
    <w:rsid w:val="001F7A62"/>
    <w:rsid w:val="0020091D"/>
    <w:rsid w:val="00202722"/>
    <w:rsid w:val="00207FCD"/>
    <w:rsid w:val="00212694"/>
    <w:rsid w:val="0022341F"/>
    <w:rsid w:val="002262F0"/>
    <w:rsid w:val="00227EA5"/>
    <w:rsid w:val="00240B15"/>
    <w:rsid w:val="00242D6B"/>
    <w:rsid w:val="002431AD"/>
    <w:rsid w:val="002449E4"/>
    <w:rsid w:val="00266BDF"/>
    <w:rsid w:val="0026765B"/>
    <w:rsid w:val="00267D99"/>
    <w:rsid w:val="00270C90"/>
    <w:rsid w:val="002804D4"/>
    <w:rsid w:val="0028791C"/>
    <w:rsid w:val="002918F4"/>
    <w:rsid w:val="00291FC1"/>
    <w:rsid w:val="002927A4"/>
    <w:rsid w:val="002943C8"/>
    <w:rsid w:val="00294A58"/>
    <w:rsid w:val="002A18CF"/>
    <w:rsid w:val="002A50B2"/>
    <w:rsid w:val="002A6B0D"/>
    <w:rsid w:val="002B0AB3"/>
    <w:rsid w:val="002B29F1"/>
    <w:rsid w:val="002B2F7F"/>
    <w:rsid w:val="002B493F"/>
    <w:rsid w:val="002B49C8"/>
    <w:rsid w:val="002B6CE6"/>
    <w:rsid w:val="002B70AC"/>
    <w:rsid w:val="002C499F"/>
    <w:rsid w:val="002D1218"/>
    <w:rsid w:val="002D37C4"/>
    <w:rsid w:val="002D445E"/>
    <w:rsid w:val="002E1E7E"/>
    <w:rsid w:val="002E202F"/>
    <w:rsid w:val="002E30B1"/>
    <w:rsid w:val="002E4760"/>
    <w:rsid w:val="002E4D9F"/>
    <w:rsid w:val="002F3744"/>
    <w:rsid w:val="002F5708"/>
    <w:rsid w:val="002F7C1C"/>
    <w:rsid w:val="0031027F"/>
    <w:rsid w:val="0031156D"/>
    <w:rsid w:val="00314C13"/>
    <w:rsid w:val="003159A8"/>
    <w:rsid w:val="0032058F"/>
    <w:rsid w:val="0032357F"/>
    <w:rsid w:val="00323971"/>
    <w:rsid w:val="00325364"/>
    <w:rsid w:val="00325701"/>
    <w:rsid w:val="003261D6"/>
    <w:rsid w:val="0033037D"/>
    <w:rsid w:val="003330E3"/>
    <w:rsid w:val="00334553"/>
    <w:rsid w:val="003417E3"/>
    <w:rsid w:val="00342B6C"/>
    <w:rsid w:val="00343FB2"/>
    <w:rsid w:val="00347282"/>
    <w:rsid w:val="00350123"/>
    <w:rsid w:val="00351FEE"/>
    <w:rsid w:val="00354D61"/>
    <w:rsid w:val="00355C4F"/>
    <w:rsid w:val="00361C3F"/>
    <w:rsid w:val="00361EAF"/>
    <w:rsid w:val="00362FD3"/>
    <w:rsid w:val="0036506B"/>
    <w:rsid w:val="0036681F"/>
    <w:rsid w:val="003716A3"/>
    <w:rsid w:val="00374823"/>
    <w:rsid w:val="00374C3B"/>
    <w:rsid w:val="00377F9F"/>
    <w:rsid w:val="00384BED"/>
    <w:rsid w:val="00390501"/>
    <w:rsid w:val="003935CD"/>
    <w:rsid w:val="00397D9C"/>
    <w:rsid w:val="003A085D"/>
    <w:rsid w:val="003A79A9"/>
    <w:rsid w:val="003A7A32"/>
    <w:rsid w:val="003B2BCE"/>
    <w:rsid w:val="003B48BC"/>
    <w:rsid w:val="003C06A3"/>
    <w:rsid w:val="003C0E32"/>
    <w:rsid w:val="003C104B"/>
    <w:rsid w:val="003C11A6"/>
    <w:rsid w:val="003C2A1A"/>
    <w:rsid w:val="003C59BF"/>
    <w:rsid w:val="003D0273"/>
    <w:rsid w:val="003D26F4"/>
    <w:rsid w:val="003D331B"/>
    <w:rsid w:val="003D7F86"/>
    <w:rsid w:val="003E0DC5"/>
    <w:rsid w:val="003E66D0"/>
    <w:rsid w:val="003E78A1"/>
    <w:rsid w:val="003F1928"/>
    <w:rsid w:val="003F27D0"/>
    <w:rsid w:val="003F3B15"/>
    <w:rsid w:val="003F7E31"/>
    <w:rsid w:val="00401569"/>
    <w:rsid w:val="0040199F"/>
    <w:rsid w:val="00405762"/>
    <w:rsid w:val="00423DBF"/>
    <w:rsid w:val="00430AE6"/>
    <w:rsid w:val="00431CF5"/>
    <w:rsid w:val="004344E7"/>
    <w:rsid w:val="004362F1"/>
    <w:rsid w:val="00436C7B"/>
    <w:rsid w:val="004448EA"/>
    <w:rsid w:val="004457DC"/>
    <w:rsid w:val="0045195D"/>
    <w:rsid w:val="00452185"/>
    <w:rsid w:val="00452AF5"/>
    <w:rsid w:val="00455C85"/>
    <w:rsid w:val="00456B45"/>
    <w:rsid w:val="004576E7"/>
    <w:rsid w:val="0045795D"/>
    <w:rsid w:val="00465345"/>
    <w:rsid w:val="00467267"/>
    <w:rsid w:val="00477EC4"/>
    <w:rsid w:val="004805DD"/>
    <w:rsid w:val="00482E39"/>
    <w:rsid w:val="004848BF"/>
    <w:rsid w:val="004975DB"/>
    <w:rsid w:val="004A1DE7"/>
    <w:rsid w:val="004C133E"/>
    <w:rsid w:val="004D57DC"/>
    <w:rsid w:val="004E6D69"/>
    <w:rsid w:val="004F0AAF"/>
    <w:rsid w:val="004F0BFF"/>
    <w:rsid w:val="00503B3B"/>
    <w:rsid w:val="0050485D"/>
    <w:rsid w:val="00504DAD"/>
    <w:rsid w:val="00507E14"/>
    <w:rsid w:val="0051098B"/>
    <w:rsid w:val="00510C34"/>
    <w:rsid w:val="00512163"/>
    <w:rsid w:val="00512386"/>
    <w:rsid w:val="005202FC"/>
    <w:rsid w:val="00520C5D"/>
    <w:rsid w:val="00525770"/>
    <w:rsid w:val="00525E4D"/>
    <w:rsid w:val="0053334B"/>
    <w:rsid w:val="00535D00"/>
    <w:rsid w:val="00536A31"/>
    <w:rsid w:val="00536B7D"/>
    <w:rsid w:val="00536F7F"/>
    <w:rsid w:val="00546644"/>
    <w:rsid w:val="00552223"/>
    <w:rsid w:val="00555BEB"/>
    <w:rsid w:val="00556D4C"/>
    <w:rsid w:val="00561638"/>
    <w:rsid w:val="005633A7"/>
    <w:rsid w:val="0056358F"/>
    <w:rsid w:val="00567EB3"/>
    <w:rsid w:val="00570564"/>
    <w:rsid w:val="00574CC7"/>
    <w:rsid w:val="00576D78"/>
    <w:rsid w:val="00580E30"/>
    <w:rsid w:val="00582074"/>
    <w:rsid w:val="0058643A"/>
    <w:rsid w:val="00591353"/>
    <w:rsid w:val="0059150A"/>
    <w:rsid w:val="005A7C68"/>
    <w:rsid w:val="005A7D26"/>
    <w:rsid w:val="005B4CD7"/>
    <w:rsid w:val="005C3AF4"/>
    <w:rsid w:val="005C4650"/>
    <w:rsid w:val="005C5AE5"/>
    <w:rsid w:val="005D0601"/>
    <w:rsid w:val="005E1924"/>
    <w:rsid w:val="005E32A8"/>
    <w:rsid w:val="005E41A6"/>
    <w:rsid w:val="005E5350"/>
    <w:rsid w:val="005F493E"/>
    <w:rsid w:val="005F5A6A"/>
    <w:rsid w:val="005F6269"/>
    <w:rsid w:val="005F7E77"/>
    <w:rsid w:val="005F7F66"/>
    <w:rsid w:val="00605AFC"/>
    <w:rsid w:val="00607ED2"/>
    <w:rsid w:val="00610C04"/>
    <w:rsid w:val="00611513"/>
    <w:rsid w:val="00612607"/>
    <w:rsid w:val="00613ECF"/>
    <w:rsid w:val="006319B8"/>
    <w:rsid w:val="006417E2"/>
    <w:rsid w:val="0064216C"/>
    <w:rsid w:val="00645C95"/>
    <w:rsid w:val="00647335"/>
    <w:rsid w:val="00650014"/>
    <w:rsid w:val="006548EC"/>
    <w:rsid w:val="0065785A"/>
    <w:rsid w:val="00661CCB"/>
    <w:rsid w:val="00661FC2"/>
    <w:rsid w:val="006623BF"/>
    <w:rsid w:val="00663D10"/>
    <w:rsid w:val="00670680"/>
    <w:rsid w:val="00670AA9"/>
    <w:rsid w:val="00673FFC"/>
    <w:rsid w:val="006762B3"/>
    <w:rsid w:val="00682FF5"/>
    <w:rsid w:val="006848F6"/>
    <w:rsid w:val="00685A2D"/>
    <w:rsid w:val="00685F47"/>
    <w:rsid w:val="00687C60"/>
    <w:rsid w:val="00690E54"/>
    <w:rsid w:val="0069131E"/>
    <w:rsid w:val="00691C15"/>
    <w:rsid w:val="00693A73"/>
    <w:rsid w:val="00696E00"/>
    <w:rsid w:val="006A1351"/>
    <w:rsid w:val="006A1A3F"/>
    <w:rsid w:val="006A3F3C"/>
    <w:rsid w:val="006B05FA"/>
    <w:rsid w:val="006B0F61"/>
    <w:rsid w:val="006B5299"/>
    <w:rsid w:val="006C294B"/>
    <w:rsid w:val="006C7097"/>
    <w:rsid w:val="006D2741"/>
    <w:rsid w:val="006E1607"/>
    <w:rsid w:val="006E5A9D"/>
    <w:rsid w:val="006E6C39"/>
    <w:rsid w:val="006F4334"/>
    <w:rsid w:val="006F57E4"/>
    <w:rsid w:val="006F5CC0"/>
    <w:rsid w:val="00706AC0"/>
    <w:rsid w:val="00706AFF"/>
    <w:rsid w:val="0071049C"/>
    <w:rsid w:val="00711260"/>
    <w:rsid w:val="00714268"/>
    <w:rsid w:val="00716163"/>
    <w:rsid w:val="00717A8C"/>
    <w:rsid w:val="00717AE6"/>
    <w:rsid w:val="00721D18"/>
    <w:rsid w:val="00726824"/>
    <w:rsid w:val="00737BFC"/>
    <w:rsid w:val="00740025"/>
    <w:rsid w:val="00743621"/>
    <w:rsid w:val="00750C7B"/>
    <w:rsid w:val="00751964"/>
    <w:rsid w:val="00757D46"/>
    <w:rsid w:val="0076002A"/>
    <w:rsid w:val="0076696B"/>
    <w:rsid w:val="00766DBD"/>
    <w:rsid w:val="00771850"/>
    <w:rsid w:val="00775695"/>
    <w:rsid w:val="00781799"/>
    <w:rsid w:val="00783357"/>
    <w:rsid w:val="00792ED7"/>
    <w:rsid w:val="0079337E"/>
    <w:rsid w:val="00795B2E"/>
    <w:rsid w:val="00795DF8"/>
    <w:rsid w:val="007A4AFB"/>
    <w:rsid w:val="007B1A93"/>
    <w:rsid w:val="007B231D"/>
    <w:rsid w:val="007B400C"/>
    <w:rsid w:val="007D07B5"/>
    <w:rsid w:val="007D37CB"/>
    <w:rsid w:val="007D3926"/>
    <w:rsid w:val="007E16AD"/>
    <w:rsid w:val="007E2815"/>
    <w:rsid w:val="007E435F"/>
    <w:rsid w:val="007F335A"/>
    <w:rsid w:val="007F36F8"/>
    <w:rsid w:val="007F37B0"/>
    <w:rsid w:val="00802523"/>
    <w:rsid w:val="00803765"/>
    <w:rsid w:val="00805CCE"/>
    <w:rsid w:val="008074F0"/>
    <w:rsid w:val="00812903"/>
    <w:rsid w:val="008154CE"/>
    <w:rsid w:val="00817B79"/>
    <w:rsid w:val="008205DD"/>
    <w:rsid w:val="008209E5"/>
    <w:rsid w:val="00821EF4"/>
    <w:rsid w:val="00822521"/>
    <w:rsid w:val="00822AF2"/>
    <w:rsid w:val="00824A55"/>
    <w:rsid w:val="0082647B"/>
    <w:rsid w:val="00831BBD"/>
    <w:rsid w:val="00832184"/>
    <w:rsid w:val="00833D1E"/>
    <w:rsid w:val="008372BE"/>
    <w:rsid w:val="00843C7D"/>
    <w:rsid w:val="008458A2"/>
    <w:rsid w:val="00855239"/>
    <w:rsid w:val="00860A45"/>
    <w:rsid w:val="00861213"/>
    <w:rsid w:val="00864281"/>
    <w:rsid w:val="00870527"/>
    <w:rsid w:val="00890A49"/>
    <w:rsid w:val="00890FB3"/>
    <w:rsid w:val="0089282A"/>
    <w:rsid w:val="00893FFA"/>
    <w:rsid w:val="00894C25"/>
    <w:rsid w:val="00895430"/>
    <w:rsid w:val="008A08AF"/>
    <w:rsid w:val="008A1B8A"/>
    <w:rsid w:val="008A31CB"/>
    <w:rsid w:val="008A6205"/>
    <w:rsid w:val="008A6B80"/>
    <w:rsid w:val="008A7E9F"/>
    <w:rsid w:val="008C0DAA"/>
    <w:rsid w:val="008C5534"/>
    <w:rsid w:val="008D38DD"/>
    <w:rsid w:val="008D3AAD"/>
    <w:rsid w:val="008E157F"/>
    <w:rsid w:val="008F0057"/>
    <w:rsid w:val="008F087F"/>
    <w:rsid w:val="008F4956"/>
    <w:rsid w:val="0090099A"/>
    <w:rsid w:val="00901641"/>
    <w:rsid w:val="00901E4F"/>
    <w:rsid w:val="00902359"/>
    <w:rsid w:val="00902833"/>
    <w:rsid w:val="00904919"/>
    <w:rsid w:val="0090672E"/>
    <w:rsid w:val="00906E1C"/>
    <w:rsid w:val="00914BA0"/>
    <w:rsid w:val="0092208E"/>
    <w:rsid w:val="00925F43"/>
    <w:rsid w:val="0093269A"/>
    <w:rsid w:val="00932F94"/>
    <w:rsid w:val="009330A8"/>
    <w:rsid w:val="009374C6"/>
    <w:rsid w:val="00940FAD"/>
    <w:rsid w:val="00942A42"/>
    <w:rsid w:val="00945A32"/>
    <w:rsid w:val="00945D5A"/>
    <w:rsid w:val="0094761F"/>
    <w:rsid w:val="00950FE6"/>
    <w:rsid w:val="00954903"/>
    <w:rsid w:val="0095755F"/>
    <w:rsid w:val="009600D1"/>
    <w:rsid w:val="0096155B"/>
    <w:rsid w:val="00963B46"/>
    <w:rsid w:val="00973EA7"/>
    <w:rsid w:val="00974237"/>
    <w:rsid w:val="00975EF0"/>
    <w:rsid w:val="0097665B"/>
    <w:rsid w:val="0097721B"/>
    <w:rsid w:val="00977FE4"/>
    <w:rsid w:val="0098371C"/>
    <w:rsid w:val="00984A8D"/>
    <w:rsid w:val="00996B66"/>
    <w:rsid w:val="009A2073"/>
    <w:rsid w:val="009A5060"/>
    <w:rsid w:val="009A61D8"/>
    <w:rsid w:val="009B38AF"/>
    <w:rsid w:val="009C43AC"/>
    <w:rsid w:val="009C4CC3"/>
    <w:rsid w:val="009C5628"/>
    <w:rsid w:val="009C569B"/>
    <w:rsid w:val="009C7219"/>
    <w:rsid w:val="009D42BE"/>
    <w:rsid w:val="009D5373"/>
    <w:rsid w:val="009D5486"/>
    <w:rsid w:val="009D597C"/>
    <w:rsid w:val="009F3B0E"/>
    <w:rsid w:val="00A01632"/>
    <w:rsid w:val="00A02099"/>
    <w:rsid w:val="00A021C2"/>
    <w:rsid w:val="00A04F8E"/>
    <w:rsid w:val="00A05383"/>
    <w:rsid w:val="00A06995"/>
    <w:rsid w:val="00A06E59"/>
    <w:rsid w:val="00A12E7F"/>
    <w:rsid w:val="00A1600B"/>
    <w:rsid w:val="00A17C88"/>
    <w:rsid w:val="00A210E7"/>
    <w:rsid w:val="00A310B1"/>
    <w:rsid w:val="00A31ACF"/>
    <w:rsid w:val="00A32936"/>
    <w:rsid w:val="00A35527"/>
    <w:rsid w:val="00A36CA7"/>
    <w:rsid w:val="00A40C1D"/>
    <w:rsid w:val="00A42224"/>
    <w:rsid w:val="00A42733"/>
    <w:rsid w:val="00A46BE7"/>
    <w:rsid w:val="00A50CB7"/>
    <w:rsid w:val="00A5331C"/>
    <w:rsid w:val="00A535C7"/>
    <w:rsid w:val="00A61A28"/>
    <w:rsid w:val="00A622DA"/>
    <w:rsid w:val="00A6274D"/>
    <w:rsid w:val="00A62ECB"/>
    <w:rsid w:val="00A76E45"/>
    <w:rsid w:val="00A80322"/>
    <w:rsid w:val="00A804D2"/>
    <w:rsid w:val="00A86E47"/>
    <w:rsid w:val="00A9509A"/>
    <w:rsid w:val="00AB0460"/>
    <w:rsid w:val="00AB62F9"/>
    <w:rsid w:val="00AB6C27"/>
    <w:rsid w:val="00AB72B1"/>
    <w:rsid w:val="00AC5DC6"/>
    <w:rsid w:val="00AD786A"/>
    <w:rsid w:val="00AD78E1"/>
    <w:rsid w:val="00AE259A"/>
    <w:rsid w:val="00AE6C93"/>
    <w:rsid w:val="00AE6F14"/>
    <w:rsid w:val="00AF234B"/>
    <w:rsid w:val="00AF7248"/>
    <w:rsid w:val="00B00774"/>
    <w:rsid w:val="00B072CA"/>
    <w:rsid w:val="00B15192"/>
    <w:rsid w:val="00B15A66"/>
    <w:rsid w:val="00B236EF"/>
    <w:rsid w:val="00B303A0"/>
    <w:rsid w:val="00B33FEC"/>
    <w:rsid w:val="00B345AD"/>
    <w:rsid w:val="00B34A72"/>
    <w:rsid w:val="00B3644D"/>
    <w:rsid w:val="00B373B1"/>
    <w:rsid w:val="00B37527"/>
    <w:rsid w:val="00B41842"/>
    <w:rsid w:val="00B52C5B"/>
    <w:rsid w:val="00B53733"/>
    <w:rsid w:val="00B53E9A"/>
    <w:rsid w:val="00B55087"/>
    <w:rsid w:val="00B55859"/>
    <w:rsid w:val="00B56E69"/>
    <w:rsid w:val="00B61243"/>
    <w:rsid w:val="00B64BA7"/>
    <w:rsid w:val="00B664B1"/>
    <w:rsid w:val="00B671E8"/>
    <w:rsid w:val="00B67B05"/>
    <w:rsid w:val="00B70761"/>
    <w:rsid w:val="00B72F2D"/>
    <w:rsid w:val="00B774D1"/>
    <w:rsid w:val="00B80A13"/>
    <w:rsid w:val="00B8129E"/>
    <w:rsid w:val="00B86415"/>
    <w:rsid w:val="00B93924"/>
    <w:rsid w:val="00B9412E"/>
    <w:rsid w:val="00BA47C7"/>
    <w:rsid w:val="00BA4CD1"/>
    <w:rsid w:val="00BA5283"/>
    <w:rsid w:val="00BA53F5"/>
    <w:rsid w:val="00BB2447"/>
    <w:rsid w:val="00BB5756"/>
    <w:rsid w:val="00BC1DA5"/>
    <w:rsid w:val="00BC64CD"/>
    <w:rsid w:val="00BD3C65"/>
    <w:rsid w:val="00BE157D"/>
    <w:rsid w:val="00BE2FB0"/>
    <w:rsid w:val="00BE4572"/>
    <w:rsid w:val="00BE7106"/>
    <w:rsid w:val="00BF0F0F"/>
    <w:rsid w:val="00BF2A40"/>
    <w:rsid w:val="00BF522B"/>
    <w:rsid w:val="00BF59C1"/>
    <w:rsid w:val="00C12FDC"/>
    <w:rsid w:val="00C16026"/>
    <w:rsid w:val="00C16499"/>
    <w:rsid w:val="00C16BAE"/>
    <w:rsid w:val="00C26BFC"/>
    <w:rsid w:val="00C310E7"/>
    <w:rsid w:val="00C32A04"/>
    <w:rsid w:val="00C331D2"/>
    <w:rsid w:val="00C33FAB"/>
    <w:rsid w:val="00C366D2"/>
    <w:rsid w:val="00C422C5"/>
    <w:rsid w:val="00C42848"/>
    <w:rsid w:val="00C456A4"/>
    <w:rsid w:val="00C50669"/>
    <w:rsid w:val="00C5373C"/>
    <w:rsid w:val="00C53D1F"/>
    <w:rsid w:val="00C60548"/>
    <w:rsid w:val="00C615C8"/>
    <w:rsid w:val="00C702CF"/>
    <w:rsid w:val="00C72658"/>
    <w:rsid w:val="00C855BC"/>
    <w:rsid w:val="00C862C8"/>
    <w:rsid w:val="00C93237"/>
    <w:rsid w:val="00C964B5"/>
    <w:rsid w:val="00C97243"/>
    <w:rsid w:val="00CA2D45"/>
    <w:rsid w:val="00CA74D2"/>
    <w:rsid w:val="00CB6065"/>
    <w:rsid w:val="00CB784E"/>
    <w:rsid w:val="00CC0168"/>
    <w:rsid w:val="00CC0251"/>
    <w:rsid w:val="00CC28A9"/>
    <w:rsid w:val="00CC39C4"/>
    <w:rsid w:val="00CC5449"/>
    <w:rsid w:val="00CC5B45"/>
    <w:rsid w:val="00CC5DB2"/>
    <w:rsid w:val="00CC66B7"/>
    <w:rsid w:val="00CD4888"/>
    <w:rsid w:val="00CD4C86"/>
    <w:rsid w:val="00CD55BE"/>
    <w:rsid w:val="00CD7AE2"/>
    <w:rsid w:val="00CE2C7E"/>
    <w:rsid w:val="00CE5444"/>
    <w:rsid w:val="00CF0DAA"/>
    <w:rsid w:val="00CF1488"/>
    <w:rsid w:val="00CF2891"/>
    <w:rsid w:val="00CF479B"/>
    <w:rsid w:val="00D13132"/>
    <w:rsid w:val="00D131AF"/>
    <w:rsid w:val="00D13244"/>
    <w:rsid w:val="00D16B72"/>
    <w:rsid w:val="00D236F0"/>
    <w:rsid w:val="00D23E92"/>
    <w:rsid w:val="00D2646D"/>
    <w:rsid w:val="00D2760F"/>
    <w:rsid w:val="00D332B0"/>
    <w:rsid w:val="00D3501A"/>
    <w:rsid w:val="00D374FC"/>
    <w:rsid w:val="00D44002"/>
    <w:rsid w:val="00D567B3"/>
    <w:rsid w:val="00D56C58"/>
    <w:rsid w:val="00D60BE5"/>
    <w:rsid w:val="00D62192"/>
    <w:rsid w:val="00D625E1"/>
    <w:rsid w:val="00D639E4"/>
    <w:rsid w:val="00D712E9"/>
    <w:rsid w:val="00D71E8B"/>
    <w:rsid w:val="00D75DA7"/>
    <w:rsid w:val="00D77AD8"/>
    <w:rsid w:val="00D811CC"/>
    <w:rsid w:val="00D86E99"/>
    <w:rsid w:val="00D902AD"/>
    <w:rsid w:val="00D975BB"/>
    <w:rsid w:val="00DA0B3D"/>
    <w:rsid w:val="00DA58D1"/>
    <w:rsid w:val="00DA5C5F"/>
    <w:rsid w:val="00DA6FC3"/>
    <w:rsid w:val="00DB420F"/>
    <w:rsid w:val="00DB768F"/>
    <w:rsid w:val="00DC0582"/>
    <w:rsid w:val="00DC15DE"/>
    <w:rsid w:val="00DC3871"/>
    <w:rsid w:val="00DC55C8"/>
    <w:rsid w:val="00DD07A5"/>
    <w:rsid w:val="00DD4695"/>
    <w:rsid w:val="00DE0C3F"/>
    <w:rsid w:val="00DE67FC"/>
    <w:rsid w:val="00DF36CD"/>
    <w:rsid w:val="00DF468B"/>
    <w:rsid w:val="00DF4CDF"/>
    <w:rsid w:val="00DF74DA"/>
    <w:rsid w:val="00E011A3"/>
    <w:rsid w:val="00E12E45"/>
    <w:rsid w:val="00E13F88"/>
    <w:rsid w:val="00E152F4"/>
    <w:rsid w:val="00E2258B"/>
    <w:rsid w:val="00E230FC"/>
    <w:rsid w:val="00E34EF6"/>
    <w:rsid w:val="00E418C6"/>
    <w:rsid w:val="00E44C39"/>
    <w:rsid w:val="00E475A5"/>
    <w:rsid w:val="00E60869"/>
    <w:rsid w:val="00E60C45"/>
    <w:rsid w:val="00E61935"/>
    <w:rsid w:val="00E6409F"/>
    <w:rsid w:val="00E64275"/>
    <w:rsid w:val="00E64284"/>
    <w:rsid w:val="00E674AF"/>
    <w:rsid w:val="00E71821"/>
    <w:rsid w:val="00E72A62"/>
    <w:rsid w:val="00E74B9B"/>
    <w:rsid w:val="00E820CB"/>
    <w:rsid w:val="00E83EC7"/>
    <w:rsid w:val="00E92A9A"/>
    <w:rsid w:val="00E94BBE"/>
    <w:rsid w:val="00E97324"/>
    <w:rsid w:val="00EA0988"/>
    <w:rsid w:val="00EA7008"/>
    <w:rsid w:val="00EB0EDA"/>
    <w:rsid w:val="00EB1968"/>
    <w:rsid w:val="00EC7D11"/>
    <w:rsid w:val="00ED23FB"/>
    <w:rsid w:val="00ED553A"/>
    <w:rsid w:val="00EE6146"/>
    <w:rsid w:val="00EE7B32"/>
    <w:rsid w:val="00EF21BF"/>
    <w:rsid w:val="00EF2344"/>
    <w:rsid w:val="00EF393F"/>
    <w:rsid w:val="00EF4979"/>
    <w:rsid w:val="00EF7663"/>
    <w:rsid w:val="00F060B4"/>
    <w:rsid w:val="00F12456"/>
    <w:rsid w:val="00F13672"/>
    <w:rsid w:val="00F17381"/>
    <w:rsid w:val="00F23478"/>
    <w:rsid w:val="00F26711"/>
    <w:rsid w:val="00F273DB"/>
    <w:rsid w:val="00F3204A"/>
    <w:rsid w:val="00F36C0B"/>
    <w:rsid w:val="00F370EB"/>
    <w:rsid w:val="00F377D4"/>
    <w:rsid w:val="00F417BF"/>
    <w:rsid w:val="00F42D69"/>
    <w:rsid w:val="00F44360"/>
    <w:rsid w:val="00F47E1B"/>
    <w:rsid w:val="00F6284C"/>
    <w:rsid w:val="00F65A16"/>
    <w:rsid w:val="00F7099D"/>
    <w:rsid w:val="00F724FC"/>
    <w:rsid w:val="00F75A65"/>
    <w:rsid w:val="00F76DDB"/>
    <w:rsid w:val="00F87059"/>
    <w:rsid w:val="00F90B64"/>
    <w:rsid w:val="00F962F1"/>
    <w:rsid w:val="00FA09C5"/>
    <w:rsid w:val="00FA1AA9"/>
    <w:rsid w:val="00FA23A4"/>
    <w:rsid w:val="00FA2993"/>
    <w:rsid w:val="00FA700F"/>
    <w:rsid w:val="00FC10D1"/>
    <w:rsid w:val="00FC1E52"/>
    <w:rsid w:val="00FC3859"/>
    <w:rsid w:val="00FD28F9"/>
    <w:rsid w:val="00FD40C2"/>
    <w:rsid w:val="00FD5E7F"/>
    <w:rsid w:val="00FD76C1"/>
    <w:rsid w:val="00FE089F"/>
    <w:rsid w:val="00FE2349"/>
    <w:rsid w:val="00FE35BD"/>
    <w:rsid w:val="00FF11CF"/>
    <w:rsid w:val="00FF12F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2A04"/>
  </w:style>
  <w:style w:type="paragraph" w:styleId="Porat">
    <w:name w:val="footer"/>
    <w:basedOn w:val="prastasis"/>
    <w:link w:val="Porat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2A04"/>
  </w:style>
  <w:style w:type="paragraph" w:styleId="Porat">
    <w:name w:val="footer"/>
    <w:basedOn w:val="prastasis"/>
    <w:link w:val="PoratDiagrama"/>
    <w:uiPriority w:val="99"/>
    <w:unhideWhenUsed/>
    <w:rsid w:val="00C3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61A1-E08D-4E33-BBDE-4884797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10689</Words>
  <Characters>6093</Characters>
  <Application>Microsoft Office Word</Application>
  <DocSecurity>4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EKSTREMALIŲJŲ SITUACIJŲ 2018–2020 M. PREVENCIJOS PRIEMONIŲ PLANAS</dc:subject>
  <dc:creator>Miesto civilinės saugos skyrius</dc:creator>
  <cp:lastModifiedBy>Romaldas Mikėnas</cp:lastModifiedBy>
  <cp:revision>2</cp:revision>
  <dcterms:created xsi:type="dcterms:W3CDTF">2018-01-25T08:20:00Z</dcterms:created>
  <dcterms:modified xsi:type="dcterms:W3CDTF">2018-01-25T08:20:00Z</dcterms:modified>
</cp:coreProperties>
</file>