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65F" w:rsidRPr="00AB7AAE" w:rsidRDefault="008E3FBE" w:rsidP="008E3FBE">
      <w:pPr>
        <w:jc w:val="center"/>
        <w:rPr>
          <w:b/>
          <w:sz w:val="28"/>
          <w:szCs w:val="28"/>
        </w:rPr>
      </w:pPr>
      <w:r w:rsidRPr="00AB7AAE">
        <w:rPr>
          <w:b/>
          <w:sz w:val="28"/>
          <w:szCs w:val="28"/>
        </w:rPr>
        <w:t>KAUNO MIESTO UGDYMO ĮSTAIGŲ SOCIALINIS PASAS</w:t>
      </w:r>
    </w:p>
    <w:p w:rsidR="00E518AD" w:rsidRPr="00AB7AAE" w:rsidRDefault="00E518AD" w:rsidP="008E3FBE">
      <w:pPr>
        <w:jc w:val="center"/>
        <w:rPr>
          <w:b/>
          <w:sz w:val="28"/>
          <w:szCs w:val="28"/>
        </w:rPr>
      </w:pPr>
      <w:r w:rsidRPr="00AB7AAE">
        <w:rPr>
          <w:b/>
          <w:sz w:val="28"/>
          <w:szCs w:val="28"/>
        </w:rPr>
        <w:t>2013-2015 m.</w:t>
      </w:r>
    </w:p>
    <w:p w:rsidR="008E3FBE" w:rsidRPr="00907196" w:rsidRDefault="008E3FBE" w:rsidP="008E3FBE">
      <w:pPr>
        <w:jc w:val="center"/>
      </w:pPr>
    </w:p>
    <w:p w:rsidR="00AB7AAE" w:rsidRDefault="00AB7AAE" w:rsidP="00AB7AAE">
      <w:pPr>
        <w:spacing w:line="240" w:lineRule="auto"/>
        <w:jc w:val="both"/>
        <w:rPr>
          <w:b/>
          <w:szCs w:val="24"/>
        </w:rPr>
      </w:pPr>
      <w:r>
        <w:rPr>
          <w:b/>
          <w:szCs w:val="24"/>
        </w:rPr>
        <w:t xml:space="preserve">           </w:t>
      </w:r>
      <w:r w:rsidRPr="00EF12D7">
        <w:rPr>
          <w:b/>
          <w:szCs w:val="24"/>
        </w:rPr>
        <w:t xml:space="preserve">Kauno miesto savivaldybės administracijos Švietimo skyriaus  vyriausioji specialistė  </w:t>
      </w:r>
    </w:p>
    <w:p w:rsidR="00AB7AAE" w:rsidRPr="00EF12D7" w:rsidRDefault="00AB7AAE" w:rsidP="00AB7AAE">
      <w:pPr>
        <w:spacing w:line="240" w:lineRule="auto"/>
        <w:jc w:val="both"/>
        <w:rPr>
          <w:b/>
          <w:szCs w:val="24"/>
        </w:rPr>
      </w:pPr>
      <w:r>
        <w:rPr>
          <w:b/>
          <w:szCs w:val="24"/>
        </w:rPr>
        <w:t xml:space="preserve">          </w:t>
      </w:r>
      <w:r w:rsidRPr="00EF12D7">
        <w:rPr>
          <w:b/>
          <w:szCs w:val="24"/>
        </w:rPr>
        <w:t xml:space="preserve">Jurgita </w:t>
      </w:r>
      <w:r>
        <w:rPr>
          <w:b/>
          <w:szCs w:val="24"/>
        </w:rPr>
        <w:t xml:space="preserve">    </w:t>
      </w:r>
      <w:r w:rsidRPr="00EF12D7">
        <w:rPr>
          <w:b/>
          <w:szCs w:val="24"/>
        </w:rPr>
        <w:t>Česnulevičienė</w:t>
      </w:r>
    </w:p>
    <w:p w:rsidR="00AB7AAE" w:rsidRDefault="00AB7AAE" w:rsidP="00AB7AAE">
      <w:pPr>
        <w:spacing w:after="0" w:line="360" w:lineRule="auto"/>
        <w:ind w:firstLine="567"/>
        <w:jc w:val="both"/>
      </w:pPr>
      <w:r w:rsidRPr="00EF12D7">
        <w:rPr>
          <w:b/>
          <w:szCs w:val="24"/>
        </w:rPr>
        <w:t>Techninis duomenų apdorojimas: Lietuvos sveikatos mokslų universiteto vidurinės mokyklos socialinė pedagogė Edita Vasiliauskaitė</w:t>
      </w:r>
    </w:p>
    <w:p w:rsidR="003779B3" w:rsidRPr="00907196" w:rsidRDefault="008E3FBE" w:rsidP="00E518AD">
      <w:pPr>
        <w:spacing w:after="0" w:line="360" w:lineRule="auto"/>
        <w:ind w:firstLine="567"/>
        <w:jc w:val="both"/>
      </w:pPr>
      <w:r w:rsidRPr="00907196">
        <w:t xml:space="preserve">Kauno miesto ugdymo įstaigų socialinio paso duomenys rinkti 2015 m. lapkričio mėnesį, o duomenų analizė atlikta 2016 m. sausio mėnesį. Analizėje naudojami trijų metų (2013-2015 m.) socialinių pasų duomenys. </w:t>
      </w:r>
      <w:r w:rsidR="00E518AD" w:rsidRPr="00907196">
        <w:t xml:space="preserve">Kasmet labai skiriasi ugdymo įstaigų skaičius pagal tipus, nes vyko mokyklų tinklo pertvarka, kuomet vidurinės mokyklos tapo gimnazijomis ar progimnazijomis, pagrindinėmis mokyklomis ir pan. </w:t>
      </w:r>
    </w:p>
    <w:p w:rsidR="00CA0153" w:rsidRPr="00907196" w:rsidRDefault="00CA0153" w:rsidP="00E518AD">
      <w:pPr>
        <w:spacing w:after="0" w:line="360" w:lineRule="auto"/>
        <w:ind w:firstLine="567"/>
        <w:jc w:val="both"/>
      </w:pPr>
      <w:r w:rsidRPr="00907196">
        <w:t xml:space="preserve">Lyginant trijų metų duomenis matome (žr. 1 pav.), kad 2015 m. labiausiai išaugo gimnazijose besimokančių mokinių skaičius (11987). Taip pat padaugėjo mokinių besimokančių pagrindinėse mokyklose – 5322 bei progimnazijose – 4855. Labiausiai mokinių sumažėjo vidurinėse mokyklose ar daugiafunkciniuose centruose (2528), tačiau tai lėmė tai, kad vidurinės mokyklos tapo gimnazijomis, </w:t>
      </w:r>
      <w:r w:rsidR="00907196" w:rsidRPr="00907196">
        <w:t>progimnazijomis</w:t>
      </w:r>
      <w:r w:rsidRPr="00907196">
        <w:t>, daugiafunkciniais centrais ir pan.</w:t>
      </w:r>
      <w:bookmarkStart w:id="0" w:name="_GoBack"/>
      <w:bookmarkEnd w:id="0"/>
    </w:p>
    <w:p w:rsidR="00CA0153" w:rsidRPr="00907196" w:rsidRDefault="00CA0153" w:rsidP="00E518AD">
      <w:pPr>
        <w:spacing w:after="0" w:line="360" w:lineRule="auto"/>
        <w:ind w:firstLine="567"/>
        <w:jc w:val="both"/>
      </w:pPr>
    </w:p>
    <w:p w:rsidR="003779B3" w:rsidRPr="00907196" w:rsidRDefault="003779B3" w:rsidP="00E518AD">
      <w:pPr>
        <w:spacing w:after="0" w:line="360" w:lineRule="auto"/>
        <w:ind w:firstLine="567"/>
        <w:jc w:val="both"/>
      </w:pPr>
      <w:r w:rsidRPr="00907196">
        <w:rPr>
          <w:noProof/>
          <w:lang w:eastAsia="lt-LT"/>
        </w:rPr>
        <w:drawing>
          <wp:inline distT="0" distB="0" distL="0" distR="0" wp14:anchorId="519411D0" wp14:editId="387C39E5">
            <wp:extent cx="6191250" cy="36576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779B3" w:rsidRPr="00907196" w:rsidRDefault="00CA0153" w:rsidP="00CA0153">
      <w:pPr>
        <w:spacing w:after="0" w:line="360" w:lineRule="auto"/>
        <w:ind w:firstLine="567"/>
        <w:jc w:val="center"/>
      </w:pPr>
      <w:r w:rsidRPr="00907196">
        <w:t>1 pav. Ugdymo įstaigas lankančių mokinių skaičius</w:t>
      </w:r>
    </w:p>
    <w:p w:rsidR="00CA0153" w:rsidRPr="00907196" w:rsidRDefault="00CA0153" w:rsidP="00CA0153">
      <w:pPr>
        <w:spacing w:after="0" w:line="360" w:lineRule="auto"/>
        <w:ind w:firstLine="567"/>
        <w:jc w:val="center"/>
      </w:pPr>
    </w:p>
    <w:p w:rsidR="005C4680" w:rsidRPr="00907196" w:rsidRDefault="005C4680" w:rsidP="005C4680">
      <w:pPr>
        <w:spacing w:after="0" w:line="360" w:lineRule="auto"/>
        <w:ind w:firstLine="567"/>
        <w:jc w:val="both"/>
      </w:pPr>
      <w:r w:rsidRPr="00907196">
        <w:lastRenderedPageBreak/>
        <w:t>Toliau duomenys bus pateikti procentine išraiška nuo toje įstaigoje besimokančių mokinių bendro skaičiaus.</w:t>
      </w:r>
    </w:p>
    <w:p w:rsidR="003779B3" w:rsidRPr="00907196" w:rsidRDefault="005C4680" w:rsidP="00E518AD">
      <w:pPr>
        <w:spacing w:after="0" w:line="360" w:lineRule="auto"/>
        <w:ind w:firstLine="567"/>
        <w:jc w:val="both"/>
      </w:pPr>
      <w:r w:rsidRPr="00907196">
        <w:t>Kaip matome iš 2 pav. Mokinių augančių daugiavaikėse šeimose skaičius daugelyje ugdymo įstaigų lieka stabilus. 2015 m. pastebimas mokinių, augančių daugiavaikėse šeimose skaičiaus sumažėjimas gimnazijose (nuo 11.3% iki 7.5%), progimnazijose (nuo 26.6% iki 14.9%)</w:t>
      </w:r>
      <w:r w:rsidR="00F01263" w:rsidRPr="00907196">
        <w:t xml:space="preserve"> bei jaunimo mokyklose (nuo 46% iki 36.6%).  4% specialiosiose mokyklose padaugėjo mokinių iš daugiavaikių šeimų ir 2015 m. jie sudarė 21.5% mokinių, besimokančių šiose mokyklose.</w:t>
      </w:r>
    </w:p>
    <w:p w:rsidR="003779B3" w:rsidRPr="00907196" w:rsidRDefault="003779B3" w:rsidP="00E518AD">
      <w:pPr>
        <w:spacing w:after="0" w:line="360" w:lineRule="auto"/>
        <w:ind w:firstLine="567"/>
        <w:jc w:val="both"/>
      </w:pPr>
    </w:p>
    <w:p w:rsidR="003779B3" w:rsidRPr="00907196" w:rsidRDefault="007C6BA2" w:rsidP="00E518AD">
      <w:pPr>
        <w:spacing w:after="0" w:line="360" w:lineRule="auto"/>
        <w:ind w:firstLine="567"/>
        <w:jc w:val="both"/>
      </w:pPr>
      <w:r w:rsidRPr="00907196">
        <w:rPr>
          <w:noProof/>
          <w:lang w:eastAsia="lt-LT"/>
        </w:rPr>
        <w:drawing>
          <wp:inline distT="0" distB="0" distL="0" distR="0" wp14:anchorId="10C5DE29" wp14:editId="11E887D0">
            <wp:extent cx="6143625" cy="297180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13043" w:rsidRPr="00907196" w:rsidRDefault="00F01263" w:rsidP="00F01263">
      <w:pPr>
        <w:spacing w:after="0" w:line="360" w:lineRule="auto"/>
        <w:ind w:firstLine="567"/>
        <w:jc w:val="center"/>
      </w:pPr>
      <w:r w:rsidRPr="00907196">
        <w:t>2 pav. Mokiniai augantys daugiavaikėse šeimose</w:t>
      </w:r>
    </w:p>
    <w:p w:rsidR="00F01263" w:rsidRPr="00907196" w:rsidRDefault="00F01263" w:rsidP="00F01263">
      <w:pPr>
        <w:spacing w:after="0" w:line="360" w:lineRule="auto"/>
        <w:ind w:firstLine="567"/>
        <w:jc w:val="center"/>
      </w:pPr>
    </w:p>
    <w:p w:rsidR="00F01263" w:rsidRPr="00907196" w:rsidRDefault="00F01263" w:rsidP="00F01263">
      <w:pPr>
        <w:spacing w:after="0" w:line="360" w:lineRule="auto"/>
        <w:ind w:firstLine="567"/>
        <w:jc w:val="both"/>
      </w:pPr>
      <w:r w:rsidRPr="00907196">
        <w:t>Į socialinio paso duomenų rinkimo kriterijus tik 2014 m. buvo įtrauktas punktas apie mokinius, augančius pilnose šeimose, todėl nėra 2013 m. duomenų.</w:t>
      </w:r>
    </w:p>
    <w:p w:rsidR="00F01263" w:rsidRPr="00907196" w:rsidRDefault="00A803A4" w:rsidP="00F01263">
      <w:pPr>
        <w:spacing w:after="0" w:line="360" w:lineRule="auto"/>
        <w:ind w:firstLine="567"/>
        <w:jc w:val="both"/>
      </w:pPr>
      <w:r w:rsidRPr="00907196">
        <w:t>Didžiausias pokytis 2015 m. pastebimas pradinėse mokyklose (žr. 3 pav.), čia mokinių augančių pilnose šeimose skaičius išaugo nuo 54.6 % iki 88.7%, o gimnazijose sumažėjo nuo 70.7% iki 42.4%. Kitose ugdymo įstaigose mokinių, augančių pilnose šeimose skaičius išliko panašus, kaip ir 2014 m.</w:t>
      </w:r>
    </w:p>
    <w:p w:rsidR="00713043" w:rsidRPr="00907196" w:rsidRDefault="00713043" w:rsidP="00E518AD">
      <w:pPr>
        <w:spacing w:after="0" w:line="360" w:lineRule="auto"/>
        <w:ind w:firstLine="567"/>
        <w:jc w:val="both"/>
      </w:pPr>
    </w:p>
    <w:p w:rsidR="00E518AD" w:rsidRPr="00907196" w:rsidRDefault="007C6BA2" w:rsidP="00E518AD">
      <w:pPr>
        <w:spacing w:after="0" w:line="360" w:lineRule="auto"/>
        <w:ind w:firstLine="567"/>
        <w:jc w:val="both"/>
      </w:pPr>
      <w:r w:rsidRPr="00907196">
        <w:rPr>
          <w:noProof/>
          <w:lang w:eastAsia="lt-LT"/>
        </w:rPr>
        <w:lastRenderedPageBreak/>
        <w:drawing>
          <wp:inline distT="0" distB="0" distL="0" distR="0" wp14:anchorId="20AF03E4" wp14:editId="753506AF">
            <wp:extent cx="5870575" cy="3248025"/>
            <wp:effectExtent l="0" t="0" r="1587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C6BA2" w:rsidRPr="00907196" w:rsidRDefault="00A803A4" w:rsidP="00A803A4">
      <w:pPr>
        <w:spacing w:after="0" w:line="360" w:lineRule="auto"/>
        <w:ind w:firstLine="567"/>
        <w:jc w:val="center"/>
      </w:pPr>
      <w:r w:rsidRPr="00907196">
        <w:t>3 pav. Mokinių, augančių pilnose šeimose skaičius</w:t>
      </w:r>
    </w:p>
    <w:p w:rsidR="00A803A4" w:rsidRPr="00907196" w:rsidRDefault="00A803A4" w:rsidP="00A803A4">
      <w:pPr>
        <w:spacing w:after="0" w:line="360" w:lineRule="auto"/>
        <w:ind w:firstLine="567"/>
        <w:jc w:val="center"/>
      </w:pPr>
    </w:p>
    <w:p w:rsidR="00A803A4" w:rsidRPr="00907196" w:rsidRDefault="00E80C69" w:rsidP="00E80C69">
      <w:pPr>
        <w:spacing w:after="0" w:line="360" w:lineRule="auto"/>
        <w:ind w:firstLine="567"/>
        <w:jc w:val="both"/>
      </w:pPr>
      <w:r w:rsidRPr="00907196">
        <w:t>Lyginant trijų metų duomenis pastebima, kad mokinių, kurių tėvai išsituokę skaičius ugdymo įstaigose, per tris paskutinius metus,  išlieka labai panašus. Kiek didesnis pokytis pastebimas gimnazijose, nes čia 2015 m. mokinių, kurių tėvai išsituokę skaičius sumažėjo nuo 22.7% (2013 m.) iki 12.8%, o specialiosiose mokyklose išaugo nuo 15.8% (2014 m.) iki 18.8% (žr. 4 pav.).</w:t>
      </w:r>
    </w:p>
    <w:p w:rsidR="00A803A4" w:rsidRPr="00907196" w:rsidRDefault="00A803A4" w:rsidP="00A803A4">
      <w:pPr>
        <w:spacing w:after="0" w:line="360" w:lineRule="auto"/>
        <w:ind w:firstLine="567"/>
        <w:jc w:val="center"/>
      </w:pPr>
    </w:p>
    <w:p w:rsidR="007C6BA2" w:rsidRPr="00907196" w:rsidRDefault="007C6BA2" w:rsidP="00E518AD">
      <w:pPr>
        <w:spacing w:after="0" w:line="360" w:lineRule="auto"/>
        <w:ind w:firstLine="567"/>
        <w:jc w:val="both"/>
      </w:pPr>
      <w:r w:rsidRPr="00907196">
        <w:rPr>
          <w:noProof/>
          <w:lang w:eastAsia="lt-LT"/>
        </w:rPr>
        <w:drawing>
          <wp:inline distT="0" distB="0" distL="0" distR="0" wp14:anchorId="0E4E6502" wp14:editId="7085B3E6">
            <wp:extent cx="5851525" cy="3248025"/>
            <wp:effectExtent l="0" t="0" r="1587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C6BA2" w:rsidRPr="00907196" w:rsidRDefault="00E80C69" w:rsidP="00E80C69">
      <w:pPr>
        <w:spacing w:after="0" w:line="360" w:lineRule="auto"/>
        <w:ind w:firstLine="567"/>
        <w:jc w:val="center"/>
      </w:pPr>
      <w:r w:rsidRPr="00907196">
        <w:t>4 pav. Mokiniai, kurių tėvai išsituokę</w:t>
      </w:r>
    </w:p>
    <w:p w:rsidR="00E80C69" w:rsidRPr="00907196" w:rsidRDefault="00E80C69" w:rsidP="00E80C69">
      <w:pPr>
        <w:spacing w:after="0" w:line="360" w:lineRule="auto"/>
        <w:ind w:firstLine="567"/>
        <w:jc w:val="center"/>
      </w:pPr>
    </w:p>
    <w:p w:rsidR="00E80C69" w:rsidRPr="00907196" w:rsidRDefault="00E80C69" w:rsidP="00E80C69">
      <w:pPr>
        <w:spacing w:after="0" w:line="360" w:lineRule="auto"/>
        <w:ind w:firstLine="567"/>
        <w:jc w:val="both"/>
      </w:pPr>
      <w:r w:rsidRPr="00907196">
        <w:t>Daugiausiai mokinių augančių tik su mama ar tėčiu mokosi jaunimo mokyklose, nors jų skaičius 2015 m. sumažėjo nuo 34.7% (2014 m.) iki 25.6%</w:t>
      </w:r>
      <w:r w:rsidR="00CE308E" w:rsidRPr="00907196">
        <w:t xml:space="preserve">. Žiūrint į 2015 m. duomenis pastebima, kad </w:t>
      </w:r>
      <w:r w:rsidR="00CE308E" w:rsidRPr="00907196">
        <w:lastRenderedPageBreak/>
        <w:t>specialiosiose mokyklose padaugėjo vienišų mamų ar tėčių auginamų vaikų nuo 6.4% (2014 m. ) iki 10.3% (žr. 5 pav.).</w:t>
      </w:r>
    </w:p>
    <w:p w:rsidR="007C6BA2" w:rsidRPr="00907196" w:rsidRDefault="007C6BA2" w:rsidP="00E518AD">
      <w:pPr>
        <w:spacing w:after="0" w:line="360" w:lineRule="auto"/>
        <w:ind w:firstLine="567"/>
        <w:jc w:val="both"/>
      </w:pPr>
      <w:r w:rsidRPr="00907196">
        <w:rPr>
          <w:noProof/>
          <w:lang w:eastAsia="lt-LT"/>
        </w:rPr>
        <w:drawing>
          <wp:inline distT="0" distB="0" distL="0" distR="0" wp14:anchorId="545364E8" wp14:editId="1E52F6EB">
            <wp:extent cx="5810250" cy="2600325"/>
            <wp:effectExtent l="0" t="0" r="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E308E" w:rsidRPr="00907196" w:rsidRDefault="00CE308E" w:rsidP="00CE308E">
      <w:pPr>
        <w:spacing w:after="0" w:line="360" w:lineRule="auto"/>
        <w:ind w:firstLine="567"/>
        <w:jc w:val="center"/>
      </w:pPr>
      <w:r w:rsidRPr="00907196">
        <w:t>5 pav. Mokinai, kuriuos augina vienišos mamos/tėčiai</w:t>
      </w:r>
    </w:p>
    <w:p w:rsidR="007C6BA2" w:rsidRPr="00907196" w:rsidRDefault="00CE308E" w:rsidP="00E518AD">
      <w:pPr>
        <w:spacing w:after="0" w:line="360" w:lineRule="auto"/>
        <w:ind w:firstLine="567"/>
        <w:jc w:val="both"/>
      </w:pPr>
      <w:r w:rsidRPr="00907196">
        <w:t xml:space="preserve">Beveik visose ugdymo įstaigose 2015 m. sumažėjo mokinių gyvenančių neformaliose šeimose: gimnazijose nuo </w:t>
      </w:r>
      <w:r w:rsidR="00F3328E" w:rsidRPr="00907196">
        <w:t>3.8% (2014 m.) iki 1.5%; vidurinėse mokyklose – daugiafunkciniuose centruose nuo 5.3% iki 4.9%; jaunimo mokyklose nuo 15.3% iki 12.8%; pagrindinėse mokyklose nuo 6.7% iki 5.4%; specialiosiose mokyklose nuo 8.5% iki 7.5%; progimnazijose nuo 9.1% iki 4.5%. Mokyklose – darželiuose tokių mokinių skaičius 2015 m. išaugo nuo 1.6% iki 4.9% (žr. 6 pav.).</w:t>
      </w:r>
    </w:p>
    <w:p w:rsidR="007C6BA2" w:rsidRPr="00907196" w:rsidRDefault="007C6BA2" w:rsidP="00E518AD">
      <w:pPr>
        <w:spacing w:after="0" w:line="360" w:lineRule="auto"/>
        <w:ind w:firstLine="567"/>
        <w:jc w:val="both"/>
      </w:pPr>
      <w:r w:rsidRPr="00907196">
        <w:rPr>
          <w:noProof/>
          <w:lang w:eastAsia="lt-LT"/>
        </w:rPr>
        <w:drawing>
          <wp:inline distT="0" distB="0" distL="0" distR="0" wp14:anchorId="6FD758A7" wp14:editId="33710338">
            <wp:extent cx="5829300" cy="25908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C6BA2" w:rsidRPr="00907196" w:rsidRDefault="00F3328E" w:rsidP="00F3328E">
      <w:pPr>
        <w:spacing w:after="0" w:line="360" w:lineRule="auto"/>
        <w:ind w:firstLine="567"/>
        <w:jc w:val="center"/>
      </w:pPr>
      <w:r w:rsidRPr="00907196">
        <w:t>6 pav. Mokiniai, kurie gyvena neformaliose šeimose (ne su biologiniu vienu iš tėvų)</w:t>
      </w:r>
    </w:p>
    <w:p w:rsidR="00F3328E" w:rsidRPr="00907196" w:rsidRDefault="00F3328E" w:rsidP="00F3328E">
      <w:pPr>
        <w:spacing w:after="0" w:line="360" w:lineRule="auto"/>
        <w:ind w:firstLine="567"/>
        <w:jc w:val="center"/>
      </w:pPr>
    </w:p>
    <w:p w:rsidR="00F3328E" w:rsidRPr="00907196" w:rsidRDefault="00F3328E" w:rsidP="00F3328E">
      <w:pPr>
        <w:spacing w:after="0" w:line="360" w:lineRule="auto"/>
        <w:ind w:firstLine="567"/>
        <w:jc w:val="both"/>
      </w:pPr>
      <w:r w:rsidRPr="00907196">
        <w:t>Daugiausiai negalią turinčių tėvų vaikų mokosi specialios</w:t>
      </w:r>
      <w:r w:rsidR="00907196">
        <w:t>io</w:t>
      </w:r>
      <w:r w:rsidRPr="00907196">
        <w:t>se mokyklose, čia jų skaičius 2015 m. sudarė 12.3%</w:t>
      </w:r>
      <w:r w:rsidR="002D0DE9" w:rsidRPr="00907196">
        <w:t>. Jaunimo mokyklose tokių mokinių sumažėjo nuo 2.8% iki 1.2%, o mokyklose – dareliuose išaugo nuo 0.6% iki 1.3% (žr. 7 pav.).</w:t>
      </w:r>
    </w:p>
    <w:p w:rsidR="002D0DE9" w:rsidRPr="00907196" w:rsidRDefault="002D0DE9" w:rsidP="00F3328E">
      <w:pPr>
        <w:spacing w:after="0" w:line="360" w:lineRule="auto"/>
        <w:ind w:firstLine="567"/>
        <w:jc w:val="both"/>
      </w:pPr>
    </w:p>
    <w:p w:rsidR="007C6BA2" w:rsidRPr="00907196" w:rsidRDefault="007C6BA2" w:rsidP="00E518AD">
      <w:pPr>
        <w:spacing w:after="0" w:line="360" w:lineRule="auto"/>
        <w:ind w:firstLine="567"/>
        <w:jc w:val="both"/>
      </w:pPr>
      <w:r w:rsidRPr="00907196">
        <w:rPr>
          <w:noProof/>
          <w:lang w:eastAsia="lt-LT"/>
        </w:rPr>
        <w:lastRenderedPageBreak/>
        <w:drawing>
          <wp:inline distT="0" distB="0" distL="0" distR="0" wp14:anchorId="11953B43" wp14:editId="250F2A7F">
            <wp:extent cx="5886450" cy="2962275"/>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C6BA2" w:rsidRPr="00907196" w:rsidRDefault="002D0DE9" w:rsidP="002D0DE9">
      <w:pPr>
        <w:spacing w:after="0" w:line="360" w:lineRule="auto"/>
        <w:ind w:firstLine="567"/>
        <w:jc w:val="center"/>
      </w:pPr>
      <w:r w:rsidRPr="00907196">
        <w:t>7 pav. Mokiniai, kurių vienas iš tėvų/ ar abu turi negalią</w:t>
      </w:r>
    </w:p>
    <w:p w:rsidR="007C6BA2" w:rsidRPr="00907196" w:rsidRDefault="007C6BA2" w:rsidP="00E518AD">
      <w:pPr>
        <w:spacing w:after="0" w:line="360" w:lineRule="auto"/>
        <w:ind w:firstLine="567"/>
        <w:jc w:val="both"/>
      </w:pPr>
    </w:p>
    <w:p w:rsidR="002D0DE9" w:rsidRPr="00907196" w:rsidRDefault="002D0DE9" w:rsidP="00E518AD">
      <w:pPr>
        <w:spacing w:after="0" w:line="360" w:lineRule="auto"/>
        <w:ind w:firstLine="567"/>
        <w:jc w:val="both"/>
      </w:pPr>
    </w:p>
    <w:p w:rsidR="002D0DE9" w:rsidRPr="00907196" w:rsidRDefault="002D0DE9" w:rsidP="00E518AD">
      <w:pPr>
        <w:spacing w:after="0" w:line="360" w:lineRule="auto"/>
        <w:ind w:firstLine="567"/>
        <w:jc w:val="both"/>
      </w:pPr>
    </w:p>
    <w:p w:rsidR="002D0DE9" w:rsidRPr="00907196" w:rsidRDefault="002D0DE9" w:rsidP="00E518AD">
      <w:pPr>
        <w:spacing w:after="0" w:line="360" w:lineRule="auto"/>
        <w:ind w:firstLine="567"/>
        <w:jc w:val="both"/>
      </w:pPr>
      <w:r w:rsidRPr="00907196">
        <w:t xml:space="preserve">Nors kalbama, kad emigracija šalyje tik didėja, tačiau 2015 m. pastebima, kad mokinių, kurių vienas iš tėvų dirba užsienyje skaičius daugelyje ugdymo įstaigų sumažėjo. Daugiausiai tokių mokinių </w:t>
      </w:r>
      <w:r w:rsidR="00292F57" w:rsidRPr="00907196">
        <w:t xml:space="preserve">2015 m. mokėsi licėjuose (5.2%) (žr. 8 pav.). Gimnazijose tokių mokinių per metus sumažėjo nuo 5.2% iki 3.5%; </w:t>
      </w:r>
      <w:r w:rsidR="00813B65" w:rsidRPr="00907196">
        <w:t xml:space="preserve">vidurinėse mokyklose – daugiafunkciniuose centruose  - nuo 4.6% iki 3.6%; pradinėse mokyklose – nuo 3.3% iki 2.7%; pagrindinėse mokyklose – nuo 5.5% iki 3.9%; progimnazijose – nuo 3.7% iki 2.8%. </w:t>
      </w:r>
      <w:r w:rsidR="00907196" w:rsidRPr="00907196">
        <w:t>Specialiosiose</w:t>
      </w:r>
      <w:r w:rsidR="00813B65" w:rsidRPr="00907196">
        <w:t xml:space="preserve"> mokyklose mokinių, kurių vienas iš tėvų dirba užsienyje, padaugėjo nuo 2.9% iki 4%.</w:t>
      </w:r>
    </w:p>
    <w:p w:rsidR="002D0DE9" w:rsidRPr="00907196" w:rsidRDefault="002D0DE9" w:rsidP="00E518AD">
      <w:pPr>
        <w:spacing w:after="0" w:line="360" w:lineRule="auto"/>
        <w:ind w:firstLine="567"/>
        <w:jc w:val="both"/>
      </w:pPr>
    </w:p>
    <w:p w:rsidR="007C6BA2" w:rsidRPr="00907196" w:rsidRDefault="007C6BA2" w:rsidP="00E518AD">
      <w:pPr>
        <w:spacing w:after="0" w:line="360" w:lineRule="auto"/>
        <w:ind w:firstLine="567"/>
        <w:jc w:val="both"/>
      </w:pPr>
      <w:r w:rsidRPr="00907196">
        <w:rPr>
          <w:noProof/>
          <w:lang w:eastAsia="lt-LT"/>
        </w:rPr>
        <w:drawing>
          <wp:inline distT="0" distB="0" distL="0" distR="0" wp14:anchorId="51DE039B" wp14:editId="4D3D375C">
            <wp:extent cx="5905500" cy="264795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C6BA2" w:rsidRPr="00907196" w:rsidRDefault="00813B65" w:rsidP="00813B65">
      <w:pPr>
        <w:spacing w:after="0" w:line="360" w:lineRule="auto"/>
        <w:ind w:firstLine="567"/>
        <w:jc w:val="center"/>
      </w:pPr>
      <w:r w:rsidRPr="00907196">
        <w:t>8 pav. Mokiniai, kurių vienas iš tėvų dirba užsienyje</w:t>
      </w:r>
    </w:p>
    <w:p w:rsidR="00813B65" w:rsidRPr="00907196" w:rsidRDefault="00813B65" w:rsidP="00BA753B">
      <w:pPr>
        <w:spacing w:after="0" w:line="360" w:lineRule="auto"/>
        <w:ind w:firstLine="567"/>
        <w:jc w:val="both"/>
      </w:pPr>
    </w:p>
    <w:p w:rsidR="00BA753B" w:rsidRPr="00907196" w:rsidRDefault="00BA753B" w:rsidP="00BA753B">
      <w:pPr>
        <w:spacing w:after="0" w:line="360" w:lineRule="auto"/>
        <w:ind w:firstLine="567"/>
        <w:jc w:val="both"/>
      </w:pPr>
      <w:r w:rsidRPr="00907196">
        <w:lastRenderedPageBreak/>
        <w:t xml:space="preserve">Analizuojant </w:t>
      </w:r>
      <w:r w:rsidR="00FB765B" w:rsidRPr="00907196">
        <w:t xml:space="preserve">gautus duomenis pastebima, kad ugdymo įstaigose mažėja mokinių, kurių abu tėvai dirba užsienyje. 2015 m. pagal patektus duomenis, </w:t>
      </w:r>
      <w:r w:rsidR="00687C5A" w:rsidRPr="00907196">
        <w:t>jaunimo ir pradinėse mokyklose, mokyklose- darželiuose, licėjuose nesimokė nė vienas mokinys, kurio abu tėvai dirbtų užsienyje. Gimnazijose tokių mokinių skaičius 2015 m. sumažėjo nuo 0.3% iki 0.2%; vidurinėse – daugiafunkciniuose centruose – nuo 0.5% iki 0.4%; pagrindinėse mokyklose – nuo 0.5% iki 0.4%. Tik progimnazijose ir specialiosiose mokyklose tokių mokinių skaičius 2015 m. išaugo 0.2% (žr. 9 pav.).</w:t>
      </w:r>
    </w:p>
    <w:p w:rsidR="00813B65" w:rsidRPr="00907196" w:rsidRDefault="00813B65" w:rsidP="00813B65">
      <w:pPr>
        <w:spacing w:after="0" w:line="360" w:lineRule="auto"/>
        <w:ind w:firstLine="567"/>
        <w:jc w:val="both"/>
      </w:pPr>
    </w:p>
    <w:p w:rsidR="007C6BA2" w:rsidRPr="00907196" w:rsidRDefault="007C6BA2" w:rsidP="00E518AD">
      <w:pPr>
        <w:spacing w:after="0" w:line="360" w:lineRule="auto"/>
        <w:ind w:firstLine="567"/>
        <w:jc w:val="both"/>
      </w:pPr>
      <w:r w:rsidRPr="00907196">
        <w:rPr>
          <w:noProof/>
          <w:lang w:eastAsia="lt-LT"/>
        </w:rPr>
        <w:drawing>
          <wp:inline distT="0" distB="0" distL="0" distR="0" wp14:anchorId="4081AD66" wp14:editId="49E5E7E3">
            <wp:extent cx="5934075" cy="2581275"/>
            <wp:effectExtent l="0" t="0" r="9525"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C6BA2" w:rsidRPr="00907196" w:rsidRDefault="00687C5A" w:rsidP="00687C5A">
      <w:pPr>
        <w:spacing w:after="0" w:line="360" w:lineRule="auto"/>
        <w:ind w:firstLine="567"/>
        <w:jc w:val="center"/>
      </w:pPr>
      <w:r w:rsidRPr="00907196">
        <w:t>9 pav. Mokiniai, kurių abu tėvai dirba užsienyje</w:t>
      </w:r>
    </w:p>
    <w:p w:rsidR="00687C5A" w:rsidRPr="00907196" w:rsidRDefault="00687C5A" w:rsidP="00687C5A">
      <w:pPr>
        <w:spacing w:after="0" w:line="360" w:lineRule="auto"/>
        <w:ind w:firstLine="567"/>
        <w:jc w:val="center"/>
      </w:pPr>
    </w:p>
    <w:p w:rsidR="00687C5A" w:rsidRPr="00907196" w:rsidRDefault="0017292B" w:rsidP="00687C5A">
      <w:pPr>
        <w:spacing w:after="0" w:line="360" w:lineRule="auto"/>
        <w:ind w:firstLine="567"/>
        <w:jc w:val="both"/>
      </w:pPr>
      <w:r w:rsidRPr="00907196">
        <w:t>Gimnazijose, pradinėse ir jaunimo mokyklose, progimnazijose 2015 m. sumažėjo mokinių, netekusių vieno iš tėvų. Vidurinėse mokyklose – daugiafunkciniuose centruose tokių mokinių padaugėjo nuo 3.6% iki 4%; pagrindinėse mokyklose – nuo 2.9% iki 3.1%; specialiosiose mokyklose – nuo 6.6% iki 7.3%; mokyklose – darželiuose – nuo 1.3% iki 2.1% (žr. 10 pav.).</w:t>
      </w:r>
    </w:p>
    <w:p w:rsidR="0017292B" w:rsidRPr="00907196" w:rsidRDefault="0017292B" w:rsidP="00687C5A">
      <w:pPr>
        <w:spacing w:after="0" w:line="360" w:lineRule="auto"/>
        <w:ind w:firstLine="567"/>
        <w:jc w:val="both"/>
      </w:pPr>
    </w:p>
    <w:p w:rsidR="007C6BA2" w:rsidRPr="00907196" w:rsidRDefault="007C6BA2" w:rsidP="00E518AD">
      <w:pPr>
        <w:spacing w:after="0" w:line="360" w:lineRule="auto"/>
        <w:ind w:firstLine="567"/>
        <w:jc w:val="both"/>
      </w:pPr>
      <w:r w:rsidRPr="00907196">
        <w:rPr>
          <w:noProof/>
          <w:lang w:eastAsia="lt-LT"/>
        </w:rPr>
        <w:drawing>
          <wp:inline distT="0" distB="0" distL="0" distR="0" wp14:anchorId="13FDD465" wp14:editId="0BC9F3DF">
            <wp:extent cx="5943600" cy="2553419"/>
            <wp:effectExtent l="0" t="0" r="19050" b="1841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A4A00" w:rsidRPr="00907196" w:rsidRDefault="0017292B" w:rsidP="0017292B">
      <w:pPr>
        <w:spacing w:after="0" w:line="360" w:lineRule="auto"/>
        <w:ind w:firstLine="567"/>
        <w:jc w:val="center"/>
      </w:pPr>
      <w:r w:rsidRPr="00907196">
        <w:t>10 pav. Mokiniai, kurių vienas iš tėvų miręs</w:t>
      </w:r>
    </w:p>
    <w:p w:rsidR="0017292B" w:rsidRPr="00907196" w:rsidRDefault="0017292B" w:rsidP="0017292B">
      <w:pPr>
        <w:spacing w:after="0" w:line="360" w:lineRule="auto"/>
        <w:ind w:firstLine="567"/>
        <w:jc w:val="center"/>
      </w:pPr>
    </w:p>
    <w:p w:rsidR="0017292B" w:rsidRPr="00907196" w:rsidRDefault="00053196" w:rsidP="0017292B">
      <w:pPr>
        <w:spacing w:after="0" w:line="360" w:lineRule="auto"/>
        <w:ind w:firstLine="567"/>
        <w:jc w:val="both"/>
      </w:pPr>
      <w:r w:rsidRPr="00907196">
        <w:lastRenderedPageBreak/>
        <w:t xml:space="preserve">Oficialiai globojamų mokinių skaičius 2015 m. išaugo </w:t>
      </w:r>
      <w:r w:rsidR="009A49DF" w:rsidRPr="00907196">
        <w:t>j</w:t>
      </w:r>
      <w:r w:rsidRPr="00907196">
        <w:t xml:space="preserve">aunimo mokyklose (nuo 11.4% iki 14.5%) bei vidurinėse mokyklose – daugiafunkciniuose centruose (nuo 1.7% iki 2.5%). </w:t>
      </w:r>
      <w:r w:rsidR="00907196" w:rsidRPr="00907196">
        <w:t>Analizuojant</w:t>
      </w:r>
      <w:r w:rsidRPr="00907196">
        <w:t xml:space="preserve"> paskutinių trijų metų duomenis pastebima, kad oficialiai globojamų mokinių daugiausiai mokosi jaunimo bei specialiosiose mokyklose (žr. 11 pav.). </w:t>
      </w:r>
    </w:p>
    <w:p w:rsidR="00BA4A00" w:rsidRPr="00907196" w:rsidRDefault="00BA4A00" w:rsidP="00E518AD">
      <w:pPr>
        <w:spacing w:after="0" w:line="360" w:lineRule="auto"/>
        <w:ind w:firstLine="567"/>
        <w:jc w:val="both"/>
      </w:pPr>
      <w:r w:rsidRPr="00907196">
        <w:rPr>
          <w:noProof/>
          <w:lang w:eastAsia="lt-LT"/>
        </w:rPr>
        <w:drawing>
          <wp:inline distT="0" distB="0" distL="0" distR="0" wp14:anchorId="5D9D68EF" wp14:editId="7ACF7821">
            <wp:extent cx="5670550" cy="2819400"/>
            <wp:effectExtent l="0" t="0" r="635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A4A00" w:rsidRPr="00907196" w:rsidRDefault="00053196" w:rsidP="00053196">
      <w:pPr>
        <w:spacing w:after="0" w:line="360" w:lineRule="auto"/>
        <w:ind w:firstLine="567"/>
        <w:jc w:val="center"/>
      </w:pPr>
      <w:r w:rsidRPr="00907196">
        <w:t>11 pav. Mokiniai, kuriems skirta oficiali globa</w:t>
      </w:r>
    </w:p>
    <w:p w:rsidR="00053196" w:rsidRPr="00907196" w:rsidRDefault="00053196" w:rsidP="00053196">
      <w:pPr>
        <w:spacing w:after="0" w:line="360" w:lineRule="auto"/>
        <w:ind w:firstLine="567"/>
        <w:jc w:val="center"/>
      </w:pPr>
    </w:p>
    <w:p w:rsidR="00053196" w:rsidRPr="00907196" w:rsidRDefault="00053196" w:rsidP="00053196">
      <w:pPr>
        <w:spacing w:after="0" w:line="360" w:lineRule="auto"/>
        <w:ind w:firstLine="567"/>
        <w:jc w:val="both"/>
      </w:pPr>
      <w:r w:rsidRPr="00907196">
        <w:t>Akivaizdu, kad specialiųjų ugdymosi poreikių turinčių mokinių daugiausiai mokosi specialiosiose mokyklose, tačiau</w:t>
      </w:r>
      <w:r w:rsidR="00BA12DA" w:rsidRPr="00907196">
        <w:t xml:space="preserve"> jaunimo mokyklose šių mokinių skaičius lyginant su 2014 m. yra didėjantis nuo 23.3% iki 29.1%. Taip pat pastebimas didėjimas ir pagrindinėse mokyklose – nuo 5.1% iki 6.4% (žr. 12 pav.).</w:t>
      </w:r>
    </w:p>
    <w:p w:rsidR="00BA12DA" w:rsidRPr="00907196" w:rsidRDefault="00BA12DA" w:rsidP="00053196">
      <w:pPr>
        <w:spacing w:after="0" w:line="360" w:lineRule="auto"/>
        <w:ind w:firstLine="567"/>
        <w:jc w:val="both"/>
      </w:pPr>
    </w:p>
    <w:p w:rsidR="00BA4A00" w:rsidRPr="00907196" w:rsidRDefault="00BA4A00" w:rsidP="00E518AD">
      <w:pPr>
        <w:spacing w:after="0" w:line="360" w:lineRule="auto"/>
        <w:ind w:firstLine="567"/>
        <w:jc w:val="both"/>
      </w:pPr>
      <w:r w:rsidRPr="00907196">
        <w:rPr>
          <w:noProof/>
          <w:lang w:eastAsia="lt-LT"/>
        </w:rPr>
        <w:drawing>
          <wp:inline distT="0" distB="0" distL="0" distR="0" wp14:anchorId="04408BFE" wp14:editId="3B474872">
            <wp:extent cx="5927725" cy="2952750"/>
            <wp:effectExtent l="0" t="0" r="1587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A4A00" w:rsidRPr="00907196" w:rsidRDefault="00BA12DA" w:rsidP="00BA12DA">
      <w:pPr>
        <w:spacing w:after="0" w:line="360" w:lineRule="auto"/>
        <w:ind w:firstLine="567"/>
        <w:jc w:val="center"/>
      </w:pPr>
      <w:r w:rsidRPr="00907196">
        <w:t>12 pav. Mokiniai, turintys specialiųjų ugdymosi poreikių</w:t>
      </w:r>
    </w:p>
    <w:p w:rsidR="00BA12DA" w:rsidRPr="00907196" w:rsidRDefault="00BA12DA" w:rsidP="00BA12DA">
      <w:pPr>
        <w:spacing w:after="0" w:line="360" w:lineRule="auto"/>
        <w:ind w:firstLine="567"/>
        <w:jc w:val="center"/>
      </w:pPr>
    </w:p>
    <w:p w:rsidR="00BA12DA" w:rsidRPr="00907196" w:rsidRDefault="00BA12DA" w:rsidP="00BA12DA">
      <w:pPr>
        <w:spacing w:after="0" w:line="360" w:lineRule="auto"/>
        <w:ind w:firstLine="567"/>
        <w:jc w:val="both"/>
      </w:pPr>
      <w:r w:rsidRPr="00907196">
        <w:lastRenderedPageBreak/>
        <w:t>Nuo 2013 m. ženkliai sumažėjo mokinių, gaunančių nemokamą maitinimą mokykloje, skaičius. Tik vidurinėse mokyklose – daugiafunkciniuose centruose, mokyklose – darželiuose tokių mokinių padaugėjo (atitinkamai nuo 17.6% iki 18% bei nuo 8.9% iki 15.2%) (žr. 13 pav.).</w:t>
      </w:r>
    </w:p>
    <w:p w:rsidR="00BA4A00" w:rsidRPr="00907196" w:rsidRDefault="00BA4A00" w:rsidP="00E518AD">
      <w:pPr>
        <w:spacing w:after="0" w:line="360" w:lineRule="auto"/>
        <w:ind w:firstLine="567"/>
        <w:jc w:val="both"/>
      </w:pPr>
      <w:r w:rsidRPr="00907196">
        <w:rPr>
          <w:noProof/>
          <w:lang w:eastAsia="lt-LT"/>
        </w:rPr>
        <w:drawing>
          <wp:inline distT="0" distB="0" distL="0" distR="0" wp14:anchorId="38B30798" wp14:editId="47372550">
            <wp:extent cx="6165850" cy="3143250"/>
            <wp:effectExtent l="0" t="0" r="2540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A4A00" w:rsidRPr="00907196" w:rsidRDefault="00BA12DA" w:rsidP="00BA12DA">
      <w:pPr>
        <w:spacing w:after="0" w:line="360" w:lineRule="auto"/>
        <w:ind w:firstLine="567"/>
        <w:jc w:val="center"/>
      </w:pPr>
      <w:r w:rsidRPr="00907196">
        <w:t>13 pav. Mokiniai, kurie gauna nemokamą maitinimą mokykloje</w:t>
      </w:r>
    </w:p>
    <w:p w:rsidR="006958F9" w:rsidRPr="00907196" w:rsidRDefault="006958F9" w:rsidP="00BA12DA">
      <w:pPr>
        <w:spacing w:after="0" w:line="360" w:lineRule="auto"/>
        <w:ind w:firstLine="567"/>
        <w:jc w:val="center"/>
      </w:pPr>
    </w:p>
    <w:p w:rsidR="006958F9" w:rsidRPr="00907196" w:rsidRDefault="006958F9" w:rsidP="006958F9">
      <w:pPr>
        <w:spacing w:after="0" w:line="360" w:lineRule="auto"/>
        <w:ind w:firstLine="567"/>
        <w:jc w:val="both"/>
      </w:pPr>
      <w:r w:rsidRPr="00907196">
        <w:t>Daugiausiai pamokų lankomumo problemų turi jaunimo mokyklų auklėtiniai, nors lyginant trijų metų duomenis pastebima, kad situacija vis gerėja ir tokių mokinių skaičius kasmet mažėja (nuo 49% - 2013 m. iki 28.5% - 2015 m.) (žr. 14 pav.).</w:t>
      </w:r>
    </w:p>
    <w:p w:rsidR="006958F9" w:rsidRPr="00907196" w:rsidRDefault="006958F9" w:rsidP="006958F9">
      <w:pPr>
        <w:spacing w:after="0" w:line="360" w:lineRule="auto"/>
        <w:ind w:firstLine="567"/>
        <w:jc w:val="both"/>
      </w:pPr>
    </w:p>
    <w:p w:rsidR="00BA4A00" w:rsidRPr="00907196" w:rsidRDefault="00BA4A00" w:rsidP="00E518AD">
      <w:pPr>
        <w:spacing w:after="0" w:line="360" w:lineRule="auto"/>
        <w:ind w:firstLine="567"/>
        <w:jc w:val="both"/>
      </w:pPr>
      <w:r w:rsidRPr="00907196">
        <w:rPr>
          <w:noProof/>
          <w:lang w:eastAsia="lt-LT"/>
        </w:rPr>
        <w:drawing>
          <wp:inline distT="0" distB="0" distL="0" distR="0" wp14:anchorId="299F58C3" wp14:editId="611CFD7D">
            <wp:extent cx="6124575" cy="2781300"/>
            <wp:effectExtent l="0" t="0" r="952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A4A00" w:rsidRPr="00907196" w:rsidRDefault="006958F9" w:rsidP="006958F9">
      <w:pPr>
        <w:spacing w:after="0" w:line="360" w:lineRule="auto"/>
        <w:ind w:firstLine="567"/>
        <w:jc w:val="center"/>
      </w:pPr>
      <w:r w:rsidRPr="00907196">
        <w:t>14 pav. Mokiniai, prastai lankantys mokyklą.</w:t>
      </w:r>
    </w:p>
    <w:p w:rsidR="006958F9" w:rsidRPr="00907196" w:rsidRDefault="006958F9" w:rsidP="006958F9">
      <w:pPr>
        <w:spacing w:after="0" w:line="360" w:lineRule="auto"/>
        <w:ind w:firstLine="567"/>
        <w:jc w:val="center"/>
      </w:pPr>
    </w:p>
    <w:p w:rsidR="006958F9" w:rsidRPr="00907196" w:rsidRDefault="00907196" w:rsidP="006958F9">
      <w:pPr>
        <w:spacing w:after="0" w:line="360" w:lineRule="auto"/>
        <w:ind w:firstLine="567"/>
        <w:jc w:val="both"/>
      </w:pPr>
      <w:r w:rsidRPr="00907196">
        <w:t>Analizuojant</w:t>
      </w:r>
      <w:r w:rsidR="006772BA" w:rsidRPr="00907196">
        <w:t xml:space="preserve"> gautus duomenis pastebima, kad mokinių, turinčių </w:t>
      </w:r>
      <w:r w:rsidRPr="00907196">
        <w:t>elgesio</w:t>
      </w:r>
      <w:r w:rsidR="006772BA" w:rsidRPr="00907196">
        <w:t xml:space="preserve"> problemų, skaičius kasmet mažėja gimnazijose, jaunimo, pradinėse ir pagrindinėse, specialiosiose mokyklose, progimnazijose. </w:t>
      </w:r>
      <w:r w:rsidR="006772BA" w:rsidRPr="00907196">
        <w:lastRenderedPageBreak/>
        <w:t>Nežymus padidėjimas pastebimas vidurinėse mokyklose – daugiafunkciniuose centruose bei mokyklose – darželiuose (žr. 15 pav.). Akivaizdu, kad jaunimo mokyklose tokių mokinių mokose daugiausiai.</w:t>
      </w:r>
    </w:p>
    <w:p w:rsidR="00BA4A00" w:rsidRPr="00907196" w:rsidRDefault="00BA4A00" w:rsidP="00E518AD">
      <w:pPr>
        <w:spacing w:after="0" w:line="360" w:lineRule="auto"/>
        <w:ind w:firstLine="567"/>
        <w:jc w:val="both"/>
      </w:pPr>
      <w:r w:rsidRPr="00907196">
        <w:rPr>
          <w:noProof/>
          <w:lang w:eastAsia="lt-LT"/>
        </w:rPr>
        <w:drawing>
          <wp:inline distT="0" distB="0" distL="0" distR="0" wp14:anchorId="30359DA5" wp14:editId="13ED98BD">
            <wp:extent cx="6108700" cy="2638425"/>
            <wp:effectExtent l="0" t="0" r="6350"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A4A00" w:rsidRPr="00907196" w:rsidRDefault="006772BA" w:rsidP="006772BA">
      <w:pPr>
        <w:spacing w:after="0" w:line="360" w:lineRule="auto"/>
        <w:ind w:firstLine="567"/>
        <w:jc w:val="center"/>
      </w:pPr>
      <w:r w:rsidRPr="00907196">
        <w:t>15 pav. Mokiniai, turintys elgesio problemų</w:t>
      </w:r>
    </w:p>
    <w:p w:rsidR="006772BA" w:rsidRPr="00907196" w:rsidRDefault="006772BA" w:rsidP="006772BA">
      <w:pPr>
        <w:spacing w:after="0" w:line="360" w:lineRule="auto"/>
        <w:ind w:firstLine="567"/>
        <w:jc w:val="center"/>
      </w:pPr>
    </w:p>
    <w:p w:rsidR="006772BA" w:rsidRPr="00907196" w:rsidRDefault="006772BA" w:rsidP="006772BA">
      <w:pPr>
        <w:spacing w:after="0" w:line="360" w:lineRule="auto"/>
        <w:ind w:firstLine="567"/>
        <w:jc w:val="both"/>
      </w:pPr>
      <w:r w:rsidRPr="00907196">
        <w:t xml:space="preserve">Žalingų įpročių turinčių mokinių daugiausiai mokosi jaunimo mokyklose (71.5%). Gimnazijose 2015 m. pastebimas tokių </w:t>
      </w:r>
      <w:r w:rsidR="00907196" w:rsidRPr="00907196">
        <w:t>mokinių</w:t>
      </w:r>
      <w:r w:rsidRPr="00907196">
        <w:t xml:space="preserve"> skaičiaus sumažėjimas nuo 2.6% iki 1.9%, vidurin</w:t>
      </w:r>
      <w:r w:rsidR="00860BF3" w:rsidRPr="00907196">
        <w:t>ė</w:t>
      </w:r>
      <w:r w:rsidRPr="00907196">
        <w:t>se mokyklose – daugiafunkciniuose centruose padidėjimas nuo 2.3% iki 2.7%</w:t>
      </w:r>
      <w:r w:rsidR="00860BF3" w:rsidRPr="00907196">
        <w:t xml:space="preserve"> (Žr. 16 pav.).</w:t>
      </w:r>
    </w:p>
    <w:p w:rsidR="00860BF3" w:rsidRPr="00907196" w:rsidRDefault="00860BF3" w:rsidP="006772BA">
      <w:pPr>
        <w:spacing w:after="0" w:line="360" w:lineRule="auto"/>
        <w:ind w:firstLine="567"/>
        <w:jc w:val="both"/>
      </w:pPr>
    </w:p>
    <w:p w:rsidR="00BA4A00" w:rsidRPr="00907196" w:rsidRDefault="00BA4A00" w:rsidP="00E518AD">
      <w:pPr>
        <w:spacing w:after="0" w:line="360" w:lineRule="auto"/>
        <w:ind w:firstLine="567"/>
        <w:jc w:val="both"/>
      </w:pPr>
      <w:r w:rsidRPr="00907196">
        <w:rPr>
          <w:noProof/>
          <w:lang w:eastAsia="lt-LT"/>
        </w:rPr>
        <w:drawing>
          <wp:inline distT="0" distB="0" distL="0" distR="0" wp14:anchorId="1D093D50" wp14:editId="0681F7D0">
            <wp:extent cx="6146800" cy="2524125"/>
            <wp:effectExtent l="0" t="0" r="6350"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A4A00" w:rsidRPr="00907196" w:rsidRDefault="00860BF3" w:rsidP="00860BF3">
      <w:pPr>
        <w:spacing w:after="0" w:line="360" w:lineRule="auto"/>
        <w:ind w:firstLine="567"/>
        <w:jc w:val="center"/>
      </w:pPr>
      <w:r w:rsidRPr="00907196">
        <w:t>16 pav. Mokiniai, turintys žalingų įpročių</w:t>
      </w:r>
    </w:p>
    <w:p w:rsidR="00860BF3" w:rsidRPr="00907196" w:rsidRDefault="00860BF3" w:rsidP="00860BF3">
      <w:pPr>
        <w:spacing w:after="0" w:line="360" w:lineRule="auto"/>
        <w:ind w:firstLine="567"/>
        <w:jc w:val="center"/>
      </w:pPr>
    </w:p>
    <w:p w:rsidR="00860BF3" w:rsidRPr="00907196" w:rsidRDefault="00860BF3" w:rsidP="00860BF3">
      <w:pPr>
        <w:spacing w:after="0" w:line="360" w:lineRule="auto"/>
        <w:ind w:firstLine="567"/>
        <w:jc w:val="both"/>
      </w:pPr>
      <w:r w:rsidRPr="00907196">
        <w:t>2015 m. pastebima, kad specialiosiose mokyklose beveik 3 kartus išaugo mokinių, augančių šeimose, kuriose dėl tėvystės/ socialinių įgūdžių stokos, vaikai yra neprižiūrimi, skaičius (9%). Tokių mokinių skaičiaus didėjimas pastebimas ir vidurinėse mokyklose – daugiafunkciniuose centruose (nuo 0.6% - 2013 m., 1.4% - 2014 m. iki 1.9% - 2015 m.)</w:t>
      </w:r>
      <w:r w:rsidR="00413777" w:rsidRPr="00907196">
        <w:t xml:space="preserve"> bei mokyklose darželiuose (nuo 0.2% - 2013 m. iki 1.1% - 2015 m.) (žr. 17 pav.).</w:t>
      </w:r>
    </w:p>
    <w:p w:rsidR="00860BF3" w:rsidRPr="00907196" w:rsidRDefault="00860BF3" w:rsidP="00860BF3">
      <w:pPr>
        <w:spacing w:after="0" w:line="360" w:lineRule="auto"/>
        <w:ind w:firstLine="567"/>
        <w:jc w:val="both"/>
      </w:pPr>
    </w:p>
    <w:p w:rsidR="00BA4A00" w:rsidRPr="00907196" w:rsidRDefault="00BA4A00" w:rsidP="00E518AD">
      <w:pPr>
        <w:spacing w:after="0" w:line="360" w:lineRule="auto"/>
        <w:ind w:firstLine="567"/>
        <w:jc w:val="both"/>
      </w:pPr>
      <w:r w:rsidRPr="00907196">
        <w:rPr>
          <w:noProof/>
          <w:lang w:eastAsia="lt-LT"/>
        </w:rPr>
        <w:lastRenderedPageBreak/>
        <w:drawing>
          <wp:inline distT="0" distB="0" distL="0" distR="0" wp14:anchorId="430CA08F" wp14:editId="5678580D">
            <wp:extent cx="6146800" cy="2943225"/>
            <wp:effectExtent l="0" t="0" r="25400"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36D27" w:rsidRPr="00907196" w:rsidRDefault="00413777" w:rsidP="00413777">
      <w:pPr>
        <w:spacing w:after="0" w:line="360" w:lineRule="auto"/>
        <w:ind w:firstLine="567"/>
        <w:jc w:val="center"/>
      </w:pPr>
      <w:r w:rsidRPr="00907196">
        <w:t>17 pav. Mokiniai, kurie yra neprižiūrimi</w:t>
      </w:r>
    </w:p>
    <w:p w:rsidR="00413777" w:rsidRPr="00907196" w:rsidRDefault="00413777" w:rsidP="00413777">
      <w:pPr>
        <w:spacing w:after="0" w:line="360" w:lineRule="auto"/>
        <w:ind w:firstLine="567"/>
        <w:jc w:val="center"/>
      </w:pPr>
    </w:p>
    <w:p w:rsidR="00413777" w:rsidRPr="00907196" w:rsidRDefault="00413777" w:rsidP="00413777">
      <w:pPr>
        <w:spacing w:after="0" w:line="360" w:lineRule="auto"/>
        <w:ind w:firstLine="567"/>
        <w:jc w:val="both"/>
      </w:pPr>
      <w:r w:rsidRPr="00907196">
        <w:t>Bendri 2013 m. – 2015 m. socialinio paso duomenys pateikiami 1 lentelėje.</w:t>
      </w:r>
    </w:p>
    <w:p w:rsidR="00436D27" w:rsidRPr="00907196" w:rsidRDefault="00436D27" w:rsidP="00413777">
      <w:pPr>
        <w:spacing w:after="0" w:line="360" w:lineRule="auto"/>
        <w:ind w:firstLine="567"/>
        <w:jc w:val="both"/>
        <w:sectPr w:rsidR="00436D27" w:rsidRPr="00907196" w:rsidSect="003779B3">
          <w:pgSz w:w="11906" w:h="16838"/>
          <w:pgMar w:top="567" w:right="567" w:bottom="1134" w:left="1134" w:header="567" w:footer="567" w:gutter="0"/>
          <w:cols w:space="1296"/>
          <w:docGrid w:linePitch="360"/>
        </w:sectPr>
      </w:pPr>
      <w:r w:rsidRPr="00907196">
        <w:br w:type="page"/>
      </w:r>
    </w:p>
    <w:p w:rsidR="00436D27" w:rsidRPr="00907196" w:rsidRDefault="00436D27"/>
    <w:p w:rsidR="00413777" w:rsidRPr="00907196" w:rsidRDefault="00413777"/>
    <w:p w:rsidR="00413777" w:rsidRPr="00907196" w:rsidRDefault="00413777" w:rsidP="00413777">
      <w:pPr>
        <w:jc w:val="right"/>
      </w:pPr>
      <w:r w:rsidRPr="00907196">
        <w:t>1 lentelė.</w:t>
      </w:r>
    </w:p>
    <w:tbl>
      <w:tblPr>
        <w:tblStyle w:val="Lentelstinklelis"/>
        <w:tblW w:w="0" w:type="auto"/>
        <w:tblLook w:val="04A0" w:firstRow="1" w:lastRow="0" w:firstColumn="1" w:lastColumn="0" w:noHBand="0" w:noVBand="1"/>
      </w:tblPr>
      <w:tblGrid>
        <w:gridCol w:w="1413"/>
        <w:gridCol w:w="566"/>
        <w:gridCol w:w="496"/>
        <w:gridCol w:w="496"/>
        <w:gridCol w:w="496"/>
        <w:gridCol w:w="566"/>
        <w:gridCol w:w="566"/>
        <w:gridCol w:w="499"/>
        <w:gridCol w:w="499"/>
        <w:gridCol w:w="499"/>
        <w:gridCol w:w="593"/>
        <w:gridCol w:w="593"/>
        <w:gridCol w:w="593"/>
        <w:gridCol w:w="593"/>
        <w:gridCol w:w="593"/>
        <w:gridCol w:w="593"/>
        <w:gridCol w:w="499"/>
        <w:gridCol w:w="499"/>
        <w:gridCol w:w="499"/>
        <w:gridCol w:w="593"/>
        <w:gridCol w:w="593"/>
        <w:gridCol w:w="593"/>
        <w:gridCol w:w="499"/>
        <w:gridCol w:w="499"/>
        <w:gridCol w:w="499"/>
        <w:gridCol w:w="687"/>
      </w:tblGrid>
      <w:tr w:rsidR="00436D27" w:rsidRPr="00907196" w:rsidTr="00436D27">
        <w:trPr>
          <w:trHeight w:val="255"/>
        </w:trPr>
        <w:tc>
          <w:tcPr>
            <w:tcW w:w="1413" w:type="dxa"/>
            <w:vMerge w:val="restart"/>
            <w:noWrap/>
            <w:hideMark/>
          </w:tcPr>
          <w:p w:rsidR="00436D27" w:rsidRPr="00907196" w:rsidRDefault="00436D27" w:rsidP="00436D27">
            <w:pPr>
              <w:rPr>
                <w:sz w:val="16"/>
                <w:szCs w:val="16"/>
              </w:rPr>
            </w:pPr>
          </w:p>
        </w:tc>
        <w:tc>
          <w:tcPr>
            <w:tcW w:w="1558" w:type="dxa"/>
            <w:gridSpan w:val="3"/>
            <w:shd w:val="clear" w:color="auto" w:fill="E2EFD9" w:themeFill="accent6" w:themeFillTint="33"/>
          </w:tcPr>
          <w:p w:rsidR="00436D27" w:rsidRPr="00907196" w:rsidRDefault="00436D27" w:rsidP="00436D27">
            <w:pPr>
              <w:jc w:val="center"/>
              <w:rPr>
                <w:b/>
                <w:sz w:val="16"/>
                <w:szCs w:val="16"/>
              </w:rPr>
            </w:pPr>
            <w:r w:rsidRPr="00907196">
              <w:rPr>
                <w:b/>
                <w:sz w:val="16"/>
                <w:szCs w:val="16"/>
              </w:rPr>
              <w:t>Gimnazijos</w:t>
            </w:r>
          </w:p>
        </w:tc>
        <w:tc>
          <w:tcPr>
            <w:tcW w:w="1628" w:type="dxa"/>
            <w:gridSpan w:val="3"/>
            <w:shd w:val="clear" w:color="auto" w:fill="D9E2F3" w:themeFill="accent5" w:themeFillTint="33"/>
          </w:tcPr>
          <w:p w:rsidR="00436D27" w:rsidRPr="00907196" w:rsidRDefault="00436D27" w:rsidP="00436D27">
            <w:pPr>
              <w:jc w:val="center"/>
              <w:rPr>
                <w:b/>
                <w:sz w:val="16"/>
                <w:szCs w:val="16"/>
              </w:rPr>
            </w:pPr>
            <w:r w:rsidRPr="00907196">
              <w:rPr>
                <w:b/>
                <w:sz w:val="16"/>
                <w:szCs w:val="16"/>
              </w:rPr>
              <w:t>Vidurinės – daugiafunkciniai centrai</w:t>
            </w:r>
          </w:p>
        </w:tc>
        <w:tc>
          <w:tcPr>
            <w:tcW w:w="1497" w:type="dxa"/>
            <w:gridSpan w:val="3"/>
            <w:shd w:val="clear" w:color="auto" w:fill="FFF2CC" w:themeFill="accent4" w:themeFillTint="33"/>
          </w:tcPr>
          <w:p w:rsidR="00436D27" w:rsidRPr="00907196" w:rsidRDefault="00436D27" w:rsidP="00436D27">
            <w:pPr>
              <w:jc w:val="center"/>
              <w:rPr>
                <w:b/>
                <w:sz w:val="16"/>
                <w:szCs w:val="16"/>
              </w:rPr>
            </w:pPr>
            <w:r w:rsidRPr="00907196">
              <w:rPr>
                <w:b/>
                <w:sz w:val="16"/>
                <w:szCs w:val="16"/>
              </w:rPr>
              <w:t>Jaunimo mokyklos</w:t>
            </w:r>
          </w:p>
        </w:tc>
        <w:tc>
          <w:tcPr>
            <w:tcW w:w="1779" w:type="dxa"/>
            <w:gridSpan w:val="3"/>
            <w:shd w:val="clear" w:color="auto" w:fill="EDEDED" w:themeFill="accent3" w:themeFillTint="33"/>
          </w:tcPr>
          <w:p w:rsidR="00436D27" w:rsidRPr="00907196" w:rsidRDefault="00436D27" w:rsidP="00436D27">
            <w:pPr>
              <w:jc w:val="center"/>
              <w:rPr>
                <w:b/>
                <w:sz w:val="16"/>
                <w:szCs w:val="16"/>
              </w:rPr>
            </w:pPr>
            <w:r w:rsidRPr="00907196">
              <w:rPr>
                <w:b/>
                <w:sz w:val="16"/>
                <w:szCs w:val="16"/>
              </w:rPr>
              <w:t>Pradinės</w:t>
            </w:r>
          </w:p>
        </w:tc>
        <w:tc>
          <w:tcPr>
            <w:tcW w:w="1779" w:type="dxa"/>
            <w:gridSpan w:val="3"/>
            <w:shd w:val="clear" w:color="auto" w:fill="FBE4D5" w:themeFill="accent2" w:themeFillTint="33"/>
          </w:tcPr>
          <w:p w:rsidR="00436D27" w:rsidRPr="00907196" w:rsidRDefault="00436D27" w:rsidP="00436D27">
            <w:pPr>
              <w:jc w:val="center"/>
              <w:rPr>
                <w:b/>
                <w:sz w:val="16"/>
                <w:szCs w:val="16"/>
              </w:rPr>
            </w:pPr>
            <w:r w:rsidRPr="00907196">
              <w:rPr>
                <w:b/>
                <w:sz w:val="16"/>
                <w:szCs w:val="16"/>
              </w:rPr>
              <w:t>Pagrindinės</w:t>
            </w:r>
          </w:p>
        </w:tc>
        <w:tc>
          <w:tcPr>
            <w:tcW w:w="1497" w:type="dxa"/>
            <w:gridSpan w:val="3"/>
            <w:shd w:val="clear" w:color="auto" w:fill="DEEAF6" w:themeFill="accent1" w:themeFillTint="33"/>
          </w:tcPr>
          <w:p w:rsidR="00436D27" w:rsidRPr="00907196" w:rsidRDefault="00436D27" w:rsidP="00436D27">
            <w:pPr>
              <w:jc w:val="center"/>
              <w:rPr>
                <w:b/>
                <w:sz w:val="16"/>
                <w:szCs w:val="16"/>
              </w:rPr>
            </w:pPr>
            <w:r w:rsidRPr="00907196">
              <w:rPr>
                <w:b/>
                <w:sz w:val="16"/>
                <w:szCs w:val="16"/>
              </w:rPr>
              <w:t>Specialiosios</w:t>
            </w:r>
          </w:p>
        </w:tc>
        <w:tc>
          <w:tcPr>
            <w:tcW w:w="1779" w:type="dxa"/>
            <w:gridSpan w:val="3"/>
            <w:shd w:val="clear" w:color="auto" w:fill="D5DCE4" w:themeFill="text2" w:themeFillTint="33"/>
          </w:tcPr>
          <w:p w:rsidR="00436D27" w:rsidRPr="00907196" w:rsidRDefault="00436D27" w:rsidP="00436D27">
            <w:pPr>
              <w:jc w:val="center"/>
              <w:rPr>
                <w:b/>
                <w:sz w:val="16"/>
                <w:szCs w:val="16"/>
              </w:rPr>
            </w:pPr>
            <w:r w:rsidRPr="00907196">
              <w:rPr>
                <w:b/>
                <w:sz w:val="16"/>
                <w:szCs w:val="16"/>
              </w:rPr>
              <w:t>Progimnazijos</w:t>
            </w:r>
          </w:p>
        </w:tc>
        <w:tc>
          <w:tcPr>
            <w:tcW w:w="1497" w:type="dxa"/>
            <w:gridSpan w:val="3"/>
            <w:shd w:val="clear" w:color="auto" w:fill="D0CECE" w:themeFill="background2" w:themeFillShade="E6"/>
          </w:tcPr>
          <w:p w:rsidR="00436D27" w:rsidRPr="00907196" w:rsidRDefault="00436D27" w:rsidP="00436D27">
            <w:pPr>
              <w:jc w:val="center"/>
              <w:rPr>
                <w:b/>
                <w:sz w:val="16"/>
                <w:szCs w:val="16"/>
              </w:rPr>
            </w:pPr>
            <w:r w:rsidRPr="00907196">
              <w:rPr>
                <w:b/>
                <w:sz w:val="16"/>
                <w:szCs w:val="16"/>
              </w:rPr>
              <w:t>Mokyklos - darželiai</w:t>
            </w:r>
          </w:p>
        </w:tc>
        <w:tc>
          <w:tcPr>
            <w:tcW w:w="687" w:type="dxa"/>
            <w:shd w:val="clear" w:color="auto" w:fill="FFD966" w:themeFill="accent4" w:themeFillTint="99"/>
          </w:tcPr>
          <w:p w:rsidR="00436D27" w:rsidRPr="00907196" w:rsidRDefault="00436D27" w:rsidP="00436D27">
            <w:pPr>
              <w:jc w:val="center"/>
              <w:rPr>
                <w:b/>
                <w:sz w:val="16"/>
                <w:szCs w:val="16"/>
              </w:rPr>
            </w:pPr>
            <w:r w:rsidRPr="00907196">
              <w:rPr>
                <w:b/>
                <w:sz w:val="16"/>
                <w:szCs w:val="16"/>
              </w:rPr>
              <w:t>Licėjai</w:t>
            </w:r>
          </w:p>
        </w:tc>
      </w:tr>
      <w:tr w:rsidR="00436D27" w:rsidRPr="00907196" w:rsidTr="00436D27">
        <w:trPr>
          <w:trHeight w:val="255"/>
        </w:trPr>
        <w:tc>
          <w:tcPr>
            <w:tcW w:w="1413" w:type="dxa"/>
            <w:vMerge/>
            <w:noWrap/>
          </w:tcPr>
          <w:p w:rsidR="00436D27" w:rsidRPr="00907196" w:rsidRDefault="00436D27" w:rsidP="00436D27">
            <w:pPr>
              <w:rPr>
                <w:sz w:val="16"/>
                <w:szCs w:val="16"/>
              </w:rPr>
            </w:pPr>
          </w:p>
        </w:tc>
        <w:tc>
          <w:tcPr>
            <w:tcW w:w="566" w:type="dxa"/>
            <w:shd w:val="clear" w:color="auto" w:fill="E2EFD9" w:themeFill="accent6" w:themeFillTint="33"/>
          </w:tcPr>
          <w:p w:rsidR="00436D27" w:rsidRPr="00907196" w:rsidRDefault="00436D27" w:rsidP="00436D27">
            <w:pPr>
              <w:jc w:val="center"/>
              <w:rPr>
                <w:b/>
                <w:sz w:val="14"/>
                <w:szCs w:val="14"/>
              </w:rPr>
            </w:pPr>
            <w:r w:rsidRPr="00907196">
              <w:rPr>
                <w:b/>
                <w:sz w:val="14"/>
                <w:szCs w:val="14"/>
              </w:rPr>
              <w:t>2015</w:t>
            </w:r>
          </w:p>
        </w:tc>
        <w:tc>
          <w:tcPr>
            <w:tcW w:w="496" w:type="dxa"/>
            <w:shd w:val="clear" w:color="auto" w:fill="E2EFD9" w:themeFill="accent6" w:themeFillTint="33"/>
          </w:tcPr>
          <w:p w:rsidR="00436D27" w:rsidRPr="00907196" w:rsidRDefault="00436D27" w:rsidP="00436D27">
            <w:pPr>
              <w:jc w:val="center"/>
              <w:rPr>
                <w:b/>
                <w:sz w:val="14"/>
                <w:szCs w:val="14"/>
              </w:rPr>
            </w:pPr>
            <w:r w:rsidRPr="00907196">
              <w:rPr>
                <w:b/>
                <w:sz w:val="14"/>
                <w:szCs w:val="14"/>
              </w:rPr>
              <w:t>2014</w:t>
            </w:r>
          </w:p>
        </w:tc>
        <w:tc>
          <w:tcPr>
            <w:tcW w:w="496" w:type="dxa"/>
            <w:shd w:val="clear" w:color="auto" w:fill="E2EFD9" w:themeFill="accent6" w:themeFillTint="33"/>
          </w:tcPr>
          <w:p w:rsidR="00436D27" w:rsidRPr="00907196" w:rsidRDefault="00436D27" w:rsidP="00436D27">
            <w:pPr>
              <w:jc w:val="center"/>
              <w:rPr>
                <w:b/>
                <w:sz w:val="14"/>
                <w:szCs w:val="14"/>
              </w:rPr>
            </w:pPr>
            <w:r w:rsidRPr="00907196">
              <w:rPr>
                <w:b/>
                <w:sz w:val="14"/>
                <w:szCs w:val="14"/>
              </w:rPr>
              <w:t>2013</w:t>
            </w:r>
          </w:p>
        </w:tc>
        <w:tc>
          <w:tcPr>
            <w:tcW w:w="496" w:type="dxa"/>
            <w:shd w:val="clear" w:color="auto" w:fill="D9E2F3" w:themeFill="accent5" w:themeFillTint="33"/>
          </w:tcPr>
          <w:p w:rsidR="00436D27" w:rsidRPr="00907196" w:rsidRDefault="00436D27" w:rsidP="00436D27">
            <w:pPr>
              <w:jc w:val="center"/>
              <w:rPr>
                <w:b/>
                <w:sz w:val="14"/>
                <w:szCs w:val="14"/>
              </w:rPr>
            </w:pPr>
            <w:r w:rsidRPr="00907196">
              <w:rPr>
                <w:b/>
                <w:sz w:val="14"/>
                <w:szCs w:val="14"/>
              </w:rPr>
              <w:t>2015</w:t>
            </w:r>
          </w:p>
        </w:tc>
        <w:tc>
          <w:tcPr>
            <w:tcW w:w="566" w:type="dxa"/>
            <w:shd w:val="clear" w:color="auto" w:fill="D9E2F3" w:themeFill="accent5" w:themeFillTint="33"/>
          </w:tcPr>
          <w:p w:rsidR="00436D27" w:rsidRPr="00907196" w:rsidRDefault="00436D27" w:rsidP="00436D27">
            <w:pPr>
              <w:jc w:val="center"/>
              <w:rPr>
                <w:b/>
                <w:sz w:val="14"/>
                <w:szCs w:val="14"/>
              </w:rPr>
            </w:pPr>
            <w:r w:rsidRPr="00907196">
              <w:rPr>
                <w:b/>
                <w:sz w:val="14"/>
                <w:szCs w:val="14"/>
              </w:rPr>
              <w:t>2014</w:t>
            </w:r>
          </w:p>
        </w:tc>
        <w:tc>
          <w:tcPr>
            <w:tcW w:w="566" w:type="dxa"/>
            <w:shd w:val="clear" w:color="auto" w:fill="D9E2F3" w:themeFill="accent5" w:themeFillTint="33"/>
          </w:tcPr>
          <w:p w:rsidR="00436D27" w:rsidRPr="00907196" w:rsidRDefault="00436D27" w:rsidP="00436D27">
            <w:pPr>
              <w:jc w:val="center"/>
              <w:rPr>
                <w:b/>
                <w:sz w:val="14"/>
                <w:szCs w:val="14"/>
              </w:rPr>
            </w:pPr>
            <w:r w:rsidRPr="00907196">
              <w:rPr>
                <w:b/>
                <w:sz w:val="14"/>
                <w:szCs w:val="14"/>
              </w:rPr>
              <w:t>2013</w:t>
            </w:r>
          </w:p>
        </w:tc>
        <w:tc>
          <w:tcPr>
            <w:tcW w:w="499" w:type="dxa"/>
            <w:shd w:val="clear" w:color="auto" w:fill="FFF2CC" w:themeFill="accent4" w:themeFillTint="33"/>
          </w:tcPr>
          <w:p w:rsidR="00436D27" w:rsidRPr="00907196" w:rsidRDefault="00436D27" w:rsidP="00436D27">
            <w:pPr>
              <w:jc w:val="center"/>
              <w:rPr>
                <w:b/>
                <w:sz w:val="14"/>
                <w:szCs w:val="14"/>
              </w:rPr>
            </w:pPr>
            <w:r w:rsidRPr="00907196">
              <w:rPr>
                <w:b/>
                <w:sz w:val="14"/>
                <w:szCs w:val="14"/>
              </w:rPr>
              <w:t>2015</w:t>
            </w:r>
          </w:p>
        </w:tc>
        <w:tc>
          <w:tcPr>
            <w:tcW w:w="499" w:type="dxa"/>
            <w:shd w:val="clear" w:color="auto" w:fill="FFF2CC" w:themeFill="accent4" w:themeFillTint="33"/>
          </w:tcPr>
          <w:p w:rsidR="00436D27" w:rsidRPr="00907196" w:rsidRDefault="00436D27" w:rsidP="00436D27">
            <w:pPr>
              <w:jc w:val="center"/>
              <w:rPr>
                <w:b/>
                <w:sz w:val="14"/>
                <w:szCs w:val="14"/>
              </w:rPr>
            </w:pPr>
            <w:r w:rsidRPr="00907196">
              <w:rPr>
                <w:b/>
                <w:sz w:val="14"/>
                <w:szCs w:val="14"/>
              </w:rPr>
              <w:t>2014</w:t>
            </w:r>
          </w:p>
        </w:tc>
        <w:tc>
          <w:tcPr>
            <w:tcW w:w="499" w:type="dxa"/>
            <w:shd w:val="clear" w:color="auto" w:fill="FFF2CC" w:themeFill="accent4" w:themeFillTint="33"/>
          </w:tcPr>
          <w:p w:rsidR="00436D27" w:rsidRPr="00907196" w:rsidRDefault="00436D27" w:rsidP="00436D27">
            <w:pPr>
              <w:jc w:val="center"/>
              <w:rPr>
                <w:b/>
                <w:sz w:val="14"/>
                <w:szCs w:val="14"/>
              </w:rPr>
            </w:pPr>
            <w:r w:rsidRPr="00907196">
              <w:rPr>
                <w:b/>
                <w:sz w:val="14"/>
                <w:szCs w:val="14"/>
              </w:rPr>
              <w:t>2013</w:t>
            </w:r>
          </w:p>
        </w:tc>
        <w:tc>
          <w:tcPr>
            <w:tcW w:w="593" w:type="dxa"/>
            <w:shd w:val="clear" w:color="auto" w:fill="EDEDED" w:themeFill="accent3" w:themeFillTint="33"/>
          </w:tcPr>
          <w:p w:rsidR="00436D27" w:rsidRPr="00907196" w:rsidRDefault="00436D27" w:rsidP="00436D27">
            <w:pPr>
              <w:jc w:val="center"/>
              <w:rPr>
                <w:b/>
                <w:sz w:val="14"/>
                <w:szCs w:val="14"/>
              </w:rPr>
            </w:pPr>
            <w:r w:rsidRPr="00907196">
              <w:rPr>
                <w:b/>
                <w:sz w:val="14"/>
                <w:szCs w:val="14"/>
              </w:rPr>
              <w:t>2015</w:t>
            </w:r>
          </w:p>
        </w:tc>
        <w:tc>
          <w:tcPr>
            <w:tcW w:w="593" w:type="dxa"/>
            <w:shd w:val="clear" w:color="auto" w:fill="EDEDED" w:themeFill="accent3" w:themeFillTint="33"/>
          </w:tcPr>
          <w:p w:rsidR="00436D27" w:rsidRPr="00907196" w:rsidRDefault="00436D27" w:rsidP="00436D27">
            <w:pPr>
              <w:jc w:val="center"/>
              <w:rPr>
                <w:b/>
                <w:sz w:val="14"/>
                <w:szCs w:val="14"/>
              </w:rPr>
            </w:pPr>
            <w:r w:rsidRPr="00907196">
              <w:rPr>
                <w:b/>
                <w:sz w:val="14"/>
                <w:szCs w:val="14"/>
              </w:rPr>
              <w:t>2014</w:t>
            </w:r>
          </w:p>
        </w:tc>
        <w:tc>
          <w:tcPr>
            <w:tcW w:w="593" w:type="dxa"/>
            <w:shd w:val="clear" w:color="auto" w:fill="EDEDED" w:themeFill="accent3" w:themeFillTint="33"/>
          </w:tcPr>
          <w:p w:rsidR="00436D27" w:rsidRPr="00907196" w:rsidRDefault="00436D27" w:rsidP="00436D27">
            <w:pPr>
              <w:jc w:val="center"/>
              <w:rPr>
                <w:b/>
                <w:sz w:val="14"/>
                <w:szCs w:val="14"/>
              </w:rPr>
            </w:pPr>
            <w:r w:rsidRPr="00907196">
              <w:rPr>
                <w:b/>
                <w:sz w:val="14"/>
                <w:szCs w:val="14"/>
              </w:rPr>
              <w:t>2013</w:t>
            </w:r>
          </w:p>
        </w:tc>
        <w:tc>
          <w:tcPr>
            <w:tcW w:w="593" w:type="dxa"/>
            <w:shd w:val="clear" w:color="auto" w:fill="FBE4D5" w:themeFill="accent2" w:themeFillTint="33"/>
          </w:tcPr>
          <w:p w:rsidR="00436D27" w:rsidRPr="00907196" w:rsidRDefault="00436D27" w:rsidP="00436D27">
            <w:pPr>
              <w:jc w:val="center"/>
              <w:rPr>
                <w:b/>
                <w:sz w:val="14"/>
                <w:szCs w:val="14"/>
              </w:rPr>
            </w:pPr>
            <w:r w:rsidRPr="00907196">
              <w:rPr>
                <w:b/>
                <w:sz w:val="14"/>
                <w:szCs w:val="14"/>
              </w:rPr>
              <w:t>2015</w:t>
            </w:r>
          </w:p>
        </w:tc>
        <w:tc>
          <w:tcPr>
            <w:tcW w:w="593" w:type="dxa"/>
            <w:shd w:val="clear" w:color="auto" w:fill="FBE4D5" w:themeFill="accent2" w:themeFillTint="33"/>
          </w:tcPr>
          <w:p w:rsidR="00436D27" w:rsidRPr="00907196" w:rsidRDefault="00436D27" w:rsidP="00436D27">
            <w:pPr>
              <w:jc w:val="center"/>
              <w:rPr>
                <w:b/>
                <w:sz w:val="14"/>
                <w:szCs w:val="14"/>
              </w:rPr>
            </w:pPr>
            <w:r w:rsidRPr="00907196">
              <w:rPr>
                <w:b/>
                <w:sz w:val="14"/>
                <w:szCs w:val="14"/>
              </w:rPr>
              <w:t>2014</w:t>
            </w:r>
          </w:p>
        </w:tc>
        <w:tc>
          <w:tcPr>
            <w:tcW w:w="593" w:type="dxa"/>
            <w:shd w:val="clear" w:color="auto" w:fill="FBE4D5" w:themeFill="accent2" w:themeFillTint="33"/>
          </w:tcPr>
          <w:p w:rsidR="00436D27" w:rsidRPr="00907196" w:rsidRDefault="00436D27" w:rsidP="00436D27">
            <w:pPr>
              <w:jc w:val="center"/>
              <w:rPr>
                <w:b/>
                <w:sz w:val="14"/>
                <w:szCs w:val="14"/>
              </w:rPr>
            </w:pPr>
            <w:r w:rsidRPr="00907196">
              <w:rPr>
                <w:b/>
                <w:sz w:val="14"/>
                <w:szCs w:val="14"/>
              </w:rPr>
              <w:t>2013</w:t>
            </w:r>
          </w:p>
        </w:tc>
        <w:tc>
          <w:tcPr>
            <w:tcW w:w="499" w:type="dxa"/>
            <w:shd w:val="clear" w:color="auto" w:fill="DEEAF6" w:themeFill="accent1" w:themeFillTint="33"/>
          </w:tcPr>
          <w:p w:rsidR="00436D27" w:rsidRPr="00907196" w:rsidRDefault="00436D27" w:rsidP="00436D27">
            <w:pPr>
              <w:jc w:val="center"/>
              <w:rPr>
                <w:b/>
                <w:sz w:val="14"/>
                <w:szCs w:val="14"/>
              </w:rPr>
            </w:pPr>
            <w:r w:rsidRPr="00907196">
              <w:rPr>
                <w:b/>
                <w:sz w:val="14"/>
                <w:szCs w:val="14"/>
              </w:rPr>
              <w:t>2015</w:t>
            </w:r>
          </w:p>
        </w:tc>
        <w:tc>
          <w:tcPr>
            <w:tcW w:w="499" w:type="dxa"/>
            <w:shd w:val="clear" w:color="auto" w:fill="DEEAF6" w:themeFill="accent1" w:themeFillTint="33"/>
          </w:tcPr>
          <w:p w:rsidR="00436D27" w:rsidRPr="00907196" w:rsidRDefault="00436D27" w:rsidP="00436D27">
            <w:pPr>
              <w:jc w:val="center"/>
              <w:rPr>
                <w:b/>
                <w:sz w:val="14"/>
                <w:szCs w:val="14"/>
              </w:rPr>
            </w:pPr>
            <w:r w:rsidRPr="00907196">
              <w:rPr>
                <w:b/>
                <w:sz w:val="14"/>
                <w:szCs w:val="14"/>
              </w:rPr>
              <w:t>2014</w:t>
            </w:r>
          </w:p>
        </w:tc>
        <w:tc>
          <w:tcPr>
            <w:tcW w:w="499" w:type="dxa"/>
            <w:shd w:val="clear" w:color="auto" w:fill="DEEAF6" w:themeFill="accent1" w:themeFillTint="33"/>
          </w:tcPr>
          <w:p w:rsidR="00436D27" w:rsidRPr="00907196" w:rsidRDefault="00436D27" w:rsidP="00436D27">
            <w:pPr>
              <w:jc w:val="center"/>
              <w:rPr>
                <w:b/>
                <w:sz w:val="14"/>
                <w:szCs w:val="14"/>
              </w:rPr>
            </w:pPr>
            <w:r w:rsidRPr="00907196">
              <w:rPr>
                <w:b/>
                <w:sz w:val="14"/>
                <w:szCs w:val="14"/>
              </w:rPr>
              <w:t>2013</w:t>
            </w:r>
          </w:p>
        </w:tc>
        <w:tc>
          <w:tcPr>
            <w:tcW w:w="593" w:type="dxa"/>
            <w:shd w:val="clear" w:color="auto" w:fill="D5DCE4" w:themeFill="text2" w:themeFillTint="33"/>
          </w:tcPr>
          <w:p w:rsidR="00436D27" w:rsidRPr="00907196" w:rsidRDefault="00436D27" w:rsidP="00436D27">
            <w:pPr>
              <w:jc w:val="center"/>
              <w:rPr>
                <w:b/>
                <w:sz w:val="14"/>
                <w:szCs w:val="14"/>
              </w:rPr>
            </w:pPr>
            <w:r w:rsidRPr="00907196">
              <w:rPr>
                <w:b/>
                <w:sz w:val="14"/>
                <w:szCs w:val="14"/>
              </w:rPr>
              <w:t>2015</w:t>
            </w:r>
          </w:p>
        </w:tc>
        <w:tc>
          <w:tcPr>
            <w:tcW w:w="593" w:type="dxa"/>
            <w:shd w:val="clear" w:color="auto" w:fill="D5DCE4" w:themeFill="text2" w:themeFillTint="33"/>
          </w:tcPr>
          <w:p w:rsidR="00436D27" w:rsidRPr="00907196" w:rsidRDefault="00436D27" w:rsidP="00436D27">
            <w:pPr>
              <w:jc w:val="center"/>
              <w:rPr>
                <w:b/>
                <w:sz w:val="14"/>
                <w:szCs w:val="14"/>
              </w:rPr>
            </w:pPr>
            <w:r w:rsidRPr="00907196">
              <w:rPr>
                <w:b/>
                <w:sz w:val="14"/>
                <w:szCs w:val="14"/>
              </w:rPr>
              <w:t>2014</w:t>
            </w:r>
          </w:p>
        </w:tc>
        <w:tc>
          <w:tcPr>
            <w:tcW w:w="593" w:type="dxa"/>
            <w:shd w:val="clear" w:color="auto" w:fill="D5DCE4" w:themeFill="text2" w:themeFillTint="33"/>
          </w:tcPr>
          <w:p w:rsidR="00436D27" w:rsidRPr="00907196" w:rsidRDefault="00436D27" w:rsidP="00436D27">
            <w:pPr>
              <w:jc w:val="center"/>
              <w:rPr>
                <w:b/>
                <w:sz w:val="14"/>
                <w:szCs w:val="14"/>
              </w:rPr>
            </w:pPr>
            <w:r w:rsidRPr="00907196">
              <w:rPr>
                <w:b/>
                <w:sz w:val="14"/>
                <w:szCs w:val="14"/>
              </w:rPr>
              <w:t>2013</w:t>
            </w:r>
          </w:p>
        </w:tc>
        <w:tc>
          <w:tcPr>
            <w:tcW w:w="499" w:type="dxa"/>
            <w:shd w:val="clear" w:color="auto" w:fill="D0CECE" w:themeFill="background2" w:themeFillShade="E6"/>
          </w:tcPr>
          <w:p w:rsidR="00436D27" w:rsidRPr="00907196" w:rsidRDefault="00436D27" w:rsidP="00436D27">
            <w:pPr>
              <w:jc w:val="center"/>
              <w:rPr>
                <w:b/>
                <w:sz w:val="14"/>
                <w:szCs w:val="14"/>
              </w:rPr>
            </w:pPr>
            <w:r w:rsidRPr="00907196">
              <w:rPr>
                <w:b/>
                <w:sz w:val="14"/>
                <w:szCs w:val="14"/>
              </w:rPr>
              <w:t>2015</w:t>
            </w:r>
          </w:p>
        </w:tc>
        <w:tc>
          <w:tcPr>
            <w:tcW w:w="499" w:type="dxa"/>
            <w:shd w:val="clear" w:color="auto" w:fill="D0CECE" w:themeFill="background2" w:themeFillShade="E6"/>
          </w:tcPr>
          <w:p w:rsidR="00436D27" w:rsidRPr="00907196" w:rsidRDefault="00436D27" w:rsidP="00436D27">
            <w:pPr>
              <w:jc w:val="center"/>
              <w:rPr>
                <w:b/>
                <w:sz w:val="14"/>
                <w:szCs w:val="14"/>
              </w:rPr>
            </w:pPr>
            <w:r w:rsidRPr="00907196">
              <w:rPr>
                <w:b/>
                <w:sz w:val="14"/>
                <w:szCs w:val="14"/>
              </w:rPr>
              <w:t>2014</w:t>
            </w:r>
          </w:p>
        </w:tc>
        <w:tc>
          <w:tcPr>
            <w:tcW w:w="499" w:type="dxa"/>
            <w:shd w:val="clear" w:color="auto" w:fill="D0CECE" w:themeFill="background2" w:themeFillShade="E6"/>
          </w:tcPr>
          <w:p w:rsidR="00436D27" w:rsidRPr="00907196" w:rsidRDefault="00436D27" w:rsidP="00436D27">
            <w:pPr>
              <w:jc w:val="center"/>
              <w:rPr>
                <w:b/>
                <w:sz w:val="14"/>
                <w:szCs w:val="14"/>
              </w:rPr>
            </w:pPr>
            <w:r w:rsidRPr="00907196">
              <w:rPr>
                <w:b/>
                <w:sz w:val="14"/>
                <w:szCs w:val="14"/>
              </w:rPr>
              <w:t>2013</w:t>
            </w:r>
          </w:p>
        </w:tc>
        <w:tc>
          <w:tcPr>
            <w:tcW w:w="687" w:type="dxa"/>
            <w:shd w:val="clear" w:color="auto" w:fill="FFD966" w:themeFill="accent4" w:themeFillTint="99"/>
          </w:tcPr>
          <w:p w:rsidR="00436D27" w:rsidRPr="00907196" w:rsidRDefault="00436D27" w:rsidP="00436D27">
            <w:pPr>
              <w:jc w:val="center"/>
              <w:rPr>
                <w:b/>
                <w:sz w:val="14"/>
                <w:szCs w:val="14"/>
              </w:rPr>
            </w:pPr>
            <w:r w:rsidRPr="00907196">
              <w:rPr>
                <w:b/>
                <w:sz w:val="14"/>
                <w:szCs w:val="14"/>
              </w:rPr>
              <w:t>2015</w:t>
            </w:r>
          </w:p>
        </w:tc>
      </w:tr>
      <w:tr w:rsidR="00436D27" w:rsidRPr="00907196" w:rsidTr="00436D27">
        <w:trPr>
          <w:trHeight w:val="255"/>
        </w:trPr>
        <w:tc>
          <w:tcPr>
            <w:tcW w:w="1413" w:type="dxa"/>
            <w:noWrap/>
          </w:tcPr>
          <w:p w:rsidR="00436D27" w:rsidRPr="00907196" w:rsidRDefault="00436D27" w:rsidP="00436D27">
            <w:pPr>
              <w:rPr>
                <w:sz w:val="14"/>
                <w:szCs w:val="14"/>
              </w:rPr>
            </w:pPr>
            <w:r w:rsidRPr="00907196">
              <w:rPr>
                <w:sz w:val="14"/>
                <w:szCs w:val="14"/>
              </w:rPr>
              <w:t>Įstaigą lankančių vaikų skaičius</w:t>
            </w:r>
          </w:p>
        </w:tc>
        <w:tc>
          <w:tcPr>
            <w:tcW w:w="56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11987</w:t>
            </w:r>
          </w:p>
        </w:tc>
        <w:tc>
          <w:tcPr>
            <w:tcW w:w="49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8186</w:t>
            </w:r>
          </w:p>
        </w:tc>
        <w:tc>
          <w:tcPr>
            <w:tcW w:w="49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7532</w:t>
            </w:r>
          </w:p>
        </w:tc>
        <w:tc>
          <w:tcPr>
            <w:tcW w:w="49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2528</w:t>
            </w:r>
          </w:p>
        </w:tc>
        <w:tc>
          <w:tcPr>
            <w:tcW w:w="56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11764</w:t>
            </w:r>
          </w:p>
        </w:tc>
        <w:tc>
          <w:tcPr>
            <w:tcW w:w="56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18260</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172</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176</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192</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2370</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2588</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2441</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5322</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3258</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6082</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478</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482</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576</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4855</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3556</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3943</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527</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631</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640</w:t>
            </w:r>
          </w:p>
        </w:tc>
        <w:tc>
          <w:tcPr>
            <w:tcW w:w="687" w:type="dxa"/>
            <w:shd w:val="clear" w:color="auto" w:fill="FFD966" w:themeFill="accent4" w:themeFillTint="99"/>
            <w:vAlign w:val="bottom"/>
          </w:tcPr>
          <w:p w:rsidR="00436D27" w:rsidRPr="00907196" w:rsidRDefault="00436D27" w:rsidP="00436D27">
            <w:pPr>
              <w:jc w:val="right"/>
              <w:rPr>
                <w:rFonts w:cs="Times New Roman"/>
                <w:sz w:val="14"/>
                <w:szCs w:val="14"/>
              </w:rPr>
            </w:pPr>
            <w:r w:rsidRPr="00907196">
              <w:rPr>
                <w:rFonts w:cs="Times New Roman"/>
                <w:sz w:val="14"/>
                <w:szCs w:val="14"/>
              </w:rPr>
              <w:t>1595</w:t>
            </w:r>
          </w:p>
        </w:tc>
      </w:tr>
      <w:tr w:rsidR="00436D27" w:rsidRPr="00907196" w:rsidTr="00436D27">
        <w:trPr>
          <w:trHeight w:val="255"/>
        </w:trPr>
        <w:tc>
          <w:tcPr>
            <w:tcW w:w="1413" w:type="dxa"/>
            <w:hideMark/>
          </w:tcPr>
          <w:p w:rsidR="00436D27" w:rsidRPr="00907196" w:rsidRDefault="00436D27" w:rsidP="00436D27">
            <w:pPr>
              <w:rPr>
                <w:sz w:val="14"/>
                <w:szCs w:val="14"/>
              </w:rPr>
            </w:pPr>
            <w:r w:rsidRPr="00907196">
              <w:rPr>
                <w:sz w:val="14"/>
                <w:szCs w:val="14"/>
              </w:rPr>
              <w:t>Mokiniai, augantys daugiavaikėse šeimose (3 ir daugiau vaikų)</w:t>
            </w:r>
          </w:p>
        </w:tc>
        <w:tc>
          <w:tcPr>
            <w:tcW w:w="56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896</w:t>
            </w:r>
          </w:p>
        </w:tc>
        <w:tc>
          <w:tcPr>
            <w:tcW w:w="49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902</w:t>
            </w:r>
          </w:p>
        </w:tc>
        <w:tc>
          <w:tcPr>
            <w:tcW w:w="49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850</w:t>
            </w:r>
          </w:p>
        </w:tc>
        <w:tc>
          <w:tcPr>
            <w:tcW w:w="49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371</w:t>
            </w:r>
          </w:p>
        </w:tc>
        <w:tc>
          <w:tcPr>
            <w:tcW w:w="56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1749</w:t>
            </w:r>
          </w:p>
        </w:tc>
        <w:tc>
          <w:tcPr>
            <w:tcW w:w="56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1521</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63</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81</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80</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409</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440</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415</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624</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364</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757</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103</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85</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122</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725</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946</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671</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95</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99</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99</w:t>
            </w:r>
          </w:p>
        </w:tc>
        <w:tc>
          <w:tcPr>
            <w:tcW w:w="687" w:type="dxa"/>
            <w:shd w:val="clear" w:color="auto" w:fill="FFD966" w:themeFill="accent4" w:themeFillTint="99"/>
            <w:vAlign w:val="bottom"/>
          </w:tcPr>
          <w:p w:rsidR="00436D27" w:rsidRPr="00907196" w:rsidRDefault="00436D27" w:rsidP="00436D27">
            <w:pPr>
              <w:jc w:val="right"/>
              <w:rPr>
                <w:rFonts w:cs="Times New Roman"/>
                <w:sz w:val="14"/>
                <w:szCs w:val="14"/>
              </w:rPr>
            </w:pPr>
            <w:r w:rsidRPr="00907196">
              <w:rPr>
                <w:rFonts w:cs="Times New Roman"/>
                <w:sz w:val="14"/>
                <w:szCs w:val="14"/>
              </w:rPr>
              <w:t>243</w:t>
            </w:r>
          </w:p>
        </w:tc>
      </w:tr>
      <w:tr w:rsidR="00436D27" w:rsidRPr="00907196" w:rsidTr="00436D27">
        <w:trPr>
          <w:trHeight w:val="255"/>
        </w:trPr>
        <w:tc>
          <w:tcPr>
            <w:tcW w:w="1413" w:type="dxa"/>
            <w:hideMark/>
          </w:tcPr>
          <w:p w:rsidR="00436D27" w:rsidRPr="00907196" w:rsidRDefault="00436D27" w:rsidP="00436D27">
            <w:pPr>
              <w:rPr>
                <w:sz w:val="14"/>
                <w:szCs w:val="14"/>
              </w:rPr>
            </w:pPr>
            <w:r w:rsidRPr="00907196">
              <w:rPr>
                <w:sz w:val="14"/>
                <w:szCs w:val="14"/>
              </w:rPr>
              <w:t>Mokiniai, augantys pilnose šeimose</w:t>
            </w:r>
          </w:p>
        </w:tc>
        <w:tc>
          <w:tcPr>
            <w:tcW w:w="56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5079</w:t>
            </w:r>
          </w:p>
        </w:tc>
        <w:tc>
          <w:tcPr>
            <w:tcW w:w="49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5784</w:t>
            </w:r>
          </w:p>
        </w:tc>
        <w:tc>
          <w:tcPr>
            <w:tcW w:w="496" w:type="dxa"/>
            <w:shd w:val="clear" w:color="auto" w:fill="E2EFD9" w:themeFill="accent6" w:themeFillTint="33"/>
            <w:vAlign w:val="bottom"/>
          </w:tcPr>
          <w:p w:rsidR="00436D27" w:rsidRPr="00907196" w:rsidRDefault="00436D27" w:rsidP="00436D27">
            <w:pPr>
              <w:rPr>
                <w:rFonts w:cs="Times New Roman"/>
                <w:sz w:val="14"/>
                <w:szCs w:val="14"/>
              </w:rPr>
            </w:pPr>
            <w:r w:rsidRPr="00907196">
              <w:rPr>
                <w:rFonts w:cs="Times New Roman"/>
                <w:sz w:val="14"/>
                <w:szCs w:val="14"/>
              </w:rPr>
              <w:t> </w:t>
            </w:r>
          </w:p>
        </w:tc>
        <w:tc>
          <w:tcPr>
            <w:tcW w:w="49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1741</w:t>
            </w:r>
          </w:p>
        </w:tc>
        <w:tc>
          <w:tcPr>
            <w:tcW w:w="56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7931</w:t>
            </w:r>
          </w:p>
        </w:tc>
        <w:tc>
          <w:tcPr>
            <w:tcW w:w="566" w:type="dxa"/>
            <w:shd w:val="clear" w:color="auto" w:fill="D9E2F3" w:themeFill="accent5" w:themeFillTint="33"/>
            <w:vAlign w:val="bottom"/>
          </w:tcPr>
          <w:p w:rsidR="00436D27" w:rsidRPr="00907196" w:rsidRDefault="00436D27" w:rsidP="00436D27">
            <w:pPr>
              <w:rPr>
                <w:rFonts w:cs="Times New Roman"/>
                <w:sz w:val="14"/>
                <w:szCs w:val="14"/>
              </w:rPr>
            </w:pPr>
            <w:r w:rsidRPr="00907196">
              <w:rPr>
                <w:rFonts w:cs="Times New Roman"/>
                <w:sz w:val="14"/>
                <w:szCs w:val="14"/>
              </w:rPr>
              <w:t> </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65</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63</w:t>
            </w:r>
          </w:p>
        </w:tc>
        <w:tc>
          <w:tcPr>
            <w:tcW w:w="499" w:type="dxa"/>
            <w:shd w:val="clear" w:color="auto" w:fill="FFF2CC" w:themeFill="accent4" w:themeFillTint="33"/>
            <w:vAlign w:val="bottom"/>
          </w:tcPr>
          <w:p w:rsidR="00436D27" w:rsidRPr="00907196" w:rsidRDefault="00436D27" w:rsidP="00436D27">
            <w:pPr>
              <w:rPr>
                <w:rFonts w:cs="Times New Roman"/>
                <w:sz w:val="14"/>
                <w:szCs w:val="14"/>
              </w:rPr>
            </w:pPr>
            <w:r w:rsidRPr="00907196">
              <w:rPr>
                <w:rFonts w:cs="Times New Roman"/>
                <w:sz w:val="14"/>
                <w:szCs w:val="14"/>
              </w:rPr>
              <w:t> </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2103</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1414</w:t>
            </w:r>
          </w:p>
        </w:tc>
        <w:tc>
          <w:tcPr>
            <w:tcW w:w="593" w:type="dxa"/>
            <w:shd w:val="clear" w:color="auto" w:fill="EDEDED" w:themeFill="accent3" w:themeFillTint="33"/>
            <w:vAlign w:val="bottom"/>
          </w:tcPr>
          <w:p w:rsidR="00436D27" w:rsidRPr="00907196" w:rsidRDefault="00436D27" w:rsidP="00436D27">
            <w:pPr>
              <w:rPr>
                <w:rFonts w:cs="Times New Roman"/>
                <w:sz w:val="14"/>
                <w:szCs w:val="14"/>
              </w:rPr>
            </w:pPr>
            <w:r w:rsidRPr="00907196">
              <w:rPr>
                <w:rFonts w:cs="Times New Roman"/>
                <w:sz w:val="14"/>
                <w:szCs w:val="14"/>
              </w:rPr>
              <w:t> </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3679</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2239</w:t>
            </w:r>
          </w:p>
        </w:tc>
        <w:tc>
          <w:tcPr>
            <w:tcW w:w="593" w:type="dxa"/>
            <w:shd w:val="clear" w:color="auto" w:fill="FBE4D5" w:themeFill="accent2" w:themeFillTint="33"/>
            <w:vAlign w:val="bottom"/>
          </w:tcPr>
          <w:p w:rsidR="00436D27" w:rsidRPr="00907196" w:rsidRDefault="00436D27" w:rsidP="00436D27">
            <w:pPr>
              <w:rPr>
                <w:rFonts w:cs="Times New Roman"/>
                <w:sz w:val="14"/>
                <w:szCs w:val="14"/>
              </w:rPr>
            </w:pPr>
            <w:r w:rsidRPr="00907196">
              <w:rPr>
                <w:rFonts w:cs="Times New Roman"/>
                <w:sz w:val="14"/>
                <w:szCs w:val="14"/>
              </w:rPr>
              <w:t> </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239</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231</w:t>
            </w:r>
          </w:p>
        </w:tc>
        <w:tc>
          <w:tcPr>
            <w:tcW w:w="499" w:type="dxa"/>
            <w:shd w:val="clear" w:color="auto" w:fill="DEEAF6" w:themeFill="accent1" w:themeFillTint="33"/>
            <w:vAlign w:val="bottom"/>
          </w:tcPr>
          <w:p w:rsidR="00436D27" w:rsidRPr="00907196" w:rsidRDefault="00436D27" w:rsidP="00436D27">
            <w:pPr>
              <w:rPr>
                <w:rFonts w:cs="Times New Roman"/>
                <w:sz w:val="14"/>
                <w:szCs w:val="14"/>
              </w:rPr>
            </w:pPr>
            <w:r w:rsidRPr="00907196">
              <w:rPr>
                <w:rFonts w:cs="Times New Roman"/>
                <w:sz w:val="14"/>
                <w:szCs w:val="14"/>
              </w:rPr>
              <w:t> </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3249</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2402</w:t>
            </w:r>
          </w:p>
        </w:tc>
        <w:tc>
          <w:tcPr>
            <w:tcW w:w="593" w:type="dxa"/>
            <w:shd w:val="clear" w:color="auto" w:fill="D5DCE4" w:themeFill="text2" w:themeFillTint="33"/>
            <w:vAlign w:val="bottom"/>
          </w:tcPr>
          <w:p w:rsidR="00436D27" w:rsidRPr="00907196" w:rsidRDefault="00436D27" w:rsidP="00436D27">
            <w:pPr>
              <w:rPr>
                <w:rFonts w:cs="Times New Roman"/>
                <w:sz w:val="14"/>
                <w:szCs w:val="14"/>
              </w:rPr>
            </w:pPr>
            <w:r w:rsidRPr="00907196">
              <w:rPr>
                <w:rFonts w:cs="Times New Roman"/>
                <w:sz w:val="14"/>
                <w:szCs w:val="14"/>
              </w:rPr>
              <w:t> </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420</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534</w:t>
            </w:r>
          </w:p>
        </w:tc>
        <w:tc>
          <w:tcPr>
            <w:tcW w:w="499" w:type="dxa"/>
            <w:shd w:val="clear" w:color="auto" w:fill="D0CECE" w:themeFill="background2" w:themeFillShade="E6"/>
            <w:vAlign w:val="bottom"/>
          </w:tcPr>
          <w:p w:rsidR="00436D27" w:rsidRPr="00907196" w:rsidRDefault="00436D27" w:rsidP="00436D27">
            <w:pPr>
              <w:rPr>
                <w:rFonts w:cs="Times New Roman"/>
                <w:sz w:val="14"/>
                <w:szCs w:val="14"/>
              </w:rPr>
            </w:pPr>
            <w:r w:rsidRPr="00907196">
              <w:rPr>
                <w:rFonts w:cs="Times New Roman"/>
                <w:sz w:val="14"/>
                <w:szCs w:val="14"/>
              </w:rPr>
              <w:t> </w:t>
            </w:r>
          </w:p>
        </w:tc>
        <w:tc>
          <w:tcPr>
            <w:tcW w:w="687" w:type="dxa"/>
            <w:shd w:val="clear" w:color="auto" w:fill="FFD966" w:themeFill="accent4" w:themeFillTint="99"/>
            <w:vAlign w:val="bottom"/>
          </w:tcPr>
          <w:p w:rsidR="00436D27" w:rsidRPr="00907196" w:rsidRDefault="00436D27" w:rsidP="00436D27">
            <w:pPr>
              <w:jc w:val="right"/>
              <w:rPr>
                <w:rFonts w:cs="Times New Roman"/>
                <w:sz w:val="14"/>
                <w:szCs w:val="14"/>
              </w:rPr>
            </w:pPr>
            <w:r w:rsidRPr="00907196">
              <w:rPr>
                <w:rFonts w:cs="Times New Roman"/>
                <w:sz w:val="14"/>
                <w:szCs w:val="14"/>
              </w:rPr>
              <w:t>1067</w:t>
            </w:r>
          </w:p>
        </w:tc>
      </w:tr>
      <w:tr w:rsidR="00436D27" w:rsidRPr="00907196" w:rsidTr="00436D27">
        <w:trPr>
          <w:trHeight w:val="255"/>
        </w:trPr>
        <w:tc>
          <w:tcPr>
            <w:tcW w:w="1413" w:type="dxa"/>
            <w:hideMark/>
          </w:tcPr>
          <w:p w:rsidR="00436D27" w:rsidRPr="00907196" w:rsidRDefault="00436D27" w:rsidP="00436D27">
            <w:pPr>
              <w:rPr>
                <w:sz w:val="14"/>
                <w:szCs w:val="14"/>
              </w:rPr>
            </w:pPr>
            <w:r w:rsidRPr="00907196">
              <w:rPr>
                <w:sz w:val="14"/>
                <w:szCs w:val="14"/>
              </w:rPr>
              <w:t>Mokiniai, kurių tėvai išsituokę</w:t>
            </w:r>
          </w:p>
        </w:tc>
        <w:tc>
          <w:tcPr>
            <w:tcW w:w="56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1540</w:t>
            </w:r>
          </w:p>
        </w:tc>
        <w:tc>
          <w:tcPr>
            <w:tcW w:w="49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1615</w:t>
            </w:r>
          </w:p>
        </w:tc>
        <w:tc>
          <w:tcPr>
            <w:tcW w:w="49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1713</w:t>
            </w:r>
          </w:p>
        </w:tc>
        <w:tc>
          <w:tcPr>
            <w:tcW w:w="49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454</w:t>
            </w:r>
          </w:p>
        </w:tc>
        <w:tc>
          <w:tcPr>
            <w:tcW w:w="56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2233</w:t>
            </w:r>
          </w:p>
        </w:tc>
        <w:tc>
          <w:tcPr>
            <w:tcW w:w="56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2016</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34</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35</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51</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219</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244</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270</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1004</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642</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1146</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90</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76</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103</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802</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559</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855</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57</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67</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49</w:t>
            </w:r>
          </w:p>
        </w:tc>
        <w:tc>
          <w:tcPr>
            <w:tcW w:w="687" w:type="dxa"/>
            <w:shd w:val="clear" w:color="auto" w:fill="FFD966" w:themeFill="accent4" w:themeFillTint="99"/>
            <w:vAlign w:val="bottom"/>
          </w:tcPr>
          <w:p w:rsidR="00436D27" w:rsidRPr="00907196" w:rsidRDefault="00436D27" w:rsidP="00436D27">
            <w:pPr>
              <w:jc w:val="right"/>
              <w:rPr>
                <w:rFonts w:cs="Times New Roman"/>
                <w:sz w:val="14"/>
                <w:szCs w:val="14"/>
              </w:rPr>
            </w:pPr>
            <w:r w:rsidRPr="00907196">
              <w:rPr>
                <w:rFonts w:cs="Times New Roman"/>
                <w:sz w:val="14"/>
                <w:szCs w:val="14"/>
              </w:rPr>
              <w:t>268</w:t>
            </w:r>
          </w:p>
        </w:tc>
      </w:tr>
      <w:tr w:rsidR="00436D27" w:rsidRPr="00907196" w:rsidTr="00436D27">
        <w:trPr>
          <w:trHeight w:val="255"/>
        </w:trPr>
        <w:tc>
          <w:tcPr>
            <w:tcW w:w="1413" w:type="dxa"/>
            <w:hideMark/>
          </w:tcPr>
          <w:p w:rsidR="00436D27" w:rsidRPr="00907196" w:rsidRDefault="00436D27" w:rsidP="00436D27">
            <w:pPr>
              <w:rPr>
                <w:sz w:val="14"/>
                <w:szCs w:val="14"/>
              </w:rPr>
            </w:pPr>
            <w:r w:rsidRPr="00907196">
              <w:rPr>
                <w:sz w:val="14"/>
                <w:szCs w:val="14"/>
              </w:rPr>
              <w:t>Mokiniai, kuriuos augina vienišos mamos/tėčiai</w:t>
            </w:r>
          </w:p>
        </w:tc>
        <w:tc>
          <w:tcPr>
            <w:tcW w:w="56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431</w:t>
            </w:r>
          </w:p>
        </w:tc>
        <w:tc>
          <w:tcPr>
            <w:tcW w:w="49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434</w:t>
            </w:r>
          </w:p>
        </w:tc>
        <w:tc>
          <w:tcPr>
            <w:tcW w:w="49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579</w:t>
            </w:r>
          </w:p>
        </w:tc>
        <w:tc>
          <w:tcPr>
            <w:tcW w:w="49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188</w:t>
            </w:r>
          </w:p>
        </w:tc>
        <w:tc>
          <w:tcPr>
            <w:tcW w:w="56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781</w:t>
            </w:r>
          </w:p>
        </w:tc>
        <w:tc>
          <w:tcPr>
            <w:tcW w:w="56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722</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44</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61</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44</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82</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83</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84</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448</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259</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474</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49</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31</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65</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241</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174</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302</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18</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16</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23</w:t>
            </w:r>
          </w:p>
        </w:tc>
        <w:tc>
          <w:tcPr>
            <w:tcW w:w="687" w:type="dxa"/>
            <w:shd w:val="clear" w:color="auto" w:fill="FFD966" w:themeFill="accent4" w:themeFillTint="99"/>
            <w:vAlign w:val="bottom"/>
          </w:tcPr>
          <w:p w:rsidR="00436D27" w:rsidRPr="00907196" w:rsidRDefault="00436D27" w:rsidP="00436D27">
            <w:pPr>
              <w:jc w:val="right"/>
              <w:rPr>
                <w:rFonts w:cs="Times New Roman"/>
                <w:sz w:val="14"/>
                <w:szCs w:val="14"/>
              </w:rPr>
            </w:pPr>
            <w:r w:rsidRPr="00907196">
              <w:rPr>
                <w:rFonts w:cs="Times New Roman"/>
                <w:sz w:val="14"/>
                <w:szCs w:val="14"/>
              </w:rPr>
              <w:t>106</w:t>
            </w:r>
          </w:p>
        </w:tc>
      </w:tr>
      <w:tr w:rsidR="00436D27" w:rsidRPr="00907196" w:rsidTr="00436D27">
        <w:trPr>
          <w:trHeight w:val="255"/>
        </w:trPr>
        <w:tc>
          <w:tcPr>
            <w:tcW w:w="1413" w:type="dxa"/>
            <w:hideMark/>
          </w:tcPr>
          <w:p w:rsidR="00436D27" w:rsidRPr="00907196" w:rsidRDefault="00436D27" w:rsidP="00436D27">
            <w:pPr>
              <w:rPr>
                <w:sz w:val="14"/>
                <w:szCs w:val="14"/>
              </w:rPr>
            </w:pPr>
            <w:r w:rsidRPr="00907196">
              <w:rPr>
                <w:sz w:val="14"/>
                <w:szCs w:val="14"/>
              </w:rPr>
              <w:t xml:space="preserve"> Mokiniai, kurie gyvena neformaliose šeimose</w:t>
            </w:r>
          </w:p>
        </w:tc>
        <w:tc>
          <w:tcPr>
            <w:tcW w:w="56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174</w:t>
            </w:r>
          </w:p>
        </w:tc>
        <w:tc>
          <w:tcPr>
            <w:tcW w:w="49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311</w:t>
            </w:r>
          </w:p>
        </w:tc>
        <w:tc>
          <w:tcPr>
            <w:tcW w:w="49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366</w:t>
            </w:r>
          </w:p>
        </w:tc>
        <w:tc>
          <w:tcPr>
            <w:tcW w:w="49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124</w:t>
            </w:r>
          </w:p>
        </w:tc>
        <w:tc>
          <w:tcPr>
            <w:tcW w:w="56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628</w:t>
            </w:r>
          </w:p>
        </w:tc>
        <w:tc>
          <w:tcPr>
            <w:tcW w:w="56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490</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22</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27</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32</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77</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85</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67</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286</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218</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506</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36</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41</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47</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218</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324</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273</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26</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10</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12</w:t>
            </w:r>
          </w:p>
        </w:tc>
        <w:tc>
          <w:tcPr>
            <w:tcW w:w="687" w:type="dxa"/>
            <w:shd w:val="clear" w:color="auto" w:fill="FFD966" w:themeFill="accent4" w:themeFillTint="99"/>
            <w:vAlign w:val="bottom"/>
          </w:tcPr>
          <w:p w:rsidR="00436D27" w:rsidRPr="00907196" w:rsidRDefault="00436D27" w:rsidP="00436D27">
            <w:pPr>
              <w:jc w:val="right"/>
              <w:rPr>
                <w:rFonts w:cs="Times New Roman"/>
                <w:sz w:val="14"/>
                <w:szCs w:val="14"/>
              </w:rPr>
            </w:pPr>
            <w:r w:rsidRPr="00907196">
              <w:rPr>
                <w:rFonts w:cs="Times New Roman"/>
                <w:sz w:val="14"/>
                <w:szCs w:val="14"/>
              </w:rPr>
              <w:t>70</w:t>
            </w:r>
          </w:p>
        </w:tc>
      </w:tr>
      <w:tr w:rsidR="00436D27" w:rsidRPr="00907196" w:rsidTr="00436D27">
        <w:trPr>
          <w:trHeight w:val="255"/>
        </w:trPr>
        <w:tc>
          <w:tcPr>
            <w:tcW w:w="1413" w:type="dxa"/>
            <w:hideMark/>
          </w:tcPr>
          <w:p w:rsidR="00436D27" w:rsidRPr="00907196" w:rsidRDefault="00436D27" w:rsidP="00436D27">
            <w:pPr>
              <w:rPr>
                <w:sz w:val="14"/>
                <w:szCs w:val="14"/>
              </w:rPr>
            </w:pPr>
            <w:r w:rsidRPr="00907196">
              <w:rPr>
                <w:sz w:val="14"/>
                <w:szCs w:val="14"/>
              </w:rPr>
              <w:t>Mokiniai, kurių vienas iš tėvų miręs</w:t>
            </w:r>
          </w:p>
        </w:tc>
        <w:tc>
          <w:tcPr>
            <w:tcW w:w="56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293</w:t>
            </w:r>
          </w:p>
        </w:tc>
        <w:tc>
          <w:tcPr>
            <w:tcW w:w="49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279</w:t>
            </w:r>
          </w:p>
        </w:tc>
        <w:tc>
          <w:tcPr>
            <w:tcW w:w="49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278</w:t>
            </w:r>
          </w:p>
        </w:tc>
        <w:tc>
          <w:tcPr>
            <w:tcW w:w="49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100</w:t>
            </w:r>
          </w:p>
        </w:tc>
        <w:tc>
          <w:tcPr>
            <w:tcW w:w="56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421</w:t>
            </w:r>
          </w:p>
        </w:tc>
        <w:tc>
          <w:tcPr>
            <w:tcW w:w="56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381</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22</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31</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28</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20</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31</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30</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165</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94</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238</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35</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32</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49</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101</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91</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117</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11</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8</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8</w:t>
            </w:r>
          </w:p>
        </w:tc>
        <w:tc>
          <w:tcPr>
            <w:tcW w:w="687" w:type="dxa"/>
            <w:shd w:val="clear" w:color="auto" w:fill="FFD966" w:themeFill="accent4" w:themeFillTint="99"/>
            <w:vAlign w:val="bottom"/>
          </w:tcPr>
          <w:p w:rsidR="00436D27" w:rsidRPr="00907196" w:rsidRDefault="00436D27" w:rsidP="00436D27">
            <w:pPr>
              <w:jc w:val="right"/>
              <w:rPr>
                <w:rFonts w:cs="Times New Roman"/>
                <w:sz w:val="14"/>
                <w:szCs w:val="14"/>
              </w:rPr>
            </w:pPr>
            <w:r w:rsidRPr="00907196">
              <w:rPr>
                <w:rFonts w:cs="Times New Roman"/>
                <w:sz w:val="14"/>
                <w:szCs w:val="14"/>
              </w:rPr>
              <w:t>29</w:t>
            </w:r>
          </w:p>
        </w:tc>
      </w:tr>
      <w:tr w:rsidR="00436D27" w:rsidRPr="00907196" w:rsidTr="00436D27">
        <w:trPr>
          <w:trHeight w:val="255"/>
        </w:trPr>
        <w:tc>
          <w:tcPr>
            <w:tcW w:w="1413" w:type="dxa"/>
            <w:hideMark/>
          </w:tcPr>
          <w:p w:rsidR="00436D27" w:rsidRPr="00907196" w:rsidRDefault="00436D27" w:rsidP="00436D27">
            <w:pPr>
              <w:rPr>
                <w:sz w:val="14"/>
                <w:szCs w:val="14"/>
              </w:rPr>
            </w:pPr>
            <w:r w:rsidRPr="00907196">
              <w:rPr>
                <w:sz w:val="14"/>
                <w:szCs w:val="14"/>
              </w:rPr>
              <w:t>Mokiniai, kurių vienas iš tėvų/ar abu turi  negalią</w:t>
            </w:r>
          </w:p>
        </w:tc>
        <w:tc>
          <w:tcPr>
            <w:tcW w:w="56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164</w:t>
            </w:r>
          </w:p>
        </w:tc>
        <w:tc>
          <w:tcPr>
            <w:tcW w:w="49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152</w:t>
            </w:r>
          </w:p>
        </w:tc>
        <w:tc>
          <w:tcPr>
            <w:tcW w:w="49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127</w:t>
            </w:r>
          </w:p>
        </w:tc>
        <w:tc>
          <w:tcPr>
            <w:tcW w:w="49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55</w:t>
            </w:r>
          </w:p>
        </w:tc>
        <w:tc>
          <w:tcPr>
            <w:tcW w:w="56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268</w:t>
            </w:r>
          </w:p>
        </w:tc>
        <w:tc>
          <w:tcPr>
            <w:tcW w:w="56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308</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5</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23</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27</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32</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74</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51</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126</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59</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62</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67</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94</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75</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74</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7</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4</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5</w:t>
            </w:r>
          </w:p>
        </w:tc>
        <w:tc>
          <w:tcPr>
            <w:tcW w:w="687" w:type="dxa"/>
            <w:shd w:val="clear" w:color="auto" w:fill="FFD966" w:themeFill="accent4" w:themeFillTint="99"/>
            <w:vAlign w:val="bottom"/>
          </w:tcPr>
          <w:p w:rsidR="00436D27" w:rsidRPr="00907196" w:rsidRDefault="00436D27" w:rsidP="00436D27">
            <w:pPr>
              <w:jc w:val="right"/>
              <w:rPr>
                <w:rFonts w:cs="Times New Roman"/>
                <w:sz w:val="14"/>
                <w:szCs w:val="14"/>
              </w:rPr>
            </w:pPr>
            <w:r w:rsidRPr="00907196">
              <w:rPr>
                <w:rFonts w:cs="Times New Roman"/>
                <w:sz w:val="14"/>
                <w:szCs w:val="14"/>
              </w:rPr>
              <w:t>21</w:t>
            </w:r>
          </w:p>
        </w:tc>
      </w:tr>
      <w:tr w:rsidR="00436D27" w:rsidRPr="00907196" w:rsidTr="00436D27">
        <w:trPr>
          <w:trHeight w:val="255"/>
        </w:trPr>
        <w:tc>
          <w:tcPr>
            <w:tcW w:w="1413" w:type="dxa"/>
            <w:hideMark/>
          </w:tcPr>
          <w:p w:rsidR="00436D27" w:rsidRPr="00907196" w:rsidRDefault="00436D27" w:rsidP="00436D27">
            <w:pPr>
              <w:rPr>
                <w:sz w:val="14"/>
                <w:szCs w:val="14"/>
              </w:rPr>
            </w:pPr>
            <w:r w:rsidRPr="00907196">
              <w:rPr>
                <w:sz w:val="14"/>
                <w:szCs w:val="14"/>
              </w:rPr>
              <w:t>Mokiniai, kurių vienas iš tėvų dirba užsienyje</w:t>
            </w:r>
          </w:p>
        </w:tc>
        <w:tc>
          <w:tcPr>
            <w:tcW w:w="56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417</w:t>
            </w:r>
          </w:p>
        </w:tc>
        <w:tc>
          <w:tcPr>
            <w:tcW w:w="49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429</w:t>
            </w:r>
          </w:p>
        </w:tc>
        <w:tc>
          <w:tcPr>
            <w:tcW w:w="49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430</w:t>
            </w:r>
          </w:p>
        </w:tc>
        <w:tc>
          <w:tcPr>
            <w:tcW w:w="49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90</w:t>
            </w:r>
          </w:p>
        </w:tc>
        <w:tc>
          <w:tcPr>
            <w:tcW w:w="56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540</w:t>
            </w:r>
          </w:p>
        </w:tc>
        <w:tc>
          <w:tcPr>
            <w:tcW w:w="56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484</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7</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7</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7</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65</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85</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69</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208</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179</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295</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19</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14</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16</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138</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133</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175</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8</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8</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8</w:t>
            </w:r>
          </w:p>
        </w:tc>
        <w:tc>
          <w:tcPr>
            <w:tcW w:w="687" w:type="dxa"/>
            <w:shd w:val="clear" w:color="auto" w:fill="FFD966" w:themeFill="accent4" w:themeFillTint="99"/>
            <w:vAlign w:val="bottom"/>
          </w:tcPr>
          <w:p w:rsidR="00436D27" w:rsidRPr="00907196" w:rsidRDefault="00436D27" w:rsidP="00436D27">
            <w:pPr>
              <w:jc w:val="right"/>
              <w:rPr>
                <w:rFonts w:cs="Times New Roman"/>
                <w:sz w:val="14"/>
                <w:szCs w:val="14"/>
              </w:rPr>
            </w:pPr>
            <w:r w:rsidRPr="00907196">
              <w:rPr>
                <w:rFonts w:cs="Times New Roman"/>
                <w:sz w:val="14"/>
                <w:szCs w:val="14"/>
              </w:rPr>
              <w:t>83</w:t>
            </w:r>
          </w:p>
        </w:tc>
      </w:tr>
      <w:tr w:rsidR="00436D27" w:rsidRPr="00907196" w:rsidTr="00436D27">
        <w:trPr>
          <w:trHeight w:val="255"/>
        </w:trPr>
        <w:tc>
          <w:tcPr>
            <w:tcW w:w="1413" w:type="dxa"/>
            <w:hideMark/>
          </w:tcPr>
          <w:p w:rsidR="00436D27" w:rsidRPr="00907196" w:rsidRDefault="00436D27" w:rsidP="00436D27">
            <w:pPr>
              <w:rPr>
                <w:sz w:val="14"/>
                <w:szCs w:val="14"/>
              </w:rPr>
            </w:pPr>
            <w:r w:rsidRPr="00907196">
              <w:rPr>
                <w:sz w:val="14"/>
                <w:szCs w:val="14"/>
              </w:rPr>
              <w:t>Mokiniai, kurių abu tėvai dirba užsienyje</w:t>
            </w:r>
          </w:p>
        </w:tc>
        <w:tc>
          <w:tcPr>
            <w:tcW w:w="56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28</w:t>
            </w:r>
          </w:p>
        </w:tc>
        <w:tc>
          <w:tcPr>
            <w:tcW w:w="49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25</w:t>
            </w:r>
          </w:p>
        </w:tc>
        <w:tc>
          <w:tcPr>
            <w:tcW w:w="49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46</w:t>
            </w:r>
          </w:p>
        </w:tc>
        <w:tc>
          <w:tcPr>
            <w:tcW w:w="49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11</w:t>
            </w:r>
          </w:p>
        </w:tc>
        <w:tc>
          <w:tcPr>
            <w:tcW w:w="56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55</w:t>
            </w:r>
          </w:p>
        </w:tc>
        <w:tc>
          <w:tcPr>
            <w:tcW w:w="56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74</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0</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0</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0</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10</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21</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16</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53</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0</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20</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8</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32</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0</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0</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1</w:t>
            </w:r>
          </w:p>
        </w:tc>
        <w:tc>
          <w:tcPr>
            <w:tcW w:w="687" w:type="dxa"/>
            <w:shd w:val="clear" w:color="auto" w:fill="FFD966" w:themeFill="accent4" w:themeFillTint="99"/>
            <w:vAlign w:val="bottom"/>
          </w:tcPr>
          <w:p w:rsidR="00436D27" w:rsidRPr="00907196" w:rsidRDefault="00436D27" w:rsidP="00436D27">
            <w:pPr>
              <w:jc w:val="right"/>
              <w:rPr>
                <w:rFonts w:cs="Times New Roman"/>
                <w:sz w:val="14"/>
                <w:szCs w:val="14"/>
              </w:rPr>
            </w:pPr>
            <w:r w:rsidRPr="00907196">
              <w:rPr>
                <w:rFonts w:cs="Times New Roman"/>
                <w:sz w:val="14"/>
                <w:szCs w:val="14"/>
              </w:rPr>
              <w:t>0</w:t>
            </w:r>
          </w:p>
        </w:tc>
      </w:tr>
      <w:tr w:rsidR="00436D27" w:rsidRPr="00907196" w:rsidTr="00436D27">
        <w:trPr>
          <w:trHeight w:val="255"/>
        </w:trPr>
        <w:tc>
          <w:tcPr>
            <w:tcW w:w="1413" w:type="dxa"/>
            <w:hideMark/>
          </w:tcPr>
          <w:p w:rsidR="00436D27" w:rsidRPr="00907196" w:rsidRDefault="00436D27" w:rsidP="00436D27">
            <w:pPr>
              <w:rPr>
                <w:sz w:val="14"/>
                <w:szCs w:val="14"/>
              </w:rPr>
            </w:pPr>
            <w:r w:rsidRPr="00907196">
              <w:rPr>
                <w:sz w:val="14"/>
                <w:szCs w:val="14"/>
              </w:rPr>
              <w:t>Mokiniai, kuriems skirta oficiali globa</w:t>
            </w:r>
          </w:p>
        </w:tc>
        <w:tc>
          <w:tcPr>
            <w:tcW w:w="56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58</w:t>
            </w:r>
          </w:p>
        </w:tc>
        <w:tc>
          <w:tcPr>
            <w:tcW w:w="49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66</w:t>
            </w:r>
          </w:p>
        </w:tc>
        <w:tc>
          <w:tcPr>
            <w:tcW w:w="49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73</w:t>
            </w:r>
          </w:p>
        </w:tc>
        <w:tc>
          <w:tcPr>
            <w:tcW w:w="49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63</w:t>
            </w:r>
          </w:p>
        </w:tc>
        <w:tc>
          <w:tcPr>
            <w:tcW w:w="56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201</w:t>
            </w:r>
          </w:p>
        </w:tc>
        <w:tc>
          <w:tcPr>
            <w:tcW w:w="56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167</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25</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20</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16</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10</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18</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6</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105</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59</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138</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68</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70</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86</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48</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38</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44</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2</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2</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2</w:t>
            </w:r>
          </w:p>
        </w:tc>
        <w:tc>
          <w:tcPr>
            <w:tcW w:w="687" w:type="dxa"/>
            <w:shd w:val="clear" w:color="auto" w:fill="FFD966" w:themeFill="accent4" w:themeFillTint="99"/>
            <w:vAlign w:val="bottom"/>
          </w:tcPr>
          <w:p w:rsidR="00436D27" w:rsidRPr="00907196" w:rsidRDefault="00436D27" w:rsidP="00436D27">
            <w:pPr>
              <w:jc w:val="right"/>
              <w:rPr>
                <w:rFonts w:cs="Times New Roman"/>
                <w:sz w:val="14"/>
                <w:szCs w:val="14"/>
              </w:rPr>
            </w:pPr>
            <w:r w:rsidRPr="00907196">
              <w:rPr>
                <w:rFonts w:cs="Times New Roman"/>
                <w:sz w:val="14"/>
                <w:szCs w:val="14"/>
              </w:rPr>
              <w:t>12</w:t>
            </w:r>
          </w:p>
        </w:tc>
      </w:tr>
      <w:tr w:rsidR="00436D27" w:rsidRPr="00907196" w:rsidTr="00436D27">
        <w:trPr>
          <w:trHeight w:val="255"/>
        </w:trPr>
        <w:tc>
          <w:tcPr>
            <w:tcW w:w="1413" w:type="dxa"/>
            <w:hideMark/>
          </w:tcPr>
          <w:p w:rsidR="00436D27" w:rsidRPr="00907196" w:rsidRDefault="00436D27" w:rsidP="00436D27">
            <w:pPr>
              <w:rPr>
                <w:sz w:val="14"/>
                <w:szCs w:val="14"/>
              </w:rPr>
            </w:pPr>
            <w:r w:rsidRPr="00907196">
              <w:rPr>
                <w:sz w:val="14"/>
                <w:szCs w:val="14"/>
              </w:rPr>
              <w:t>Mokiniai, kurie gauna nemokamą maitinimą mokykloje</w:t>
            </w:r>
          </w:p>
        </w:tc>
        <w:tc>
          <w:tcPr>
            <w:tcW w:w="56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576</w:t>
            </w:r>
          </w:p>
        </w:tc>
        <w:tc>
          <w:tcPr>
            <w:tcW w:w="49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765</w:t>
            </w:r>
          </w:p>
        </w:tc>
        <w:tc>
          <w:tcPr>
            <w:tcW w:w="49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724</w:t>
            </w:r>
          </w:p>
        </w:tc>
        <w:tc>
          <w:tcPr>
            <w:tcW w:w="49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456</w:t>
            </w:r>
          </w:p>
        </w:tc>
        <w:tc>
          <w:tcPr>
            <w:tcW w:w="56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2068</w:t>
            </w:r>
          </w:p>
        </w:tc>
        <w:tc>
          <w:tcPr>
            <w:tcW w:w="56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2356</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78</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84</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105</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134</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213</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301</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867</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602</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1455</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147</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201</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223</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583</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525</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775</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80</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56</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72</w:t>
            </w:r>
          </w:p>
        </w:tc>
        <w:tc>
          <w:tcPr>
            <w:tcW w:w="687" w:type="dxa"/>
            <w:shd w:val="clear" w:color="auto" w:fill="FFD966" w:themeFill="accent4" w:themeFillTint="99"/>
            <w:vAlign w:val="bottom"/>
          </w:tcPr>
          <w:p w:rsidR="00436D27" w:rsidRPr="00907196" w:rsidRDefault="00436D27" w:rsidP="00436D27">
            <w:pPr>
              <w:jc w:val="right"/>
              <w:rPr>
                <w:rFonts w:cs="Times New Roman"/>
                <w:sz w:val="14"/>
                <w:szCs w:val="14"/>
              </w:rPr>
            </w:pPr>
            <w:r w:rsidRPr="00907196">
              <w:rPr>
                <w:rFonts w:cs="Times New Roman"/>
                <w:sz w:val="14"/>
                <w:szCs w:val="14"/>
              </w:rPr>
              <w:t>133</w:t>
            </w:r>
          </w:p>
        </w:tc>
      </w:tr>
      <w:tr w:rsidR="00436D27" w:rsidRPr="00907196" w:rsidTr="00436D27">
        <w:trPr>
          <w:trHeight w:val="255"/>
        </w:trPr>
        <w:tc>
          <w:tcPr>
            <w:tcW w:w="1413" w:type="dxa"/>
            <w:hideMark/>
          </w:tcPr>
          <w:p w:rsidR="00436D27" w:rsidRPr="00907196" w:rsidRDefault="00436D27" w:rsidP="00436D27">
            <w:pPr>
              <w:rPr>
                <w:sz w:val="14"/>
                <w:szCs w:val="14"/>
              </w:rPr>
            </w:pPr>
            <w:r w:rsidRPr="00907196">
              <w:rPr>
                <w:sz w:val="14"/>
                <w:szCs w:val="14"/>
              </w:rPr>
              <w:t>Mokiniai, turintys specialiuosius ugdymosi poreikius</w:t>
            </w:r>
          </w:p>
        </w:tc>
        <w:tc>
          <w:tcPr>
            <w:tcW w:w="56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44</w:t>
            </w:r>
          </w:p>
        </w:tc>
        <w:tc>
          <w:tcPr>
            <w:tcW w:w="49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94</w:t>
            </w:r>
          </w:p>
        </w:tc>
        <w:tc>
          <w:tcPr>
            <w:tcW w:w="496" w:type="dxa"/>
            <w:shd w:val="clear" w:color="auto" w:fill="E2EFD9" w:themeFill="accent6" w:themeFillTint="33"/>
            <w:vAlign w:val="bottom"/>
          </w:tcPr>
          <w:p w:rsidR="00436D27" w:rsidRPr="00907196" w:rsidRDefault="00436D27" w:rsidP="00436D27">
            <w:pPr>
              <w:rPr>
                <w:rFonts w:cs="Times New Roman"/>
                <w:sz w:val="14"/>
                <w:szCs w:val="14"/>
              </w:rPr>
            </w:pPr>
            <w:r w:rsidRPr="00907196">
              <w:rPr>
                <w:rFonts w:cs="Times New Roman"/>
                <w:sz w:val="14"/>
                <w:szCs w:val="14"/>
              </w:rPr>
              <w:t> </w:t>
            </w:r>
          </w:p>
        </w:tc>
        <w:tc>
          <w:tcPr>
            <w:tcW w:w="49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140</w:t>
            </w:r>
          </w:p>
        </w:tc>
        <w:tc>
          <w:tcPr>
            <w:tcW w:w="56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674</w:t>
            </w:r>
          </w:p>
        </w:tc>
        <w:tc>
          <w:tcPr>
            <w:tcW w:w="566" w:type="dxa"/>
            <w:shd w:val="clear" w:color="auto" w:fill="D9E2F3" w:themeFill="accent5" w:themeFillTint="33"/>
            <w:vAlign w:val="bottom"/>
          </w:tcPr>
          <w:p w:rsidR="00436D27" w:rsidRPr="00907196" w:rsidRDefault="00436D27" w:rsidP="00436D27">
            <w:pPr>
              <w:rPr>
                <w:rFonts w:cs="Times New Roman"/>
                <w:sz w:val="14"/>
                <w:szCs w:val="14"/>
              </w:rPr>
            </w:pPr>
            <w:r w:rsidRPr="00907196">
              <w:rPr>
                <w:rFonts w:cs="Times New Roman"/>
                <w:sz w:val="14"/>
                <w:szCs w:val="14"/>
              </w:rPr>
              <w:t> </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50</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41</w:t>
            </w:r>
          </w:p>
        </w:tc>
        <w:tc>
          <w:tcPr>
            <w:tcW w:w="499" w:type="dxa"/>
            <w:shd w:val="clear" w:color="auto" w:fill="FFF2CC" w:themeFill="accent4" w:themeFillTint="33"/>
            <w:vAlign w:val="bottom"/>
          </w:tcPr>
          <w:p w:rsidR="00436D27" w:rsidRPr="00907196" w:rsidRDefault="00436D27" w:rsidP="00436D27">
            <w:pPr>
              <w:rPr>
                <w:rFonts w:cs="Times New Roman"/>
                <w:sz w:val="14"/>
                <w:szCs w:val="14"/>
              </w:rPr>
            </w:pPr>
            <w:r w:rsidRPr="00907196">
              <w:rPr>
                <w:rFonts w:cs="Times New Roman"/>
                <w:sz w:val="14"/>
                <w:szCs w:val="14"/>
              </w:rPr>
              <w:t> </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137</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161</w:t>
            </w:r>
          </w:p>
        </w:tc>
        <w:tc>
          <w:tcPr>
            <w:tcW w:w="593" w:type="dxa"/>
            <w:shd w:val="clear" w:color="auto" w:fill="EDEDED" w:themeFill="accent3" w:themeFillTint="33"/>
            <w:vAlign w:val="bottom"/>
          </w:tcPr>
          <w:p w:rsidR="00436D27" w:rsidRPr="00907196" w:rsidRDefault="00436D27" w:rsidP="00436D27">
            <w:pPr>
              <w:rPr>
                <w:rFonts w:cs="Times New Roman"/>
                <w:sz w:val="14"/>
                <w:szCs w:val="14"/>
              </w:rPr>
            </w:pPr>
            <w:r w:rsidRPr="00907196">
              <w:rPr>
                <w:rFonts w:cs="Times New Roman"/>
                <w:sz w:val="14"/>
                <w:szCs w:val="14"/>
              </w:rPr>
              <w:t> </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338</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166</w:t>
            </w:r>
          </w:p>
        </w:tc>
        <w:tc>
          <w:tcPr>
            <w:tcW w:w="593" w:type="dxa"/>
            <w:shd w:val="clear" w:color="auto" w:fill="FBE4D5" w:themeFill="accent2" w:themeFillTint="33"/>
            <w:vAlign w:val="bottom"/>
          </w:tcPr>
          <w:p w:rsidR="00436D27" w:rsidRPr="00907196" w:rsidRDefault="00436D27" w:rsidP="00436D27">
            <w:pPr>
              <w:rPr>
                <w:rFonts w:cs="Times New Roman"/>
                <w:sz w:val="14"/>
                <w:szCs w:val="14"/>
              </w:rPr>
            </w:pPr>
            <w:r w:rsidRPr="00907196">
              <w:rPr>
                <w:rFonts w:cs="Times New Roman"/>
                <w:sz w:val="14"/>
                <w:szCs w:val="14"/>
              </w:rPr>
              <w:t> </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478</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482</w:t>
            </w:r>
          </w:p>
        </w:tc>
        <w:tc>
          <w:tcPr>
            <w:tcW w:w="499" w:type="dxa"/>
            <w:shd w:val="clear" w:color="auto" w:fill="DEEAF6" w:themeFill="accent1" w:themeFillTint="33"/>
            <w:vAlign w:val="bottom"/>
          </w:tcPr>
          <w:p w:rsidR="00436D27" w:rsidRPr="00907196" w:rsidRDefault="00436D27" w:rsidP="00436D27">
            <w:pPr>
              <w:rPr>
                <w:rFonts w:cs="Times New Roman"/>
                <w:sz w:val="14"/>
                <w:szCs w:val="14"/>
              </w:rPr>
            </w:pPr>
            <w:r w:rsidRPr="00907196">
              <w:rPr>
                <w:rFonts w:cs="Times New Roman"/>
                <w:sz w:val="14"/>
                <w:szCs w:val="14"/>
              </w:rPr>
              <w:t> </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231</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193</w:t>
            </w:r>
          </w:p>
        </w:tc>
        <w:tc>
          <w:tcPr>
            <w:tcW w:w="593" w:type="dxa"/>
            <w:shd w:val="clear" w:color="auto" w:fill="D5DCE4" w:themeFill="text2" w:themeFillTint="33"/>
            <w:vAlign w:val="bottom"/>
          </w:tcPr>
          <w:p w:rsidR="00436D27" w:rsidRPr="00907196" w:rsidRDefault="00436D27" w:rsidP="00436D27">
            <w:pPr>
              <w:rPr>
                <w:rFonts w:cs="Times New Roman"/>
                <w:sz w:val="14"/>
                <w:szCs w:val="14"/>
              </w:rPr>
            </w:pPr>
            <w:r w:rsidRPr="00907196">
              <w:rPr>
                <w:rFonts w:cs="Times New Roman"/>
                <w:sz w:val="14"/>
                <w:szCs w:val="14"/>
              </w:rPr>
              <w:t> </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12</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48</w:t>
            </w:r>
          </w:p>
        </w:tc>
        <w:tc>
          <w:tcPr>
            <w:tcW w:w="499" w:type="dxa"/>
            <w:shd w:val="clear" w:color="auto" w:fill="D0CECE" w:themeFill="background2" w:themeFillShade="E6"/>
            <w:vAlign w:val="bottom"/>
          </w:tcPr>
          <w:p w:rsidR="00436D27" w:rsidRPr="00907196" w:rsidRDefault="00436D27" w:rsidP="00436D27">
            <w:pPr>
              <w:rPr>
                <w:rFonts w:cs="Times New Roman"/>
                <w:sz w:val="14"/>
                <w:szCs w:val="14"/>
              </w:rPr>
            </w:pPr>
            <w:r w:rsidRPr="00907196">
              <w:rPr>
                <w:rFonts w:cs="Times New Roman"/>
                <w:sz w:val="14"/>
                <w:szCs w:val="14"/>
              </w:rPr>
              <w:t> </w:t>
            </w:r>
          </w:p>
        </w:tc>
        <w:tc>
          <w:tcPr>
            <w:tcW w:w="687" w:type="dxa"/>
            <w:shd w:val="clear" w:color="auto" w:fill="FFD966" w:themeFill="accent4" w:themeFillTint="99"/>
            <w:vAlign w:val="bottom"/>
          </w:tcPr>
          <w:p w:rsidR="00436D27" w:rsidRPr="00907196" w:rsidRDefault="00436D27" w:rsidP="00436D27">
            <w:pPr>
              <w:jc w:val="right"/>
              <w:rPr>
                <w:rFonts w:cs="Times New Roman"/>
                <w:sz w:val="14"/>
                <w:szCs w:val="14"/>
              </w:rPr>
            </w:pPr>
            <w:r w:rsidRPr="00907196">
              <w:rPr>
                <w:rFonts w:cs="Times New Roman"/>
                <w:sz w:val="14"/>
                <w:szCs w:val="14"/>
              </w:rPr>
              <w:t>10</w:t>
            </w:r>
          </w:p>
        </w:tc>
      </w:tr>
      <w:tr w:rsidR="00436D27" w:rsidRPr="00907196" w:rsidTr="00436D27">
        <w:trPr>
          <w:trHeight w:val="510"/>
        </w:trPr>
        <w:tc>
          <w:tcPr>
            <w:tcW w:w="1413" w:type="dxa"/>
            <w:hideMark/>
          </w:tcPr>
          <w:p w:rsidR="00436D27" w:rsidRPr="00907196" w:rsidRDefault="00436D27" w:rsidP="00436D27">
            <w:pPr>
              <w:rPr>
                <w:sz w:val="14"/>
                <w:szCs w:val="14"/>
              </w:rPr>
            </w:pPr>
            <w:r w:rsidRPr="00907196">
              <w:rPr>
                <w:sz w:val="14"/>
                <w:szCs w:val="14"/>
              </w:rPr>
              <w:t>Mokiniai, prastai lankantys mokyklą (be pateisinamos priežasties praleidžia daugiau nei 30% pamokų per trimestrą /pusmetį)</w:t>
            </w:r>
          </w:p>
        </w:tc>
        <w:tc>
          <w:tcPr>
            <w:tcW w:w="56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53</w:t>
            </w:r>
          </w:p>
        </w:tc>
        <w:tc>
          <w:tcPr>
            <w:tcW w:w="49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134</w:t>
            </w:r>
          </w:p>
        </w:tc>
        <w:tc>
          <w:tcPr>
            <w:tcW w:w="49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64</w:t>
            </w:r>
          </w:p>
        </w:tc>
        <w:tc>
          <w:tcPr>
            <w:tcW w:w="49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61</w:t>
            </w:r>
          </w:p>
        </w:tc>
        <w:tc>
          <w:tcPr>
            <w:tcW w:w="56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145</w:t>
            </w:r>
          </w:p>
        </w:tc>
        <w:tc>
          <w:tcPr>
            <w:tcW w:w="56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150</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49</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84</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94</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17</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59</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27</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110</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0</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14</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8</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11</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5</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0</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0</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0</w:t>
            </w:r>
          </w:p>
        </w:tc>
        <w:tc>
          <w:tcPr>
            <w:tcW w:w="687" w:type="dxa"/>
            <w:shd w:val="clear" w:color="auto" w:fill="FFD966" w:themeFill="accent4" w:themeFillTint="99"/>
            <w:vAlign w:val="bottom"/>
          </w:tcPr>
          <w:p w:rsidR="00436D27" w:rsidRPr="00907196" w:rsidRDefault="00436D27" w:rsidP="00436D27">
            <w:pPr>
              <w:jc w:val="right"/>
              <w:rPr>
                <w:rFonts w:cs="Times New Roman"/>
                <w:sz w:val="14"/>
                <w:szCs w:val="14"/>
              </w:rPr>
            </w:pPr>
            <w:r w:rsidRPr="00907196">
              <w:rPr>
                <w:rFonts w:cs="Times New Roman"/>
                <w:sz w:val="14"/>
                <w:szCs w:val="14"/>
              </w:rPr>
              <w:t>8</w:t>
            </w:r>
          </w:p>
        </w:tc>
      </w:tr>
      <w:tr w:rsidR="00436D27" w:rsidRPr="00907196" w:rsidTr="00436D27">
        <w:trPr>
          <w:trHeight w:val="255"/>
        </w:trPr>
        <w:tc>
          <w:tcPr>
            <w:tcW w:w="1413" w:type="dxa"/>
            <w:hideMark/>
          </w:tcPr>
          <w:p w:rsidR="00436D27" w:rsidRPr="00907196" w:rsidRDefault="00436D27" w:rsidP="00436D27">
            <w:pPr>
              <w:rPr>
                <w:sz w:val="14"/>
                <w:szCs w:val="14"/>
              </w:rPr>
            </w:pPr>
            <w:r w:rsidRPr="00907196">
              <w:rPr>
                <w:sz w:val="14"/>
                <w:szCs w:val="14"/>
              </w:rPr>
              <w:t>Mokiniai, turintys elgesio problemų</w:t>
            </w:r>
          </w:p>
        </w:tc>
        <w:tc>
          <w:tcPr>
            <w:tcW w:w="56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113</w:t>
            </w:r>
          </w:p>
        </w:tc>
        <w:tc>
          <w:tcPr>
            <w:tcW w:w="49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135</w:t>
            </w:r>
          </w:p>
        </w:tc>
        <w:tc>
          <w:tcPr>
            <w:tcW w:w="49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76</w:t>
            </w:r>
          </w:p>
        </w:tc>
        <w:tc>
          <w:tcPr>
            <w:tcW w:w="49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113</w:t>
            </w:r>
          </w:p>
        </w:tc>
        <w:tc>
          <w:tcPr>
            <w:tcW w:w="56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428</w:t>
            </w:r>
          </w:p>
        </w:tc>
        <w:tc>
          <w:tcPr>
            <w:tcW w:w="56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378</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60</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92</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114</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54</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64</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98</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212</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113</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293</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18</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52</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155</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172</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121</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139</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8</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2</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5</w:t>
            </w:r>
          </w:p>
        </w:tc>
        <w:tc>
          <w:tcPr>
            <w:tcW w:w="687" w:type="dxa"/>
            <w:shd w:val="clear" w:color="auto" w:fill="FFD966" w:themeFill="accent4" w:themeFillTint="99"/>
            <w:vAlign w:val="bottom"/>
          </w:tcPr>
          <w:p w:rsidR="00436D27" w:rsidRPr="00907196" w:rsidRDefault="00436D27" w:rsidP="00436D27">
            <w:pPr>
              <w:jc w:val="right"/>
              <w:rPr>
                <w:rFonts w:cs="Times New Roman"/>
                <w:sz w:val="14"/>
                <w:szCs w:val="14"/>
              </w:rPr>
            </w:pPr>
            <w:r w:rsidRPr="00907196">
              <w:rPr>
                <w:rFonts w:cs="Times New Roman"/>
                <w:sz w:val="14"/>
                <w:szCs w:val="14"/>
              </w:rPr>
              <w:t>20</w:t>
            </w:r>
          </w:p>
        </w:tc>
      </w:tr>
      <w:tr w:rsidR="00436D27" w:rsidRPr="00907196" w:rsidTr="00436D27">
        <w:trPr>
          <w:trHeight w:val="510"/>
        </w:trPr>
        <w:tc>
          <w:tcPr>
            <w:tcW w:w="1413" w:type="dxa"/>
            <w:hideMark/>
          </w:tcPr>
          <w:p w:rsidR="00436D27" w:rsidRPr="00907196" w:rsidRDefault="00436D27" w:rsidP="00436D27">
            <w:pPr>
              <w:rPr>
                <w:sz w:val="14"/>
                <w:szCs w:val="14"/>
              </w:rPr>
            </w:pPr>
            <w:r w:rsidRPr="00907196">
              <w:rPr>
                <w:sz w:val="14"/>
                <w:szCs w:val="14"/>
              </w:rPr>
              <w:t xml:space="preserve">Mokiniai, turintys žalingų įpročių  (rūkymas, alkoholio ir kitų psichotropinių </w:t>
            </w:r>
            <w:r w:rsidRPr="00907196">
              <w:rPr>
                <w:sz w:val="14"/>
                <w:szCs w:val="14"/>
              </w:rPr>
              <w:lastRenderedPageBreak/>
              <w:t>medžiagų vartojimas)</w:t>
            </w:r>
          </w:p>
        </w:tc>
        <w:tc>
          <w:tcPr>
            <w:tcW w:w="56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lastRenderedPageBreak/>
              <w:t>222</w:t>
            </w:r>
          </w:p>
        </w:tc>
        <w:tc>
          <w:tcPr>
            <w:tcW w:w="49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210</w:t>
            </w:r>
          </w:p>
        </w:tc>
        <w:tc>
          <w:tcPr>
            <w:tcW w:w="49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10</w:t>
            </w:r>
          </w:p>
        </w:tc>
        <w:tc>
          <w:tcPr>
            <w:tcW w:w="49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67</w:t>
            </w:r>
          </w:p>
        </w:tc>
        <w:tc>
          <w:tcPr>
            <w:tcW w:w="56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273</w:t>
            </w:r>
          </w:p>
        </w:tc>
        <w:tc>
          <w:tcPr>
            <w:tcW w:w="56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77</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123</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143</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21</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0</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0</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0</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69</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44</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90</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8</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6</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0</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0</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0</w:t>
            </w:r>
          </w:p>
        </w:tc>
        <w:tc>
          <w:tcPr>
            <w:tcW w:w="687" w:type="dxa"/>
            <w:shd w:val="clear" w:color="auto" w:fill="FFD966" w:themeFill="accent4" w:themeFillTint="99"/>
            <w:vAlign w:val="bottom"/>
          </w:tcPr>
          <w:p w:rsidR="00436D27" w:rsidRPr="00907196" w:rsidRDefault="00436D27" w:rsidP="00436D27">
            <w:pPr>
              <w:jc w:val="right"/>
              <w:rPr>
                <w:rFonts w:cs="Times New Roman"/>
                <w:sz w:val="14"/>
                <w:szCs w:val="14"/>
              </w:rPr>
            </w:pPr>
            <w:r w:rsidRPr="00907196">
              <w:rPr>
                <w:rFonts w:cs="Times New Roman"/>
                <w:sz w:val="14"/>
                <w:szCs w:val="14"/>
              </w:rPr>
              <w:t>18</w:t>
            </w:r>
          </w:p>
        </w:tc>
      </w:tr>
      <w:tr w:rsidR="00436D27" w:rsidRPr="00907196" w:rsidTr="00436D27">
        <w:trPr>
          <w:trHeight w:val="510"/>
        </w:trPr>
        <w:tc>
          <w:tcPr>
            <w:tcW w:w="1413" w:type="dxa"/>
            <w:hideMark/>
          </w:tcPr>
          <w:p w:rsidR="00436D27" w:rsidRPr="00907196" w:rsidRDefault="00436D27" w:rsidP="00436D27">
            <w:pPr>
              <w:rPr>
                <w:sz w:val="14"/>
                <w:szCs w:val="14"/>
              </w:rPr>
            </w:pPr>
            <w:r w:rsidRPr="00907196">
              <w:rPr>
                <w:sz w:val="14"/>
                <w:szCs w:val="14"/>
              </w:rPr>
              <w:lastRenderedPageBreak/>
              <w:t>Mokiniai, augantys šeimose, kuriose dėl tėvystės/socialinių įgūdžių  stokos, vaikai yra neprižiūrimi.</w:t>
            </w:r>
          </w:p>
        </w:tc>
        <w:tc>
          <w:tcPr>
            <w:tcW w:w="56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w:t>
            </w:r>
          </w:p>
        </w:tc>
        <w:tc>
          <w:tcPr>
            <w:tcW w:w="49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0</w:t>
            </w:r>
          </w:p>
        </w:tc>
        <w:tc>
          <w:tcPr>
            <w:tcW w:w="496" w:type="dxa"/>
            <w:shd w:val="clear" w:color="auto" w:fill="E2EFD9" w:themeFill="accent6"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6</w:t>
            </w:r>
          </w:p>
        </w:tc>
        <w:tc>
          <w:tcPr>
            <w:tcW w:w="49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49</w:t>
            </w:r>
          </w:p>
        </w:tc>
        <w:tc>
          <w:tcPr>
            <w:tcW w:w="56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160</w:t>
            </w:r>
          </w:p>
        </w:tc>
        <w:tc>
          <w:tcPr>
            <w:tcW w:w="566" w:type="dxa"/>
            <w:shd w:val="clear" w:color="auto" w:fill="D9E2F3" w:themeFill="accent5"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113</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5</w:t>
            </w:r>
          </w:p>
        </w:tc>
        <w:tc>
          <w:tcPr>
            <w:tcW w:w="499" w:type="dxa"/>
            <w:shd w:val="clear" w:color="auto" w:fill="FFF2CC" w:themeFill="accent4"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12</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w:t>
            </w:r>
          </w:p>
        </w:tc>
        <w:tc>
          <w:tcPr>
            <w:tcW w:w="593" w:type="dxa"/>
            <w:shd w:val="clear" w:color="auto" w:fill="EDEDED" w:themeFill="accent3"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40</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38</w:t>
            </w:r>
          </w:p>
        </w:tc>
        <w:tc>
          <w:tcPr>
            <w:tcW w:w="593" w:type="dxa"/>
            <w:shd w:val="clear" w:color="auto" w:fill="FBE4D5" w:themeFill="accen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102</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43</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16</w:t>
            </w:r>
          </w:p>
        </w:tc>
        <w:tc>
          <w:tcPr>
            <w:tcW w:w="499" w:type="dxa"/>
            <w:shd w:val="clear" w:color="auto" w:fill="DEEAF6" w:themeFill="accent1"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28</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46</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37</w:t>
            </w:r>
          </w:p>
        </w:tc>
        <w:tc>
          <w:tcPr>
            <w:tcW w:w="593" w:type="dxa"/>
            <w:shd w:val="clear" w:color="auto" w:fill="D5DCE4" w:themeFill="text2" w:themeFillTint="33"/>
            <w:vAlign w:val="bottom"/>
          </w:tcPr>
          <w:p w:rsidR="00436D27" w:rsidRPr="00907196" w:rsidRDefault="00436D27" w:rsidP="00436D27">
            <w:pPr>
              <w:jc w:val="right"/>
              <w:rPr>
                <w:rFonts w:cs="Times New Roman"/>
                <w:sz w:val="14"/>
                <w:szCs w:val="14"/>
              </w:rPr>
            </w:pPr>
            <w:r w:rsidRPr="00907196">
              <w:rPr>
                <w:rFonts w:cs="Times New Roman"/>
                <w:sz w:val="14"/>
                <w:szCs w:val="14"/>
              </w:rPr>
              <w:t>35</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6</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0</w:t>
            </w:r>
          </w:p>
        </w:tc>
        <w:tc>
          <w:tcPr>
            <w:tcW w:w="499" w:type="dxa"/>
            <w:shd w:val="clear" w:color="auto" w:fill="D0CECE" w:themeFill="background2" w:themeFillShade="E6"/>
            <w:vAlign w:val="bottom"/>
          </w:tcPr>
          <w:p w:rsidR="00436D27" w:rsidRPr="00907196" w:rsidRDefault="00436D27" w:rsidP="00436D27">
            <w:pPr>
              <w:jc w:val="right"/>
              <w:rPr>
                <w:rFonts w:cs="Times New Roman"/>
                <w:sz w:val="14"/>
                <w:szCs w:val="14"/>
              </w:rPr>
            </w:pPr>
            <w:r w:rsidRPr="00907196">
              <w:rPr>
                <w:rFonts w:cs="Times New Roman"/>
                <w:sz w:val="14"/>
                <w:szCs w:val="14"/>
              </w:rPr>
              <w:t>1</w:t>
            </w:r>
          </w:p>
        </w:tc>
        <w:tc>
          <w:tcPr>
            <w:tcW w:w="687" w:type="dxa"/>
            <w:shd w:val="clear" w:color="auto" w:fill="FFD966" w:themeFill="accent4" w:themeFillTint="99"/>
            <w:vAlign w:val="bottom"/>
          </w:tcPr>
          <w:p w:rsidR="00436D27" w:rsidRPr="00907196" w:rsidRDefault="00436D27" w:rsidP="00436D27">
            <w:pPr>
              <w:jc w:val="right"/>
              <w:rPr>
                <w:rFonts w:cs="Times New Roman"/>
                <w:sz w:val="14"/>
                <w:szCs w:val="14"/>
              </w:rPr>
            </w:pPr>
            <w:r w:rsidRPr="00907196">
              <w:rPr>
                <w:rFonts w:cs="Times New Roman"/>
                <w:sz w:val="14"/>
                <w:szCs w:val="14"/>
              </w:rPr>
              <w:t>0</w:t>
            </w:r>
          </w:p>
        </w:tc>
      </w:tr>
    </w:tbl>
    <w:p w:rsidR="00413777" w:rsidRPr="00907196" w:rsidRDefault="00413777" w:rsidP="00413777">
      <w:pPr>
        <w:spacing w:after="0" w:line="360" w:lineRule="auto"/>
        <w:ind w:firstLine="567"/>
        <w:jc w:val="center"/>
        <w:sectPr w:rsidR="00413777" w:rsidRPr="00907196" w:rsidSect="00436D27">
          <w:pgSz w:w="16838" w:h="11906" w:orient="landscape"/>
          <w:pgMar w:top="567" w:right="1134" w:bottom="1134" w:left="567" w:header="567" w:footer="567" w:gutter="0"/>
          <w:cols w:space="1296"/>
          <w:docGrid w:linePitch="360"/>
        </w:sectPr>
      </w:pPr>
    </w:p>
    <w:p w:rsidR="00436D27" w:rsidRPr="00907196" w:rsidRDefault="00413777" w:rsidP="00413777">
      <w:pPr>
        <w:spacing w:after="0" w:line="360" w:lineRule="auto"/>
        <w:ind w:firstLine="567"/>
        <w:jc w:val="center"/>
        <w:rPr>
          <w:b/>
          <w:sz w:val="28"/>
          <w:szCs w:val="28"/>
        </w:rPr>
      </w:pPr>
      <w:r w:rsidRPr="00907196">
        <w:rPr>
          <w:b/>
          <w:sz w:val="28"/>
          <w:szCs w:val="28"/>
        </w:rPr>
        <w:lastRenderedPageBreak/>
        <w:t>Išvados</w:t>
      </w:r>
    </w:p>
    <w:p w:rsidR="00156959" w:rsidRPr="00907196" w:rsidRDefault="00156959" w:rsidP="00413777">
      <w:pPr>
        <w:spacing w:after="0" w:line="360" w:lineRule="auto"/>
        <w:ind w:firstLine="567"/>
        <w:jc w:val="center"/>
        <w:rPr>
          <w:b/>
          <w:sz w:val="28"/>
          <w:szCs w:val="28"/>
        </w:rPr>
      </w:pPr>
    </w:p>
    <w:p w:rsidR="00156959" w:rsidRPr="00907196" w:rsidRDefault="00156959" w:rsidP="00156959">
      <w:pPr>
        <w:pStyle w:val="Sraopastraipa"/>
        <w:numPr>
          <w:ilvl w:val="0"/>
          <w:numId w:val="2"/>
        </w:numPr>
        <w:spacing w:after="200" w:line="276" w:lineRule="auto"/>
        <w:jc w:val="both"/>
      </w:pPr>
      <w:r w:rsidRPr="00907196">
        <w:t>2015 m. mokinių skaičius labiausiai išaugo gimnazijose. Taip pat didėjimas pastebimas pagrindinėse mokyklose bei gimnazijose.</w:t>
      </w:r>
    </w:p>
    <w:p w:rsidR="00156959" w:rsidRPr="00907196" w:rsidRDefault="00156959" w:rsidP="00156959">
      <w:pPr>
        <w:pStyle w:val="Sraopastraipa"/>
        <w:numPr>
          <w:ilvl w:val="0"/>
          <w:numId w:val="2"/>
        </w:numPr>
        <w:spacing w:after="200" w:line="276" w:lineRule="auto"/>
        <w:jc w:val="both"/>
      </w:pPr>
      <w:r w:rsidRPr="00907196">
        <w:t>Daugiavaikėse šeimose augančių mokinių skaičius daugelyje ugdymo įstaigų išlieka stabilus arba net šiek tiek sumažėja, tik specialiosiose mokyklose pastebimas didėjimas.</w:t>
      </w:r>
    </w:p>
    <w:p w:rsidR="00156959" w:rsidRPr="00907196" w:rsidRDefault="00156959" w:rsidP="00156959">
      <w:pPr>
        <w:pStyle w:val="Sraopastraipa"/>
        <w:numPr>
          <w:ilvl w:val="0"/>
          <w:numId w:val="2"/>
        </w:numPr>
        <w:spacing w:after="200" w:line="276" w:lineRule="auto"/>
        <w:jc w:val="both"/>
      </w:pPr>
      <w:r w:rsidRPr="00907196">
        <w:t>Pilnose šeimose augančių mokinių skaičius 2015 m. ženkliai padidėjo pradinėse mokyklose, o labiausiai sumažėjo – gimnazijose.</w:t>
      </w:r>
    </w:p>
    <w:p w:rsidR="00156959" w:rsidRPr="00907196" w:rsidRDefault="00156959" w:rsidP="00156959">
      <w:pPr>
        <w:pStyle w:val="Sraopastraipa"/>
        <w:numPr>
          <w:ilvl w:val="0"/>
          <w:numId w:val="2"/>
        </w:numPr>
        <w:spacing w:after="200" w:line="276" w:lineRule="auto"/>
        <w:jc w:val="both"/>
      </w:pPr>
      <w:r w:rsidRPr="00907196">
        <w:t>Lyginant trijų metų duomenis pastebima, kad mokinių, kurių tėvai išsituokę skaičius ugdymo įstaigose, per tris paskutinius metus,  išlieka labai panašus.</w:t>
      </w:r>
    </w:p>
    <w:p w:rsidR="00156959" w:rsidRPr="00907196" w:rsidRDefault="00156959" w:rsidP="00156959">
      <w:pPr>
        <w:pStyle w:val="Sraopastraipa"/>
        <w:numPr>
          <w:ilvl w:val="0"/>
          <w:numId w:val="2"/>
        </w:numPr>
        <w:spacing w:after="200" w:line="276" w:lineRule="auto"/>
        <w:jc w:val="both"/>
      </w:pPr>
      <w:r w:rsidRPr="00907196">
        <w:t>Dagiausiai mokinių, augančių tik su mama ar tėčiu mokosi jaunimo mokyklose, tačiau 2015 m. šių mokinių skaičius sumažėjo.</w:t>
      </w:r>
    </w:p>
    <w:p w:rsidR="00156959" w:rsidRPr="00907196" w:rsidRDefault="00156959" w:rsidP="00156959">
      <w:pPr>
        <w:pStyle w:val="Sraopastraipa"/>
        <w:numPr>
          <w:ilvl w:val="0"/>
          <w:numId w:val="2"/>
        </w:numPr>
        <w:spacing w:after="200" w:line="276" w:lineRule="auto"/>
        <w:jc w:val="both"/>
      </w:pPr>
      <w:r w:rsidRPr="00907196">
        <w:t>Beveik visose ugdymo įstaigose 2015 m. sumažėjo mokinių gyvenančių neformaliose šeimose, tik mokyklose – darželiuose tokių mokinių skaičius išaugo.</w:t>
      </w:r>
    </w:p>
    <w:p w:rsidR="00156959" w:rsidRPr="00907196" w:rsidRDefault="00156959" w:rsidP="00156959">
      <w:pPr>
        <w:pStyle w:val="Sraopastraipa"/>
        <w:numPr>
          <w:ilvl w:val="0"/>
          <w:numId w:val="2"/>
        </w:numPr>
        <w:spacing w:after="200" w:line="276" w:lineRule="auto"/>
        <w:jc w:val="both"/>
      </w:pPr>
      <w:r w:rsidRPr="00907196">
        <w:t xml:space="preserve">Be </w:t>
      </w:r>
      <w:r w:rsidR="00907196" w:rsidRPr="00907196">
        <w:t>specialiųjų</w:t>
      </w:r>
      <w:r w:rsidRPr="00907196">
        <w:t xml:space="preserve"> mokyklų, daugiausiai negalią turinčių tėvų vaikų 2015 m.</w:t>
      </w:r>
      <w:r w:rsidR="00907196">
        <w:t xml:space="preserve"> </w:t>
      </w:r>
      <w:r w:rsidRPr="00907196">
        <w:t xml:space="preserve">mokėsi vidurinėse </w:t>
      </w:r>
      <w:r w:rsidR="00907196" w:rsidRPr="00907196">
        <w:t>mokyklose</w:t>
      </w:r>
      <w:r w:rsidRPr="00907196">
        <w:t xml:space="preserve"> – daugiafunkciniuose centruose.</w:t>
      </w:r>
    </w:p>
    <w:p w:rsidR="00156959" w:rsidRPr="00907196" w:rsidRDefault="00156959" w:rsidP="00156959">
      <w:pPr>
        <w:pStyle w:val="Sraopastraipa"/>
        <w:numPr>
          <w:ilvl w:val="0"/>
          <w:numId w:val="2"/>
        </w:numPr>
        <w:spacing w:after="200" w:line="276" w:lineRule="auto"/>
        <w:jc w:val="both"/>
      </w:pPr>
      <w:r w:rsidRPr="00907196">
        <w:t>2015 m. pastebima, kad mokinių, kurių vienas iš tėvų dirba užsienyje skaičius daugelyje ugdymo įstaigų sumažėjo. Procentiškai daugiausiai tokių mokinių  mokėsi licėjuose.</w:t>
      </w:r>
    </w:p>
    <w:p w:rsidR="00156959" w:rsidRPr="00907196" w:rsidRDefault="00156959" w:rsidP="00156959">
      <w:pPr>
        <w:pStyle w:val="Sraopastraipa"/>
        <w:numPr>
          <w:ilvl w:val="0"/>
          <w:numId w:val="2"/>
        </w:numPr>
        <w:spacing w:after="200" w:line="276" w:lineRule="auto"/>
        <w:jc w:val="both"/>
      </w:pPr>
      <w:r w:rsidRPr="00907196">
        <w:t>Pastebima, kad ugdymo įstaigose mažėja mokinių, kurių abu tėvai dirba užsienyje.</w:t>
      </w:r>
    </w:p>
    <w:p w:rsidR="00156959" w:rsidRPr="00907196" w:rsidRDefault="00156959" w:rsidP="00156959">
      <w:pPr>
        <w:pStyle w:val="Sraopastraipa"/>
        <w:numPr>
          <w:ilvl w:val="0"/>
          <w:numId w:val="2"/>
        </w:numPr>
        <w:spacing w:after="200" w:line="276" w:lineRule="auto"/>
        <w:jc w:val="both"/>
      </w:pPr>
      <w:r w:rsidRPr="00907196">
        <w:t>Gimnazijose, pradinėse ir jaunimo mokyklose, progimnazijose 2015 m. sumažėjo mokinių, netekusių vieno iš tėvų.</w:t>
      </w:r>
    </w:p>
    <w:p w:rsidR="00156959" w:rsidRPr="00907196" w:rsidRDefault="00156959" w:rsidP="00156959">
      <w:pPr>
        <w:pStyle w:val="Sraopastraipa"/>
        <w:numPr>
          <w:ilvl w:val="0"/>
          <w:numId w:val="2"/>
        </w:numPr>
        <w:spacing w:after="200" w:line="276" w:lineRule="auto"/>
        <w:jc w:val="both"/>
      </w:pPr>
      <w:r w:rsidRPr="00907196">
        <w:t>Oficialiai globojamų mokinių skaičius 2015 m. išaugo jaunimo mokyklose bei vidurinėse mokyklose – daugiafunkciniuose centruose.</w:t>
      </w:r>
    </w:p>
    <w:p w:rsidR="00156959" w:rsidRPr="00907196" w:rsidRDefault="00156959" w:rsidP="00156959">
      <w:pPr>
        <w:pStyle w:val="Sraopastraipa"/>
        <w:numPr>
          <w:ilvl w:val="0"/>
          <w:numId w:val="2"/>
        </w:numPr>
        <w:spacing w:after="200" w:line="276" w:lineRule="auto"/>
        <w:jc w:val="both"/>
      </w:pPr>
      <w:r w:rsidRPr="00907196">
        <w:t>Specialiųjų ugdymosi poreikių turinčių mokinių daugiausiai mokosi specialiosiose bei jaunimo mokyklose.</w:t>
      </w:r>
    </w:p>
    <w:p w:rsidR="00156959" w:rsidRPr="00907196" w:rsidRDefault="00156959" w:rsidP="00156959">
      <w:pPr>
        <w:pStyle w:val="Sraopastraipa"/>
        <w:numPr>
          <w:ilvl w:val="0"/>
          <w:numId w:val="2"/>
        </w:numPr>
        <w:spacing w:after="200" w:line="276" w:lineRule="auto"/>
        <w:jc w:val="both"/>
      </w:pPr>
      <w:r w:rsidRPr="00907196">
        <w:t>Nemokamą maitinimą gaunančių mokinių skaičius ugdymo įstaigose mažėja.</w:t>
      </w:r>
    </w:p>
    <w:p w:rsidR="00156959" w:rsidRPr="00907196" w:rsidRDefault="00156959" w:rsidP="00156959">
      <w:pPr>
        <w:pStyle w:val="Sraopastraipa"/>
        <w:numPr>
          <w:ilvl w:val="0"/>
          <w:numId w:val="2"/>
        </w:numPr>
        <w:spacing w:after="200" w:line="276" w:lineRule="auto"/>
        <w:jc w:val="both"/>
      </w:pPr>
      <w:r w:rsidRPr="00907196">
        <w:t>Daugiausiai pamokų lankomumo problemų turi jaunimo mokyklų auklėtiniai, nors kasmet jų skaičius vis mažėja.</w:t>
      </w:r>
    </w:p>
    <w:p w:rsidR="00156959" w:rsidRPr="00907196" w:rsidRDefault="00156959" w:rsidP="00156959">
      <w:pPr>
        <w:pStyle w:val="Sraopastraipa"/>
        <w:numPr>
          <w:ilvl w:val="0"/>
          <w:numId w:val="2"/>
        </w:numPr>
        <w:spacing w:after="200" w:line="276" w:lineRule="auto"/>
        <w:jc w:val="both"/>
      </w:pPr>
      <w:r w:rsidRPr="00907196">
        <w:t xml:space="preserve">Mokinių, turinčių </w:t>
      </w:r>
      <w:r w:rsidR="00907196" w:rsidRPr="00907196">
        <w:t>elgesio</w:t>
      </w:r>
      <w:r w:rsidRPr="00907196">
        <w:t xml:space="preserve"> problemų, skaičius kasmet mažėja gimnazijose, jaunimo, pradinėse ir pagrindinėse, specialiosiose mokyklose, progimnazijose.</w:t>
      </w:r>
    </w:p>
    <w:p w:rsidR="00156959" w:rsidRPr="00907196" w:rsidRDefault="00156959" w:rsidP="00156959">
      <w:pPr>
        <w:pStyle w:val="Sraopastraipa"/>
        <w:numPr>
          <w:ilvl w:val="0"/>
          <w:numId w:val="2"/>
        </w:numPr>
        <w:spacing w:after="200" w:line="276" w:lineRule="auto"/>
        <w:jc w:val="both"/>
      </w:pPr>
      <w:r w:rsidRPr="00907196">
        <w:t>Specialiosiose mokyklose beveik 3 kartus išaugo mokinių, augančių šeimose, kuriose dėl tėvystės/ socialinių įgūdžių stokos, vaikai yra neprižiūrimi, skaičius.</w:t>
      </w:r>
    </w:p>
    <w:p w:rsidR="00413777" w:rsidRPr="00907196" w:rsidRDefault="00413777" w:rsidP="00156959">
      <w:pPr>
        <w:pStyle w:val="Sraopastraipa"/>
        <w:spacing w:after="0" w:line="360" w:lineRule="auto"/>
        <w:ind w:left="1287"/>
        <w:jc w:val="both"/>
        <w:rPr>
          <w:szCs w:val="24"/>
        </w:rPr>
      </w:pPr>
    </w:p>
    <w:sectPr w:rsidR="00413777" w:rsidRPr="00907196" w:rsidSect="00413777">
      <w:pgSz w:w="11906" w:h="16838"/>
      <w:pgMar w:top="567" w:right="567" w:bottom="113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libri Light">
    <w:altName w:val="Calibri"/>
    <w:charset w:val="BA"/>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33B36"/>
    <w:multiLevelType w:val="hybridMultilevel"/>
    <w:tmpl w:val="7DEE8DD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386669D2"/>
    <w:multiLevelType w:val="hybridMultilevel"/>
    <w:tmpl w:val="F912B1C0"/>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FBE"/>
    <w:rsid w:val="00053196"/>
    <w:rsid w:val="00156959"/>
    <w:rsid w:val="0017292B"/>
    <w:rsid w:val="0017738E"/>
    <w:rsid w:val="00292F57"/>
    <w:rsid w:val="002D0DE9"/>
    <w:rsid w:val="002E165F"/>
    <w:rsid w:val="003779B3"/>
    <w:rsid w:val="00413777"/>
    <w:rsid w:val="00436D27"/>
    <w:rsid w:val="00516168"/>
    <w:rsid w:val="005C4680"/>
    <w:rsid w:val="006772BA"/>
    <w:rsid w:val="00687C5A"/>
    <w:rsid w:val="006958F9"/>
    <w:rsid w:val="00713043"/>
    <w:rsid w:val="00757255"/>
    <w:rsid w:val="007C6BA2"/>
    <w:rsid w:val="008008B2"/>
    <w:rsid w:val="00813B65"/>
    <w:rsid w:val="00860BF3"/>
    <w:rsid w:val="008E3FBE"/>
    <w:rsid w:val="00907196"/>
    <w:rsid w:val="009A49DF"/>
    <w:rsid w:val="00A803A4"/>
    <w:rsid w:val="00AB7AAE"/>
    <w:rsid w:val="00BA12DA"/>
    <w:rsid w:val="00BA4A00"/>
    <w:rsid w:val="00BA753B"/>
    <w:rsid w:val="00C902E0"/>
    <w:rsid w:val="00CA0153"/>
    <w:rsid w:val="00CE308E"/>
    <w:rsid w:val="00D32708"/>
    <w:rsid w:val="00D859BA"/>
    <w:rsid w:val="00E518AD"/>
    <w:rsid w:val="00E80C69"/>
    <w:rsid w:val="00F01263"/>
    <w:rsid w:val="00F3328E"/>
    <w:rsid w:val="00FB76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E518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unhideWhenUsed/>
    <w:rsid w:val="00436D2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36D27"/>
    <w:rPr>
      <w:rFonts w:ascii="Tahoma" w:hAnsi="Tahoma" w:cs="Tahoma"/>
      <w:sz w:val="16"/>
      <w:szCs w:val="16"/>
    </w:rPr>
  </w:style>
  <w:style w:type="paragraph" w:styleId="Sraopastraipa">
    <w:name w:val="List Paragraph"/>
    <w:basedOn w:val="prastasis"/>
    <w:uiPriority w:val="34"/>
    <w:qFormat/>
    <w:rsid w:val="004137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E518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unhideWhenUsed/>
    <w:rsid w:val="00436D2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36D27"/>
    <w:rPr>
      <w:rFonts w:ascii="Tahoma" w:hAnsi="Tahoma" w:cs="Tahoma"/>
      <w:sz w:val="16"/>
      <w:szCs w:val="16"/>
    </w:rPr>
  </w:style>
  <w:style w:type="paragraph" w:styleId="Sraopastraipa">
    <w:name w:val="List Paragraph"/>
    <w:basedOn w:val="prastasis"/>
    <w:uiPriority w:val="34"/>
    <w:qFormat/>
    <w:rsid w:val="00413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509442">
      <w:bodyDiv w:val="1"/>
      <w:marLeft w:val="0"/>
      <w:marRight w:val="0"/>
      <w:marTop w:val="0"/>
      <w:marBottom w:val="0"/>
      <w:divBdr>
        <w:top w:val="none" w:sz="0" w:space="0" w:color="auto"/>
        <w:left w:val="none" w:sz="0" w:space="0" w:color="auto"/>
        <w:bottom w:val="none" w:sz="0" w:space="0" w:color="auto"/>
        <w:right w:val="none" w:sz="0" w:space="0" w:color="auto"/>
      </w:divBdr>
    </w:div>
    <w:div w:id="1783302679">
      <w:bodyDiv w:val="1"/>
      <w:marLeft w:val="0"/>
      <w:marRight w:val="0"/>
      <w:marTop w:val="0"/>
      <w:marBottom w:val="0"/>
      <w:divBdr>
        <w:top w:val="none" w:sz="0" w:space="0" w:color="auto"/>
        <w:left w:val="none" w:sz="0" w:space="0" w:color="auto"/>
        <w:bottom w:val="none" w:sz="0" w:space="0" w:color="auto"/>
        <w:right w:val="none" w:sz="0" w:space="0" w:color="auto"/>
      </w:divBdr>
    </w:div>
    <w:div w:id="20745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9.xml"/><Relationship Id="rId23" Type="http://schemas.openxmlformats.org/officeDocument/2006/relationships/chart" Target="charts/chart17.xml"/><Relationship Id="rId10" Type="http://schemas.openxmlformats.org/officeDocument/2006/relationships/chart" Target="charts/chart4.xml"/><Relationship Id="rId19" Type="http://schemas.openxmlformats.org/officeDocument/2006/relationships/chart" Target="charts/chart13.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dminas\Documents\2015_2016%20M.M\Metodinis%20burelis\2014%20pasas%20(7).xls"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Adminas\Documents\2015_2016%20M.M\Metodinis%20burelis\2014%20pasas%20(7).xls"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Adminas\Documents\2015_2016%20M.M\Metodinis%20burelis\2014%20pasas%20(7).xls"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Adminas\Documents\2015_2016%20M.M\Metodinis%20burelis\2014%20pasas%20(7).xls"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Adminas\Documents\2015_2016%20M.M\Metodinis%20burelis\2014%20pasas%20(7).xls"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Adminas\Documents\2015_2016%20M.M\Metodinis%20burelis\2014%20pasas%20(7).xls"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Adminas\Documents\2015_2016%20M.M\Metodinis%20burelis\2014%20pasas%20(7).xls"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C:\Users\Adminas\Documents\2015_2016%20M.M\Metodinis%20burelis\2014%20pasas%20(7).xls"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C:\Users\Edita\Desktop\2014%20pasas%20(7).xls" TargetMode="External"/><Relationship Id="rId1" Type="http://schemas.openxmlformats.org/officeDocument/2006/relationships/themeOverride" Target="../theme/themeOverride17.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dminas\Documents\2015_2016%20M.M\Metodinis%20burelis\2014%20pasas%20(7).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Adminas\Documents\2015_2016%20M.M\Metodinis%20burelis\2014%20pasas%20(7).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Adminas\Documents\2015_2016%20M.M\Metodinis%20burelis\2014%20pasas%20(7).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Adminas\Documents\2015_2016%20M.M\Metodinis%20burelis\2014%20pasas%20(7).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Adminas\Documents\2015_2016%20M.M\Metodinis%20burelis\2014%20pasas%20(7).xls"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Adminas\Documents\2015_2016%20M.M\Metodinis%20burelis\2014%20pasas%20(7).xls"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Adminas\Documents\2015_2016%20M.M\Metodinis%20burelis\2014%20pasas%20(7).xls"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Adminas\Documents\2015_2016%20M.M\Metodinis%20burelis\2014%20pasas%20(7).xls"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anose="02020603050405020304" pitchFamily="18" charset="0"/>
                <a:cs typeface="Times New Roman" panose="02020603050405020304" pitchFamily="18" charset="0"/>
              </a:defRPr>
            </a:pPr>
            <a:r>
              <a:rPr lang="lt-LT" sz="1400">
                <a:latin typeface="Times New Roman" panose="02020603050405020304" pitchFamily="18" charset="0"/>
                <a:cs typeface="Times New Roman" panose="02020603050405020304" pitchFamily="18" charset="0"/>
              </a:rPr>
              <a:t>Ugdymo įstaigas lankančių mokinių skaičius</a:t>
            </a:r>
          </a:p>
        </c:rich>
      </c:tx>
      <c:overlay val="0"/>
    </c:title>
    <c:autoTitleDeleted val="0"/>
    <c:plotArea>
      <c:layout/>
      <c:barChart>
        <c:barDir val="col"/>
        <c:grouping val="clustered"/>
        <c:varyColors val="0"/>
        <c:ser>
          <c:idx val="2"/>
          <c:order val="0"/>
          <c:tx>
            <c:v>2015 m.</c:v>
          </c:tx>
          <c:invertIfNegative val="0"/>
          <c:dLbls>
            <c:spPr>
              <a:noFill/>
              <a:ln>
                <a:noFill/>
              </a:ln>
              <a:effectLst/>
            </c:spPr>
            <c:txPr>
              <a:bodyPr wrap="square" lIns="38100" tIns="19050" rIns="38100" bIns="19050" anchor="ctr">
                <a:spAutoFit/>
              </a:bodyPr>
              <a:lstStyle/>
              <a:p>
                <a:pPr>
                  <a:defRPr sz="700">
                    <a:latin typeface="Times New Roman" panose="02020603050405020304" pitchFamily="18" charset="0"/>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m.'!$E$3,'2013-2015 m.'!$J$3,'2013-2015 m.'!$O$3,'2013-2015 m.'!$T$3,'2013-2015 m.'!$Y$3,'2013-2015 m.'!$AD$3,'2013-2015 m.'!$AG$3,'2013-2015 m.'!$AJ$3,'2013-2015 m.'!$AM$3)</c:f>
              <c:numCache>
                <c:formatCode>General</c:formatCode>
                <c:ptCount val="9"/>
                <c:pt idx="0">
                  <c:v>11987</c:v>
                </c:pt>
                <c:pt idx="1">
                  <c:v>2528</c:v>
                </c:pt>
                <c:pt idx="2">
                  <c:v>172</c:v>
                </c:pt>
                <c:pt idx="3">
                  <c:v>2370</c:v>
                </c:pt>
                <c:pt idx="4">
                  <c:v>5322</c:v>
                </c:pt>
                <c:pt idx="5">
                  <c:v>478</c:v>
                </c:pt>
                <c:pt idx="6">
                  <c:v>4855</c:v>
                </c:pt>
                <c:pt idx="7">
                  <c:v>527</c:v>
                </c:pt>
                <c:pt idx="8">
                  <c:v>1595</c:v>
                </c:pt>
              </c:numCache>
            </c:numRef>
          </c:val>
        </c:ser>
        <c:ser>
          <c:idx val="0"/>
          <c:order val="1"/>
          <c:tx>
            <c:v>2014 m.</c:v>
          </c:tx>
          <c:invertIfNegative val="0"/>
          <c:dLbls>
            <c:spPr>
              <a:noFill/>
              <a:ln>
                <a:noFill/>
              </a:ln>
              <a:effectLst/>
            </c:spPr>
            <c:txPr>
              <a:bodyPr wrap="square" lIns="38100" tIns="19050" rIns="38100" bIns="19050" anchor="ctr">
                <a:spAutoFit/>
              </a:bodyPr>
              <a:lstStyle/>
              <a:p>
                <a:pPr>
                  <a:defRPr sz="700">
                    <a:latin typeface="Times New Roman" panose="02020603050405020304" pitchFamily="18" charset="0"/>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m.'!$F$3,'2013-2015 m.'!$K$3,'2013-2015 m.'!$P$3,'2013-2015 m.'!$U$3,'2013-2015 m.'!$Z$3,'2013-2015 m.'!$AE$3,'2013-2015 m.'!$AH$3,'2013-2015 m.'!$AK$3)</c:f>
              <c:numCache>
                <c:formatCode>General</c:formatCode>
                <c:ptCount val="8"/>
                <c:pt idx="0">
                  <c:v>8186</c:v>
                </c:pt>
                <c:pt idx="1">
                  <c:v>11764</c:v>
                </c:pt>
                <c:pt idx="2">
                  <c:v>176</c:v>
                </c:pt>
                <c:pt idx="3">
                  <c:v>2588</c:v>
                </c:pt>
                <c:pt idx="4">
                  <c:v>3258</c:v>
                </c:pt>
                <c:pt idx="5">
                  <c:v>482</c:v>
                </c:pt>
                <c:pt idx="6">
                  <c:v>3556</c:v>
                </c:pt>
                <c:pt idx="7">
                  <c:v>631</c:v>
                </c:pt>
              </c:numCache>
            </c:numRef>
          </c:val>
        </c:ser>
        <c:ser>
          <c:idx val="1"/>
          <c:order val="2"/>
          <c:tx>
            <c:v>2013 m.</c:v>
          </c:tx>
          <c:invertIfNegative val="0"/>
          <c:dLbls>
            <c:spPr>
              <a:noFill/>
              <a:ln>
                <a:noFill/>
              </a:ln>
              <a:effectLst/>
            </c:spPr>
            <c:txPr>
              <a:bodyPr wrap="square" lIns="38100" tIns="19050" rIns="38100" bIns="19050" anchor="ctr">
                <a:spAutoFit/>
              </a:bodyPr>
              <a:lstStyle/>
              <a:p>
                <a:pPr>
                  <a:defRPr sz="700">
                    <a:latin typeface="Times New Roman" panose="02020603050405020304" pitchFamily="18" charset="0"/>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m.'!$G$3,'2013-2015 m.'!$L$3,'2013-2015 m.'!$Q$3,'2013-2015 m.'!$V$3,'2013-2015 m.'!$AA$3,'2013-2015 m.'!$AF$3,'2013-2015 m.'!$AI$3,'2013-2015 m.'!$AL$3)</c:f>
              <c:numCache>
                <c:formatCode>General</c:formatCode>
                <c:ptCount val="8"/>
                <c:pt idx="0">
                  <c:v>7532</c:v>
                </c:pt>
                <c:pt idx="1">
                  <c:v>18260</c:v>
                </c:pt>
                <c:pt idx="2">
                  <c:v>192</c:v>
                </c:pt>
                <c:pt idx="3">
                  <c:v>2441</c:v>
                </c:pt>
                <c:pt idx="4">
                  <c:v>6082</c:v>
                </c:pt>
                <c:pt idx="5">
                  <c:v>576</c:v>
                </c:pt>
                <c:pt idx="6">
                  <c:v>3943</c:v>
                </c:pt>
                <c:pt idx="7">
                  <c:v>640</c:v>
                </c:pt>
              </c:numCache>
            </c:numRef>
          </c:val>
        </c:ser>
        <c:dLbls>
          <c:showLegendKey val="0"/>
          <c:showVal val="0"/>
          <c:showCatName val="0"/>
          <c:showSerName val="0"/>
          <c:showPercent val="0"/>
          <c:showBubbleSize val="0"/>
        </c:dLbls>
        <c:gapWidth val="150"/>
        <c:axId val="168329600"/>
        <c:axId val="168407424"/>
      </c:barChart>
      <c:catAx>
        <c:axId val="168329600"/>
        <c:scaling>
          <c:orientation val="minMax"/>
        </c:scaling>
        <c:delete val="0"/>
        <c:axPos val="b"/>
        <c:numFmt formatCode="General" sourceLinked="1"/>
        <c:majorTickMark val="none"/>
        <c:minorTickMark val="none"/>
        <c:tickLblPos val="nextTo"/>
        <c:txPr>
          <a:bodyPr rot="-2640000" vert="horz"/>
          <a:lstStyle/>
          <a:p>
            <a:pPr>
              <a:defRPr sz="700"/>
            </a:pPr>
            <a:endParaRPr lang="lt-LT"/>
          </a:p>
        </c:txPr>
        <c:crossAx val="168407424"/>
        <c:crosses val="autoZero"/>
        <c:auto val="1"/>
        <c:lblAlgn val="ctr"/>
        <c:lblOffset val="100"/>
        <c:tickLblSkip val="1"/>
        <c:tickMarkSkip val="1"/>
        <c:noMultiLvlLbl val="0"/>
      </c:catAx>
      <c:valAx>
        <c:axId val="168407424"/>
        <c:scaling>
          <c:orientation val="minMax"/>
        </c:scaling>
        <c:delete val="0"/>
        <c:axPos val="l"/>
        <c:majorGridlines/>
        <c:numFmt formatCode="General" sourceLinked="1"/>
        <c:majorTickMark val="none"/>
        <c:minorTickMark val="none"/>
        <c:tickLblPos val="nextTo"/>
        <c:txPr>
          <a:bodyPr rot="0" vert="horz"/>
          <a:lstStyle/>
          <a:p>
            <a:pPr>
              <a:defRPr>
                <a:latin typeface="Times New Roman" panose="02020603050405020304" pitchFamily="18" charset="0"/>
                <a:cs typeface="Times New Roman" panose="02020603050405020304" pitchFamily="18" charset="0"/>
              </a:defRPr>
            </a:pPr>
            <a:endParaRPr lang="lt-LT"/>
          </a:p>
        </c:txPr>
        <c:crossAx val="168329600"/>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lt-LT"/>
        </a:p>
      </c:txPr>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lt-LT"/>
              <a:t>Mokiniai, kurių vienas iš tėvų miręs</a:t>
            </a:r>
          </a:p>
        </c:rich>
      </c:tx>
      <c:overlay val="0"/>
      <c:spPr>
        <a:noFill/>
        <a:ln w="25400">
          <a:noFill/>
        </a:ln>
      </c:spPr>
    </c:title>
    <c:autoTitleDeleted val="0"/>
    <c:plotArea>
      <c:layout/>
      <c:barChart>
        <c:barDir val="col"/>
        <c:grouping val="clustered"/>
        <c:varyColors val="0"/>
        <c:ser>
          <c:idx val="1"/>
          <c:order val="0"/>
          <c:tx>
            <c:v>2015 m.</c:v>
          </c:tx>
          <c:spPr>
            <a:solidFill>
              <a:srgbClr val="92D05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m.'!$E$31,'2013-2015 m.'!$J$31,'2013-2015 m.'!$O$31,'2013-2015 m.'!$T$31,'2013-2015 m.'!$Y$31,'2013-2015 m.'!$AD$31,'2013-2015 m.'!$AG$31,'2013-2015 m.'!$AJ$31,'2013-2015 m.'!$AM$31)</c:f>
              <c:numCache>
                <c:formatCode>0.0</c:formatCode>
                <c:ptCount val="9"/>
                <c:pt idx="0">
                  <c:v>2.4443146742304163</c:v>
                </c:pt>
                <c:pt idx="1">
                  <c:v>3.9556962025316458</c:v>
                </c:pt>
                <c:pt idx="2">
                  <c:v>12.790697674418606</c:v>
                </c:pt>
                <c:pt idx="3">
                  <c:v>0.8438818565400843</c:v>
                </c:pt>
                <c:pt idx="4">
                  <c:v>3.1003382187147688</c:v>
                </c:pt>
                <c:pt idx="5">
                  <c:v>7.3221757322175733</c:v>
                </c:pt>
                <c:pt idx="6">
                  <c:v>2.0803295571575697</c:v>
                </c:pt>
                <c:pt idx="7">
                  <c:v>2.0872865275142316</c:v>
                </c:pt>
                <c:pt idx="8">
                  <c:v>1.8181818181818179</c:v>
                </c:pt>
              </c:numCache>
            </c:numRef>
          </c:val>
        </c:ser>
        <c:ser>
          <c:idx val="0"/>
          <c:order val="1"/>
          <c:tx>
            <c:v>2014 m.</c:v>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m.'!$F$31,'2013-2015 m.'!$K$31,'2013-2015 m.'!$P$31,'2013-2015 m.'!$U$31,'2013-2015 m.'!$Z$31,'2013-2015 m.'!$AE$31,'2013-2015 m.'!$AH$31,'2013-2015 m.'!$AK$31)</c:f>
              <c:numCache>
                <c:formatCode>0.0</c:formatCode>
                <c:ptCount val="8"/>
                <c:pt idx="0">
                  <c:v>3.4082580014659172</c:v>
                </c:pt>
                <c:pt idx="1">
                  <c:v>3.5787147228833729</c:v>
                </c:pt>
                <c:pt idx="2">
                  <c:v>17.613636363636367</c:v>
                </c:pt>
                <c:pt idx="3">
                  <c:v>1.1978361669242659</c:v>
                </c:pt>
                <c:pt idx="4">
                  <c:v>2.885205647636587</c:v>
                </c:pt>
                <c:pt idx="5">
                  <c:v>6.6390041493775938</c:v>
                </c:pt>
                <c:pt idx="6">
                  <c:v>2.5590551181102361</c:v>
                </c:pt>
                <c:pt idx="7">
                  <c:v>1.2678288431061806</c:v>
                </c:pt>
              </c:numCache>
            </c:numRef>
          </c:val>
        </c:ser>
        <c:ser>
          <c:idx val="3"/>
          <c:order val="2"/>
          <c:tx>
            <c:v>2013 m. </c:v>
          </c:tx>
          <c:spPr>
            <a:solidFill>
              <a:schemeClr val="accent2"/>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m.'!$G$31,'2013-2015 m.'!$L$31,'2013-2015 m.'!$Q$31,'2013-2015 m.'!$V$31,'2013-2015 m.'!$AA$31,'2013-2015 m.'!$AF$31,'2013-2015 m.'!$AI$31,'2013-2015 m.'!$AL$31)</c:f>
              <c:numCache>
                <c:formatCode>0.0</c:formatCode>
                <c:ptCount val="8"/>
                <c:pt idx="0">
                  <c:v>3.6909187466808286</c:v>
                </c:pt>
                <c:pt idx="1">
                  <c:v>2.0865279299014237</c:v>
                </c:pt>
                <c:pt idx="2">
                  <c:v>14.583333333333334</c:v>
                </c:pt>
                <c:pt idx="3">
                  <c:v>1.2290045063498565</c:v>
                </c:pt>
                <c:pt idx="4">
                  <c:v>3.9131864518250574</c:v>
                </c:pt>
                <c:pt idx="5">
                  <c:v>8.5069444444444446</c:v>
                </c:pt>
                <c:pt idx="6">
                  <c:v>2.9672837940654326</c:v>
                </c:pt>
                <c:pt idx="7">
                  <c:v>1.25</c:v>
                </c:pt>
              </c:numCache>
            </c:numRef>
          </c:val>
        </c:ser>
        <c:dLbls>
          <c:dLblPos val="outEnd"/>
          <c:showLegendKey val="0"/>
          <c:showVal val="1"/>
          <c:showCatName val="0"/>
          <c:showSerName val="0"/>
          <c:showPercent val="0"/>
          <c:showBubbleSize val="0"/>
        </c:dLbls>
        <c:gapWidth val="150"/>
        <c:axId val="64433536"/>
        <c:axId val="64455808"/>
      </c:barChart>
      <c:catAx>
        <c:axId val="64433536"/>
        <c:scaling>
          <c:orientation val="minMax"/>
        </c:scaling>
        <c:delete val="0"/>
        <c:axPos val="b"/>
        <c:numFmt formatCode="General" sourceLinked="1"/>
        <c:majorTickMark val="none"/>
        <c:minorTickMark val="none"/>
        <c:tickLblPos val="nextTo"/>
        <c:txPr>
          <a:bodyPr rot="-2640000" vert="horz"/>
          <a:lstStyle/>
          <a:p>
            <a:pPr>
              <a:defRPr/>
            </a:pPr>
            <a:endParaRPr lang="lt-LT"/>
          </a:p>
        </c:txPr>
        <c:crossAx val="64455808"/>
        <c:crosses val="autoZero"/>
        <c:auto val="1"/>
        <c:lblAlgn val="ctr"/>
        <c:lblOffset val="100"/>
        <c:tickLblSkip val="1"/>
        <c:tickMarkSkip val="1"/>
        <c:noMultiLvlLbl val="0"/>
      </c:catAx>
      <c:valAx>
        <c:axId val="64455808"/>
        <c:scaling>
          <c:orientation val="minMax"/>
        </c:scaling>
        <c:delete val="0"/>
        <c:axPos val="l"/>
        <c:majorGridlines/>
        <c:numFmt formatCode="0.0" sourceLinked="1"/>
        <c:majorTickMark val="none"/>
        <c:minorTickMark val="none"/>
        <c:tickLblPos val="nextTo"/>
        <c:txPr>
          <a:bodyPr rot="0" vert="horz"/>
          <a:lstStyle/>
          <a:p>
            <a:pPr>
              <a:defRPr/>
            </a:pPr>
            <a:endParaRPr lang="lt-LT"/>
          </a:p>
        </c:txPr>
        <c:crossAx val="64433536"/>
        <c:crosses val="autoZero"/>
        <c:crossBetween val="between"/>
      </c:valAx>
    </c:plotArea>
    <c:legend>
      <c:legendPos val="r"/>
      <c:overlay val="0"/>
    </c:legend>
    <c:plotVisOnly val="1"/>
    <c:dispBlanksAs val="gap"/>
    <c:showDLblsOverMax val="0"/>
  </c:chart>
  <c:txPr>
    <a:bodyPr/>
    <a:lstStyle/>
    <a:p>
      <a:pPr>
        <a:defRPr sz="700">
          <a:latin typeface="Times New Roman" panose="02020603050405020304" pitchFamily="18" charset="0"/>
          <a:cs typeface="Times New Roman" panose="02020603050405020304" pitchFamily="18" charset="0"/>
        </a:defRPr>
      </a:pPr>
      <a:endParaRPr lang="lt-LT"/>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lt-LT"/>
              <a:t>Mokiniai, kuriems skirta oficiali globa</a:t>
            </a:r>
          </a:p>
        </c:rich>
      </c:tx>
      <c:overlay val="0"/>
    </c:title>
    <c:autoTitleDeleted val="0"/>
    <c:plotArea>
      <c:layout/>
      <c:barChart>
        <c:barDir val="col"/>
        <c:grouping val="clustered"/>
        <c:varyColors val="0"/>
        <c:ser>
          <c:idx val="1"/>
          <c:order val="0"/>
          <c:tx>
            <c:v>2015 m.</c:v>
          </c:tx>
          <c:spPr>
            <a:solidFill>
              <a:srgbClr val="92D05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m.'!$E$35,'2013-2015 m.'!$J$35,'2013-2015 m.'!$O$35,'2013-2015 m.'!$T$35,'2013-2015 m.'!$Y$35,'2013-2015 m.'!$AD$35,'2013-2015 m.'!$AG$35,'2013-2015 m.'!$AJ$35,'2013-2015 m.'!$AM$35)</c:f>
              <c:numCache>
                <c:formatCode>0.0</c:formatCode>
                <c:ptCount val="9"/>
                <c:pt idx="0">
                  <c:v>0.48385751230499707</c:v>
                </c:pt>
                <c:pt idx="1">
                  <c:v>2.4920886075949369</c:v>
                </c:pt>
                <c:pt idx="2">
                  <c:v>14.534883720930234</c:v>
                </c:pt>
                <c:pt idx="3">
                  <c:v>0.42194092827004215</c:v>
                </c:pt>
                <c:pt idx="4">
                  <c:v>1.9729425028184893</c:v>
                </c:pt>
                <c:pt idx="5">
                  <c:v>14.225941422594142</c:v>
                </c:pt>
                <c:pt idx="6">
                  <c:v>0.98867147270854794</c:v>
                </c:pt>
                <c:pt idx="7">
                  <c:v>0.37950664136622392</c:v>
                </c:pt>
                <c:pt idx="8">
                  <c:v>0.75235109717868331</c:v>
                </c:pt>
              </c:numCache>
            </c:numRef>
          </c:val>
        </c:ser>
        <c:ser>
          <c:idx val="0"/>
          <c:order val="1"/>
          <c:tx>
            <c:v>2014 m.</c:v>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m.'!$F$35,'2013-2015 m.'!$K$35,'2013-2015 m.'!$P$35,'2013-2015 m.'!$U$35,'2013-2015 m.'!$Z$35,'2013-2015 m.'!$AE$35,'2013-2015 m.'!$AH$35,'2013-2015 m.'!$AK$35)</c:f>
              <c:numCache>
                <c:formatCode>0.0</c:formatCode>
                <c:ptCount val="8"/>
                <c:pt idx="0">
                  <c:v>0.80625458099193736</c:v>
                </c:pt>
                <c:pt idx="1">
                  <c:v>1.708602516150969</c:v>
                </c:pt>
                <c:pt idx="2">
                  <c:v>11.363636363636365</c:v>
                </c:pt>
                <c:pt idx="3">
                  <c:v>0.69551777434312212</c:v>
                </c:pt>
                <c:pt idx="4">
                  <c:v>1.810926949048496</c:v>
                </c:pt>
                <c:pt idx="5">
                  <c:v>14.522821576763487</c:v>
                </c:pt>
                <c:pt idx="6">
                  <c:v>1.0686164229471316</c:v>
                </c:pt>
                <c:pt idx="7">
                  <c:v>0.31695721077654515</c:v>
                </c:pt>
              </c:numCache>
            </c:numRef>
          </c:val>
        </c:ser>
        <c:ser>
          <c:idx val="3"/>
          <c:order val="2"/>
          <c:tx>
            <c:v>2013 m.</c:v>
          </c:tx>
          <c:spPr>
            <a:solidFill>
              <a:schemeClr val="accent2"/>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m.'!$G$35,'2013-2015 m.'!$L$35,'2013-2015 m.'!$Q$35,'2013-2015 m.'!$V$35,'2013-2015 m.'!$AA$35,'2013-2015 m.'!$AF$35,'2013-2015 m.'!$AI$35,'2013-2015 m.'!$AL$35)</c:f>
              <c:numCache>
                <c:formatCode>0.0</c:formatCode>
                <c:ptCount val="8"/>
                <c:pt idx="0">
                  <c:v>0.96919808815719599</c:v>
                </c:pt>
                <c:pt idx="1">
                  <c:v>0.91456736035049291</c:v>
                </c:pt>
                <c:pt idx="2">
                  <c:v>8.3333333333333339</c:v>
                </c:pt>
                <c:pt idx="3">
                  <c:v>0.24580090126997131</c:v>
                </c:pt>
                <c:pt idx="4">
                  <c:v>2.2689904636632687</c:v>
                </c:pt>
                <c:pt idx="5">
                  <c:v>14.930555555555555</c:v>
                </c:pt>
                <c:pt idx="6">
                  <c:v>1.115901597768197</c:v>
                </c:pt>
                <c:pt idx="7">
                  <c:v>0.3125</c:v>
                </c:pt>
              </c:numCache>
            </c:numRef>
          </c:val>
        </c:ser>
        <c:dLbls>
          <c:showLegendKey val="0"/>
          <c:showVal val="0"/>
          <c:showCatName val="0"/>
          <c:showSerName val="0"/>
          <c:showPercent val="0"/>
          <c:showBubbleSize val="0"/>
        </c:dLbls>
        <c:gapWidth val="150"/>
        <c:axId val="64491520"/>
        <c:axId val="64493056"/>
      </c:barChart>
      <c:catAx>
        <c:axId val="64491520"/>
        <c:scaling>
          <c:orientation val="minMax"/>
        </c:scaling>
        <c:delete val="0"/>
        <c:axPos val="b"/>
        <c:numFmt formatCode="General" sourceLinked="1"/>
        <c:majorTickMark val="none"/>
        <c:minorTickMark val="none"/>
        <c:tickLblPos val="nextTo"/>
        <c:txPr>
          <a:bodyPr rot="-2640000" vert="horz"/>
          <a:lstStyle/>
          <a:p>
            <a:pPr>
              <a:defRPr/>
            </a:pPr>
            <a:endParaRPr lang="lt-LT"/>
          </a:p>
        </c:txPr>
        <c:crossAx val="64493056"/>
        <c:crosses val="autoZero"/>
        <c:auto val="1"/>
        <c:lblAlgn val="ctr"/>
        <c:lblOffset val="100"/>
        <c:tickLblSkip val="1"/>
        <c:tickMarkSkip val="1"/>
        <c:noMultiLvlLbl val="0"/>
      </c:catAx>
      <c:valAx>
        <c:axId val="64493056"/>
        <c:scaling>
          <c:orientation val="minMax"/>
        </c:scaling>
        <c:delete val="0"/>
        <c:axPos val="l"/>
        <c:majorGridlines/>
        <c:numFmt formatCode="0.0" sourceLinked="1"/>
        <c:majorTickMark val="none"/>
        <c:minorTickMark val="none"/>
        <c:tickLblPos val="nextTo"/>
        <c:txPr>
          <a:bodyPr rot="0" vert="horz"/>
          <a:lstStyle/>
          <a:p>
            <a:pPr>
              <a:defRPr/>
            </a:pPr>
            <a:endParaRPr lang="lt-LT"/>
          </a:p>
        </c:txPr>
        <c:crossAx val="64491520"/>
        <c:crosses val="autoZero"/>
        <c:crossBetween val="between"/>
      </c:valAx>
    </c:plotArea>
    <c:legend>
      <c:legendPos val="r"/>
      <c:overlay val="0"/>
    </c:legend>
    <c:plotVisOnly val="1"/>
    <c:dispBlanksAs val="gap"/>
    <c:showDLblsOverMax val="0"/>
  </c:chart>
  <c:txPr>
    <a:bodyPr/>
    <a:lstStyle/>
    <a:p>
      <a:pPr>
        <a:defRPr sz="700">
          <a:latin typeface="Times New Roman" panose="02020603050405020304" pitchFamily="18" charset="0"/>
          <a:cs typeface="Times New Roman" panose="02020603050405020304" pitchFamily="18" charset="0"/>
        </a:defRPr>
      </a:pPr>
      <a:endParaRPr lang="lt-LT"/>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lgn="ctr">
              <a:defRPr/>
            </a:pPr>
            <a:r>
              <a:rPr lang="lt-LT"/>
              <a:t>Mokiniai, turintys specialiuosius ugdymosi poreikius</a:t>
            </a:r>
          </a:p>
        </c:rich>
      </c:tx>
      <c:overlay val="0"/>
      <c:spPr>
        <a:noFill/>
        <a:ln w="25400">
          <a:noFill/>
        </a:ln>
      </c:spPr>
    </c:title>
    <c:autoTitleDeleted val="0"/>
    <c:plotArea>
      <c:layout/>
      <c:barChart>
        <c:barDir val="col"/>
        <c:grouping val="clustered"/>
        <c:varyColors val="0"/>
        <c:ser>
          <c:idx val="1"/>
          <c:order val="0"/>
          <c:tx>
            <c:v>2015 m.</c:v>
          </c:tx>
          <c:spPr>
            <a:solidFill>
              <a:srgbClr val="92D05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m.'!$E$37,'2013-2015 m.'!$J$37,'2013-2015 m.'!$O$37,'2013-2015 m.'!$T$37,'2013-2015 m.'!$Y$37,'2013-2015 m.'!$AD$37,'2013-2015 m.'!$AG$37,'2013-2015 m.'!$AJ$37,'2013-2015 m.'!$AM$37)</c:f>
              <c:numCache>
                <c:formatCode>0.0</c:formatCode>
                <c:ptCount val="9"/>
                <c:pt idx="0">
                  <c:v>0.36706431967965297</c:v>
                </c:pt>
                <c:pt idx="1">
                  <c:v>5.537974683544304</c:v>
                </c:pt>
                <c:pt idx="2">
                  <c:v>29.069767441860467</c:v>
                </c:pt>
                <c:pt idx="3">
                  <c:v>5.7805907172995781</c:v>
                </c:pt>
                <c:pt idx="4">
                  <c:v>6.3509958662157082</c:v>
                </c:pt>
                <c:pt idx="5">
                  <c:v>100</c:v>
                </c:pt>
                <c:pt idx="6">
                  <c:v>4.7579814624098873</c:v>
                </c:pt>
                <c:pt idx="7">
                  <c:v>2.2770398481973437</c:v>
                </c:pt>
                <c:pt idx="8">
                  <c:v>0.62695924764890276</c:v>
                </c:pt>
              </c:numCache>
            </c:numRef>
          </c:val>
        </c:ser>
        <c:ser>
          <c:idx val="0"/>
          <c:order val="1"/>
          <c:tx>
            <c:v>2014 m.</c:v>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m.'!$F$37,'2013-2015 m.'!$K$37,'2013-2015 m.'!$P$37,'2013-2015 m.'!$U$37,'2013-2015 m.'!$Z$37,'2013-2015 m.'!$AE$37,'2013-2015 m.'!$AH$37,'2013-2015 m.'!$AK$37)</c:f>
              <c:numCache>
                <c:formatCode>0.0</c:formatCode>
                <c:ptCount val="8"/>
                <c:pt idx="0">
                  <c:v>1.1483019789885169</c:v>
                </c:pt>
                <c:pt idx="1">
                  <c:v>5.7293437606256381</c:v>
                </c:pt>
                <c:pt idx="2">
                  <c:v>23.295454545454547</c:v>
                </c:pt>
                <c:pt idx="3">
                  <c:v>6.2210200927357029</c:v>
                </c:pt>
                <c:pt idx="4">
                  <c:v>5.0951503990178022</c:v>
                </c:pt>
                <c:pt idx="5">
                  <c:v>100</c:v>
                </c:pt>
                <c:pt idx="6">
                  <c:v>5.4274465691788523</c:v>
                </c:pt>
                <c:pt idx="7">
                  <c:v>7.6069730586370836</c:v>
                </c:pt>
              </c:numCache>
            </c:numRef>
          </c:val>
        </c:ser>
        <c:dLbls>
          <c:showLegendKey val="0"/>
          <c:showVal val="0"/>
          <c:showCatName val="0"/>
          <c:showSerName val="0"/>
          <c:showPercent val="0"/>
          <c:showBubbleSize val="0"/>
        </c:dLbls>
        <c:gapWidth val="150"/>
        <c:axId val="64522880"/>
        <c:axId val="64528768"/>
      </c:barChart>
      <c:catAx>
        <c:axId val="64522880"/>
        <c:scaling>
          <c:orientation val="minMax"/>
        </c:scaling>
        <c:delete val="0"/>
        <c:axPos val="b"/>
        <c:numFmt formatCode="General" sourceLinked="1"/>
        <c:majorTickMark val="none"/>
        <c:minorTickMark val="none"/>
        <c:tickLblPos val="nextTo"/>
        <c:txPr>
          <a:bodyPr rot="-2640000" vert="horz"/>
          <a:lstStyle/>
          <a:p>
            <a:pPr>
              <a:defRPr/>
            </a:pPr>
            <a:endParaRPr lang="lt-LT"/>
          </a:p>
        </c:txPr>
        <c:crossAx val="64528768"/>
        <c:crosses val="autoZero"/>
        <c:auto val="1"/>
        <c:lblAlgn val="ctr"/>
        <c:lblOffset val="100"/>
        <c:tickLblSkip val="1"/>
        <c:tickMarkSkip val="1"/>
        <c:noMultiLvlLbl val="0"/>
      </c:catAx>
      <c:valAx>
        <c:axId val="64528768"/>
        <c:scaling>
          <c:orientation val="minMax"/>
        </c:scaling>
        <c:delete val="0"/>
        <c:axPos val="l"/>
        <c:majorGridlines/>
        <c:numFmt formatCode="0.0" sourceLinked="1"/>
        <c:majorTickMark val="none"/>
        <c:minorTickMark val="none"/>
        <c:tickLblPos val="nextTo"/>
        <c:txPr>
          <a:bodyPr rot="0" vert="horz"/>
          <a:lstStyle/>
          <a:p>
            <a:pPr>
              <a:defRPr/>
            </a:pPr>
            <a:endParaRPr lang="lt-LT"/>
          </a:p>
        </c:txPr>
        <c:crossAx val="64522880"/>
        <c:crosses val="autoZero"/>
        <c:crossBetween val="between"/>
      </c:valAx>
    </c:plotArea>
    <c:legend>
      <c:legendPos val="r"/>
      <c:overlay val="0"/>
    </c:legend>
    <c:plotVisOnly val="1"/>
    <c:dispBlanksAs val="gap"/>
    <c:showDLblsOverMax val="0"/>
  </c:chart>
  <c:txPr>
    <a:bodyPr/>
    <a:lstStyle/>
    <a:p>
      <a:pPr>
        <a:defRPr sz="700">
          <a:latin typeface="Times New Roman" panose="02020603050405020304" pitchFamily="18" charset="0"/>
          <a:cs typeface="Times New Roman" panose="02020603050405020304" pitchFamily="18" charset="0"/>
        </a:defRPr>
      </a:pPr>
      <a:endParaRPr lang="lt-LT"/>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lt-LT"/>
              <a:t>Mokiniai, kurie gauna nemokamą maitinimą mokykloje</a:t>
            </a:r>
          </a:p>
        </c:rich>
      </c:tx>
      <c:overlay val="0"/>
      <c:spPr>
        <a:noFill/>
        <a:ln w="25400">
          <a:noFill/>
        </a:ln>
      </c:spPr>
    </c:title>
    <c:autoTitleDeleted val="0"/>
    <c:plotArea>
      <c:layout/>
      <c:barChart>
        <c:barDir val="col"/>
        <c:grouping val="clustered"/>
        <c:varyColors val="0"/>
        <c:ser>
          <c:idx val="1"/>
          <c:order val="0"/>
          <c:tx>
            <c:v>2015 m.</c:v>
          </c:tx>
          <c:spPr>
            <a:solidFill>
              <a:srgbClr val="92D05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m.'!$E$36,'2013-2015 m.'!$J$36,'2013-2015 m.'!$O$36,'2013-2015 m.'!$T$36,'2013-2015 m.'!$Y$36,'2013-2015 m.'!$AD$36,'2013-2015 m.'!$AG$36,'2013-2015 m.'!$AJ$36,'2013-2015 m.'!$AM$36)</c:f>
              <c:numCache>
                <c:formatCode>0.0</c:formatCode>
                <c:ptCount val="9"/>
                <c:pt idx="0">
                  <c:v>4.8052056394427298</c:v>
                </c:pt>
                <c:pt idx="1">
                  <c:v>18.037974683544306</c:v>
                </c:pt>
                <c:pt idx="2">
                  <c:v>45.348837209302332</c:v>
                </c:pt>
                <c:pt idx="3">
                  <c:v>5.6540084388185647</c:v>
                </c:pt>
                <c:pt idx="4">
                  <c:v>16.290868094701239</c:v>
                </c:pt>
                <c:pt idx="5">
                  <c:v>30.753138075313807</c:v>
                </c:pt>
                <c:pt idx="6">
                  <c:v>12.008238928939239</c:v>
                </c:pt>
                <c:pt idx="7">
                  <c:v>15.180265654648956</c:v>
                </c:pt>
                <c:pt idx="8">
                  <c:v>8.3385579937304062</c:v>
                </c:pt>
              </c:numCache>
            </c:numRef>
          </c:val>
        </c:ser>
        <c:ser>
          <c:idx val="0"/>
          <c:order val="1"/>
          <c:tx>
            <c:v>2014 m.</c:v>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m.'!$F$36,'2013-2015 m.'!$K$36,'2013-2015 m.'!$P$36,'2013-2015 m.'!$U$36,'2013-2015 m.'!$Z$36,'2013-2015 m.'!$AE$36,'2013-2015 m.'!$AH$36,'2013-2015 m.'!$AK$36)</c:f>
              <c:numCache>
                <c:formatCode>0.0</c:formatCode>
                <c:ptCount val="8"/>
                <c:pt idx="0">
                  <c:v>9.3452235524065479</c:v>
                </c:pt>
                <c:pt idx="1">
                  <c:v>17.579054743284598</c:v>
                </c:pt>
                <c:pt idx="2">
                  <c:v>47.727272727272734</c:v>
                </c:pt>
                <c:pt idx="3">
                  <c:v>8.2302936630602783</c:v>
                </c:pt>
                <c:pt idx="4">
                  <c:v>18.477593615715165</c:v>
                </c:pt>
                <c:pt idx="5">
                  <c:v>41.701244813278009</c:v>
                </c:pt>
                <c:pt idx="6">
                  <c:v>14.763779527559056</c:v>
                </c:pt>
                <c:pt idx="7">
                  <c:v>8.8748019017432647</c:v>
                </c:pt>
              </c:numCache>
            </c:numRef>
          </c:val>
        </c:ser>
        <c:ser>
          <c:idx val="3"/>
          <c:order val="2"/>
          <c:tx>
            <c:v>2013 m.</c:v>
          </c:tx>
          <c:spPr>
            <a:solidFill>
              <a:schemeClr val="accent2"/>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m.'!$G$36,'2013-2015 m.'!$L$36,'2013-2015 m.'!$Q$36,'2013-2015 m.'!$V$36,'2013-2015 m.'!$AA$36,'2013-2015 m.'!$AF$36,'2013-2015 m.'!$AI$36,'2013-2015 m.'!$AL$36)</c:f>
              <c:numCache>
                <c:formatCode>0.0</c:formatCode>
                <c:ptCount val="8"/>
                <c:pt idx="0">
                  <c:v>9.612320764737122</c:v>
                </c:pt>
                <c:pt idx="1">
                  <c:v>12.902519167579408</c:v>
                </c:pt>
                <c:pt idx="2">
                  <c:v>54.687500000000007</c:v>
                </c:pt>
                <c:pt idx="3">
                  <c:v>12.331011880376893</c:v>
                </c:pt>
                <c:pt idx="4">
                  <c:v>23.923051627754027</c:v>
                </c:pt>
                <c:pt idx="5">
                  <c:v>38.715277777777779</c:v>
                </c:pt>
                <c:pt idx="6">
                  <c:v>19.65508496068983</c:v>
                </c:pt>
                <c:pt idx="7">
                  <c:v>11.25</c:v>
                </c:pt>
              </c:numCache>
            </c:numRef>
          </c:val>
        </c:ser>
        <c:dLbls>
          <c:showLegendKey val="0"/>
          <c:showVal val="0"/>
          <c:showCatName val="0"/>
          <c:showSerName val="0"/>
          <c:showPercent val="0"/>
          <c:showBubbleSize val="0"/>
        </c:dLbls>
        <c:gapWidth val="150"/>
        <c:axId val="64630144"/>
        <c:axId val="64640128"/>
      </c:barChart>
      <c:catAx>
        <c:axId val="64630144"/>
        <c:scaling>
          <c:orientation val="minMax"/>
        </c:scaling>
        <c:delete val="0"/>
        <c:axPos val="b"/>
        <c:numFmt formatCode="General" sourceLinked="1"/>
        <c:majorTickMark val="none"/>
        <c:minorTickMark val="none"/>
        <c:tickLblPos val="nextTo"/>
        <c:txPr>
          <a:bodyPr rot="-2640000" vert="horz"/>
          <a:lstStyle/>
          <a:p>
            <a:pPr>
              <a:defRPr/>
            </a:pPr>
            <a:endParaRPr lang="lt-LT"/>
          </a:p>
        </c:txPr>
        <c:crossAx val="64640128"/>
        <c:crosses val="autoZero"/>
        <c:auto val="1"/>
        <c:lblAlgn val="ctr"/>
        <c:lblOffset val="100"/>
        <c:tickLblSkip val="1"/>
        <c:tickMarkSkip val="1"/>
        <c:noMultiLvlLbl val="0"/>
      </c:catAx>
      <c:valAx>
        <c:axId val="64640128"/>
        <c:scaling>
          <c:orientation val="minMax"/>
        </c:scaling>
        <c:delete val="0"/>
        <c:axPos val="l"/>
        <c:majorGridlines/>
        <c:numFmt formatCode="0.0" sourceLinked="1"/>
        <c:majorTickMark val="none"/>
        <c:minorTickMark val="none"/>
        <c:tickLblPos val="nextTo"/>
        <c:txPr>
          <a:bodyPr rot="0" vert="horz"/>
          <a:lstStyle/>
          <a:p>
            <a:pPr>
              <a:defRPr/>
            </a:pPr>
            <a:endParaRPr lang="lt-LT"/>
          </a:p>
        </c:txPr>
        <c:crossAx val="64630144"/>
        <c:crosses val="autoZero"/>
        <c:crossBetween val="between"/>
      </c:valAx>
    </c:plotArea>
    <c:legend>
      <c:legendPos val="r"/>
      <c:overlay val="0"/>
    </c:legend>
    <c:plotVisOnly val="1"/>
    <c:dispBlanksAs val="gap"/>
    <c:showDLblsOverMax val="0"/>
  </c:chart>
  <c:txPr>
    <a:bodyPr/>
    <a:lstStyle/>
    <a:p>
      <a:pPr>
        <a:defRPr sz="700">
          <a:latin typeface="Times New Roman" panose="02020603050405020304" pitchFamily="18" charset="0"/>
          <a:cs typeface="Times New Roman" panose="02020603050405020304" pitchFamily="18" charset="0"/>
        </a:defRPr>
      </a:pPr>
      <a:endParaRPr lang="lt-LT"/>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lt-LT"/>
              <a:t>Mokiniai, prastai lankantys mokyklą (praleidžia daugiau nei 30 proc. pamokų be pateisinamos priežasties per trimestrą/pusmetį)</a:t>
            </a:r>
          </a:p>
        </c:rich>
      </c:tx>
      <c:overlay val="0"/>
    </c:title>
    <c:autoTitleDeleted val="0"/>
    <c:plotArea>
      <c:layout/>
      <c:barChart>
        <c:barDir val="col"/>
        <c:grouping val="clustered"/>
        <c:varyColors val="0"/>
        <c:ser>
          <c:idx val="1"/>
          <c:order val="0"/>
          <c:tx>
            <c:v>2015 m.</c:v>
          </c:tx>
          <c:spPr>
            <a:solidFill>
              <a:srgbClr val="92D05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m.'!$E$38,'2013-2015 m.'!$J$38,'2013-2015 m.'!$O$38,'2013-2015 m.'!$T$38,'2013-2015 m.'!$Y$38,'2013-2015 m.'!$AD$38,'2013-2015 m.'!$AG$38,'2013-2015 m.'!$AJ$38,'2013-2015 m.'!$AM$38)</c:f>
              <c:numCache>
                <c:formatCode>0.0</c:formatCode>
                <c:ptCount val="9"/>
                <c:pt idx="0">
                  <c:v>0.44214565779594561</c:v>
                </c:pt>
                <c:pt idx="1">
                  <c:v>2.412974683544304</c:v>
                </c:pt>
                <c:pt idx="2">
                  <c:v>28.488372093023258</c:v>
                </c:pt>
                <c:pt idx="3">
                  <c:v>0.71729957805907174</c:v>
                </c:pt>
                <c:pt idx="4">
                  <c:v>1.1086057872980082</c:v>
                </c:pt>
                <c:pt idx="5">
                  <c:v>0</c:v>
                </c:pt>
                <c:pt idx="6">
                  <c:v>0.16477857878475799</c:v>
                </c:pt>
                <c:pt idx="7">
                  <c:v>0</c:v>
                </c:pt>
                <c:pt idx="8">
                  <c:v>0.50156739811912221</c:v>
                </c:pt>
              </c:numCache>
            </c:numRef>
          </c:val>
        </c:ser>
        <c:ser>
          <c:idx val="0"/>
          <c:order val="1"/>
          <c:tx>
            <c:v>2014 m.</c:v>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m.'!$F$38,'2013-2015 m.'!$K$38,'2013-2015 m.'!$P$38,'2013-2015 m.'!$U$38,'2013-2015 m.'!$Z$38,'2013-2015 m.'!$AE$38,'2013-2015 m.'!$AH$38,'2013-2015 m.'!$AK$38)</c:f>
              <c:numCache>
                <c:formatCode>0.0</c:formatCode>
                <c:ptCount val="8"/>
                <c:pt idx="0">
                  <c:v>1.6369411189836305</c:v>
                </c:pt>
                <c:pt idx="1">
                  <c:v>1.2325739544372663</c:v>
                </c:pt>
                <c:pt idx="2">
                  <c:v>47.727272727272734</c:v>
                </c:pt>
                <c:pt idx="3">
                  <c:v>7.7279752704791344E-2</c:v>
                </c:pt>
                <c:pt idx="4">
                  <c:v>0.82872928176795579</c:v>
                </c:pt>
                <c:pt idx="5">
                  <c:v>0.41493775933609961</c:v>
                </c:pt>
                <c:pt idx="6">
                  <c:v>0.3093363329583802</c:v>
                </c:pt>
                <c:pt idx="7">
                  <c:v>0</c:v>
                </c:pt>
              </c:numCache>
            </c:numRef>
          </c:val>
        </c:ser>
        <c:ser>
          <c:idx val="3"/>
          <c:order val="2"/>
          <c:tx>
            <c:v>2013 m.</c:v>
          </c:tx>
          <c:spPr>
            <a:solidFill>
              <a:schemeClr val="accent2"/>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m.'!$G$38,'2013-2015 m.'!$L$38,'2013-2015 m.'!$Q$38,'2013-2015 m.'!$V$38,'2013-2015 m.'!$AA$38,'2013-2015 m.'!$AF$38,'2013-2015 m.'!$AI$38,'2013-2015 m.'!$AL$38)</c:f>
              <c:numCache>
                <c:formatCode>0.0</c:formatCode>
                <c:ptCount val="8"/>
                <c:pt idx="0">
                  <c:v>0.84970791290493897</c:v>
                </c:pt>
                <c:pt idx="1">
                  <c:v>0.82146768893756839</c:v>
                </c:pt>
                <c:pt idx="2">
                  <c:v>48.958333333333336</c:v>
                </c:pt>
                <c:pt idx="3">
                  <c:v>4.0966816878328552E-2</c:v>
                </c:pt>
                <c:pt idx="4">
                  <c:v>1.8086155869779679</c:v>
                </c:pt>
                <c:pt idx="5">
                  <c:v>2.4305555555555554</c:v>
                </c:pt>
                <c:pt idx="6">
                  <c:v>0.12680699974638601</c:v>
                </c:pt>
                <c:pt idx="7">
                  <c:v>0</c:v>
                </c:pt>
              </c:numCache>
            </c:numRef>
          </c:val>
        </c:ser>
        <c:dLbls>
          <c:showLegendKey val="0"/>
          <c:showVal val="0"/>
          <c:showCatName val="0"/>
          <c:showSerName val="0"/>
          <c:showPercent val="0"/>
          <c:showBubbleSize val="0"/>
        </c:dLbls>
        <c:gapWidth val="150"/>
        <c:axId val="64700416"/>
        <c:axId val="64701952"/>
      </c:barChart>
      <c:catAx>
        <c:axId val="64700416"/>
        <c:scaling>
          <c:orientation val="minMax"/>
        </c:scaling>
        <c:delete val="0"/>
        <c:axPos val="b"/>
        <c:numFmt formatCode="General" sourceLinked="1"/>
        <c:majorTickMark val="none"/>
        <c:minorTickMark val="none"/>
        <c:tickLblPos val="nextTo"/>
        <c:txPr>
          <a:bodyPr rot="-2640000" vert="horz"/>
          <a:lstStyle/>
          <a:p>
            <a:pPr>
              <a:defRPr/>
            </a:pPr>
            <a:endParaRPr lang="lt-LT"/>
          </a:p>
        </c:txPr>
        <c:crossAx val="64701952"/>
        <c:crosses val="autoZero"/>
        <c:auto val="1"/>
        <c:lblAlgn val="ctr"/>
        <c:lblOffset val="100"/>
        <c:tickLblSkip val="1"/>
        <c:tickMarkSkip val="1"/>
        <c:noMultiLvlLbl val="0"/>
      </c:catAx>
      <c:valAx>
        <c:axId val="64701952"/>
        <c:scaling>
          <c:orientation val="minMax"/>
        </c:scaling>
        <c:delete val="0"/>
        <c:axPos val="l"/>
        <c:majorGridlines/>
        <c:numFmt formatCode="0.0" sourceLinked="1"/>
        <c:majorTickMark val="none"/>
        <c:minorTickMark val="none"/>
        <c:tickLblPos val="nextTo"/>
        <c:txPr>
          <a:bodyPr rot="0" vert="horz"/>
          <a:lstStyle/>
          <a:p>
            <a:pPr>
              <a:defRPr/>
            </a:pPr>
            <a:endParaRPr lang="lt-LT"/>
          </a:p>
        </c:txPr>
        <c:crossAx val="64700416"/>
        <c:crosses val="autoZero"/>
        <c:crossBetween val="between"/>
      </c:valAx>
    </c:plotArea>
    <c:legend>
      <c:legendPos val="r"/>
      <c:overlay val="0"/>
    </c:legend>
    <c:plotVisOnly val="1"/>
    <c:dispBlanksAs val="gap"/>
    <c:showDLblsOverMax val="0"/>
  </c:chart>
  <c:txPr>
    <a:bodyPr/>
    <a:lstStyle/>
    <a:p>
      <a:pPr>
        <a:defRPr sz="700">
          <a:latin typeface="Times New Roman" panose="02020603050405020304" pitchFamily="18" charset="0"/>
          <a:cs typeface="Times New Roman" panose="02020603050405020304" pitchFamily="18" charset="0"/>
        </a:defRPr>
      </a:pPr>
      <a:endParaRPr lang="lt-LT"/>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lt-LT"/>
              <a:t>Mokiniai, turintys elgesio problemų</a:t>
            </a:r>
          </a:p>
        </c:rich>
      </c:tx>
      <c:overlay val="0"/>
      <c:spPr>
        <a:noFill/>
        <a:ln w="25400">
          <a:noFill/>
        </a:ln>
      </c:spPr>
    </c:title>
    <c:autoTitleDeleted val="0"/>
    <c:plotArea>
      <c:layout/>
      <c:barChart>
        <c:barDir val="col"/>
        <c:grouping val="clustered"/>
        <c:varyColors val="0"/>
        <c:ser>
          <c:idx val="1"/>
          <c:order val="0"/>
          <c:tx>
            <c:v>2015 m.</c:v>
          </c:tx>
          <c:spPr>
            <a:solidFill>
              <a:srgbClr val="92D05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m.'!$E$39,'2013-2015 m.'!$J$39,'2013-2015 m.'!$O$39,'2013-2015 m.'!$T$39,'2013-2015 m.'!$Y$39,'2013-2015 m.'!$AD$39,'2013-2015 m.'!$AG$39,'2013-2015 m.'!$AJ$39,'2013-2015 m.'!$AM$39)</c:f>
              <c:numCache>
                <c:formatCode>0.0</c:formatCode>
                <c:ptCount val="9"/>
                <c:pt idx="0">
                  <c:v>0.94268791190456336</c:v>
                </c:pt>
                <c:pt idx="1">
                  <c:v>4.46993670886076</c:v>
                </c:pt>
                <c:pt idx="2">
                  <c:v>34.883720930232563</c:v>
                </c:pt>
                <c:pt idx="3">
                  <c:v>2.2784810126582276</c:v>
                </c:pt>
                <c:pt idx="4">
                  <c:v>3.9834648628335212</c:v>
                </c:pt>
                <c:pt idx="5">
                  <c:v>3.7656903765690375</c:v>
                </c:pt>
                <c:pt idx="6">
                  <c:v>3.5427394438722968</c:v>
                </c:pt>
                <c:pt idx="7">
                  <c:v>1.5180265654648957</c:v>
                </c:pt>
                <c:pt idx="8">
                  <c:v>1.2539184952978055</c:v>
                </c:pt>
              </c:numCache>
            </c:numRef>
          </c:val>
        </c:ser>
        <c:ser>
          <c:idx val="0"/>
          <c:order val="1"/>
          <c:tx>
            <c:v>2014 m.</c:v>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m.'!$F$39,'2013-2015 m.'!$K$39,'2013-2015 m.'!$P$39,'2013-2015 m.'!$U$39,'2013-2015 m.'!$Z$39,'2013-2015 m.'!$AE$39,'2013-2015 m.'!$AH$39,'2013-2015 m.'!$AK$39)</c:f>
              <c:numCache>
                <c:formatCode>0.0</c:formatCode>
                <c:ptCount val="8"/>
                <c:pt idx="0">
                  <c:v>1.6491570974835084</c:v>
                </c:pt>
                <c:pt idx="1">
                  <c:v>3.6382182930975859</c:v>
                </c:pt>
                <c:pt idx="2">
                  <c:v>52.27272727272728</c:v>
                </c:pt>
                <c:pt idx="3">
                  <c:v>2.472952086553323</c:v>
                </c:pt>
                <c:pt idx="4">
                  <c:v>3.4683855125844079</c:v>
                </c:pt>
                <c:pt idx="5">
                  <c:v>10.78838174273859</c:v>
                </c:pt>
                <c:pt idx="6">
                  <c:v>3.4026996625421821</c:v>
                </c:pt>
                <c:pt idx="7">
                  <c:v>0.31695721077654515</c:v>
                </c:pt>
              </c:numCache>
            </c:numRef>
          </c:val>
        </c:ser>
        <c:ser>
          <c:idx val="3"/>
          <c:order val="2"/>
          <c:tx>
            <c:v>2013 m.</c:v>
          </c:tx>
          <c:spPr>
            <a:solidFill>
              <a:schemeClr val="accent2"/>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m.'!$G$39,'2013-2015 m.'!$L$39,'2013-2015 m.'!$Q$39,'2013-2015 m.'!$V$39,'2013-2015 m.'!$AA$39,'2013-2015 m.'!$AF$39,'2013-2015 m.'!$AI$39,'2013-2015 m.'!$AL$39)</c:f>
              <c:numCache>
                <c:formatCode>0.0</c:formatCode>
                <c:ptCount val="8"/>
                <c:pt idx="0">
                  <c:v>1.0090281465746149</c:v>
                </c:pt>
                <c:pt idx="1">
                  <c:v>2.0700985761226725</c:v>
                </c:pt>
                <c:pt idx="2">
                  <c:v>59.375000000000007</c:v>
                </c:pt>
                <c:pt idx="3">
                  <c:v>4.0147480540761977</c:v>
                </c:pt>
                <c:pt idx="4">
                  <c:v>4.817494245314041</c:v>
                </c:pt>
                <c:pt idx="5">
                  <c:v>26.909722222222221</c:v>
                </c:pt>
                <c:pt idx="6">
                  <c:v>3.525234592949531</c:v>
                </c:pt>
                <c:pt idx="7">
                  <c:v>0.78125</c:v>
                </c:pt>
              </c:numCache>
            </c:numRef>
          </c:val>
        </c:ser>
        <c:dLbls>
          <c:showLegendKey val="0"/>
          <c:showVal val="0"/>
          <c:showCatName val="0"/>
          <c:showSerName val="0"/>
          <c:showPercent val="0"/>
          <c:showBubbleSize val="0"/>
        </c:dLbls>
        <c:gapWidth val="150"/>
        <c:axId val="73617792"/>
        <c:axId val="73619328"/>
      </c:barChart>
      <c:catAx>
        <c:axId val="73617792"/>
        <c:scaling>
          <c:orientation val="minMax"/>
        </c:scaling>
        <c:delete val="0"/>
        <c:axPos val="b"/>
        <c:numFmt formatCode="General" sourceLinked="1"/>
        <c:majorTickMark val="none"/>
        <c:minorTickMark val="none"/>
        <c:tickLblPos val="nextTo"/>
        <c:txPr>
          <a:bodyPr rot="-2640000" vert="horz"/>
          <a:lstStyle/>
          <a:p>
            <a:pPr>
              <a:defRPr/>
            </a:pPr>
            <a:endParaRPr lang="lt-LT"/>
          </a:p>
        </c:txPr>
        <c:crossAx val="73619328"/>
        <c:crosses val="autoZero"/>
        <c:auto val="1"/>
        <c:lblAlgn val="ctr"/>
        <c:lblOffset val="100"/>
        <c:tickLblSkip val="1"/>
        <c:tickMarkSkip val="1"/>
        <c:noMultiLvlLbl val="0"/>
      </c:catAx>
      <c:valAx>
        <c:axId val="73619328"/>
        <c:scaling>
          <c:orientation val="minMax"/>
        </c:scaling>
        <c:delete val="0"/>
        <c:axPos val="l"/>
        <c:majorGridlines/>
        <c:numFmt formatCode="0.0" sourceLinked="1"/>
        <c:majorTickMark val="none"/>
        <c:minorTickMark val="none"/>
        <c:tickLblPos val="nextTo"/>
        <c:txPr>
          <a:bodyPr rot="0" vert="horz"/>
          <a:lstStyle/>
          <a:p>
            <a:pPr>
              <a:defRPr/>
            </a:pPr>
            <a:endParaRPr lang="lt-LT"/>
          </a:p>
        </c:txPr>
        <c:crossAx val="73617792"/>
        <c:crosses val="autoZero"/>
        <c:crossBetween val="between"/>
      </c:valAx>
    </c:plotArea>
    <c:legend>
      <c:legendPos val="r"/>
      <c:overlay val="0"/>
    </c:legend>
    <c:plotVisOnly val="1"/>
    <c:dispBlanksAs val="gap"/>
    <c:showDLblsOverMax val="0"/>
  </c:chart>
  <c:txPr>
    <a:bodyPr/>
    <a:lstStyle/>
    <a:p>
      <a:pPr>
        <a:defRPr sz="700">
          <a:latin typeface="Times New Roman" panose="02020603050405020304" pitchFamily="18" charset="0"/>
          <a:cs typeface="Times New Roman" panose="02020603050405020304" pitchFamily="18" charset="0"/>
        </a:defRPr>
      </a:pPr>
      <a:endParaRPr lang="lt-LT"/>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lt-LT"/>
              <a:t>Mokiniai, turintys žalingų įpročių</a:t>
            </a:r>
          </a:p>
        </c:rich>
      </c:tx>
      <c:overlay val="0"/>
      <c:spPr>
        <a:noFill/>
        <a:ln w="25400">
          <a:noFill/>
        </a:ln>
      </c:spPr>
    </c:title>
    <c:autoTitleDeleted val="0"/>
    <c:plotArea>
      <c:layout/>
      <c:barChart>
        <c:barDir val="col"/>
        <c:grouping val="clustered"/>
        <c:varyColors val="0"/>
        <c:ser>
          <c:idx val="1"/>
          <c:order val="0"/>
          <c:tx>
            <c:v>2015 m.</c:v>
          </c:tx>
          <c:spPr>
            <a:solidFill>
              <a:srgbClr val="92D05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m.'!$E$40,'2013-2015 m.'!$J$40,'2013-2015 m.'!$O$40,'2013-2015 m.'!$T$40,'2013-2015 m.'!$Y$40,'2013-2015 m.'!$AD$40,'2013-2015 m.'!$AG$40,'2013-2015 m.'!$AJ$40,'2013-2015 m.'!$AM$40)</c:f>
              <c:numCache>
                <c:formatCode>0.0</c:formatCode>
                <c:ptCount val="9"/>
                <c:pt idx="0">
                  <c:v>1.8520063402018854</c:v>
                </c:pt>
                <c:pt idx="1">
                  <c:v>2.6503164556962027</c:v>
                </c:pt>
                <c:pt idx="2">
                  <c:v>71.511627906976742</c:v>
                </c:pt>
                <c:pt idx="3">
                  <c:v>0</c:v>
                </c:pt>
                <c:pt idx="4">
                  <c:v>1.2965050732807215</c:v>
                </c:pt>
                <c:pt idx="5">
                  <c:v>0.83682008368200833</c:v>
                </c:pt>
                <c:pt idx="6">
                  <c:v>0.12358393408856849</c:v>
                </c:pt>
                <c:pt idx="7">
                  <c:v>0</c:v>
                </c:pt>
                <c:pt idx="8">
                  <c:v>1.128526645768025</c:v>
                </c:pt>
              </c:numCache>
            </c:numRef>
          </c:val>
        </c:ser>
        <c:ser>
          <c:idx val="0"/>
          <c:order val="1"/>
          <c:tx>
            <c:v>2014 m.</c:v>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m.'!$F$40,'2013-2015 m.'!$K$40,'2013-2015 m.'!$P$40,'2013-2015 m.'!$U$40,'2013-2015 m.'!$Z$40,'2013-2015 m.'!$AE$40,'2013-2015 m.'!$AH$40,'2013-2015 m.'!$AK$40)</c:f>
              <c:numCache>
                <c:formatCode>0.0</c:formatCode>
                <c:ptCount val="8"/>
                <c:pt idx="0">
                  <c:v>2.5653554849743463</c:v>
                </c:pt>
                <c:pt idx="1">
                  <c:v>2.3206392383543015</c:v>
                </c:pt>
                <c:pt idx="2">
                  <c:v>81.250000000000014</c:v>
                </c:pt>
                <c:pt idx="3">
                  <c:v>0</c:v>
                </c:pt>
                <c:pt idx="4">
                  <c:v>1.3505217925107429</c:v>
                </c:pt>
                <c:pt idx="5">
                  <c:v>0.62240663900414939</c:v>
                </c:pt>
                <c:pt idx="6">
                  <c:v>0.1124859392575928</c:v>
                </c:pt>
                <c:pt idx="7">
                  <c:v>0</c:v>
                </c:pt>
              </c:numCache>
            </c:numRef>
          </c:val>
        </c:ser>
        <c:ser>
          <c:idx val="3"/>
          <c:order val="2"/>
          <c:tx>
            <c:v>2013 m.</c:v>
          </c:tx>
          <c:spPr>
            <a:solidFill>
              <a:schemeClr val="accent2"/>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m.'!$G$40,'2013-2015 m.'!$L$40,'2013-2015 m.'!$Q$40,'2013-2015 m.'!$V$40,'2013-2015 m.'!$AA$40,'2013-2015 m.'!$AF$40,'2013-2015 m.'!$AI$40,'2013-2015 m.'!$AL$40)</c:f>
              <c:numCache>
                <c:formatCode>0.0</c:formatCode>
                <c:ptCount val="8"/>
                <c:pt idx="0">
                  <c:v>0.13276686139139671</c:v>
                </c:pt>
                <c:pt idx="1">
                  <c:v>0.42168674698795178</c:v>
                </c:pt>
                <c:pt idx="2">
                  <c:v>10.9375</c:v>
                </c:pt>
                <c:pt idx="3">
                  <c:v>0</c:v>
                </c:pt>
                <c:pt idx="4">
                  <c:v>1.47977638934561</c:v>
                </c:pt>
                <c:pt idx="5">
                  <c:v>1.3888888888888888</c:v>
                </c:pt>
                <c:pt idx="6">
                  <c:v>0.10144559979710881</c:v>
                </c:pt>
                <c:pt idx="7">
                  <c:v>0</c:v>
                </c:pt>
              </c:numCache>
            </c:numRef>
          </c:val>
        </c:ser>
        <c:dLbls>
          <c:showLegendKey val="0"/>
          <c:showVal val="0"/>
          <c:showCatName val="0"/>
          <c:showSerName val="0"/>
          <c:showPercent val="0"/>
          <c:showBubbleSize val="0"/>
        </c:dLbls>
        <c:gapWidth val="150"/>
        <c:axId val="97526528"/>
        <c:axId val="97528064"/>
      </c:barChart>
      <c:catAx>
        <c:axId val="97526528"/>
        <c:scaling>
          <c:orientation val="minMax"/>
        </c:scaling>
        <c:delete val="0"/>
        <c:axPos val="b"/>
        <c:numFmt formatCode="General" sourceLinked="1"/>
        <c:majorTickMark val="none"/>
        <c:minorTickMark val="none"/>
        <c:tickLblPos val="nextTo"/>
        <c:txPr>
          <a:bodyPr rot="-2640000" vert="horz"/>
          <a:lstStyle/>
          <a:p>
            <a:pPr>
              <a:defRPr/>
            </a:pPr>
            <a:endParaRPr lang="lt-LT"/>
          </a:p>
        </c:txPr>
        <c:crossAx val="97528064"/>
        <c:crosses val="autoZero"/>
        <c:auto val="1"/>
        <c:lblAlgn val="ctr"/>
        <c:lblOffset val="100"/>
        <c:tickLblSkip val="1"/>
        <c:tickMarkSkip val="1"/>
        <c:noMultiLvlLbl val="0"/>
      </c:catAx>
      <c:valAx>
        <c:axId val="97528064"/>
        <c:scaling>
          <c:orientation val="minMax"/>
        </c:scaling>
        <c:delete val="0"/>
        <c:axPos val="l"/>
        <c:majorGridlines/>
        <c:numFmt formatCode="0.0" sourceLinked="1"/>
        <c:majorTickMark val="none"/>
        <c:minorTickMark val="none"/>
        <c:tickLblPos val="nextTo"/>
        <c:txPr>
          <a:bodyPr rot="0" vert="horz"/>
          <a:lstStyle/>
          <a:p>
            <a:pPr>
              <a:defRPr/>
            </a:pPr>
            <a:endParaRPr lang="lt-LT"/>
          </a:p>
        </c:txPr>
        <c:crossAx val="97526528"/>
        <c:crosses val="autoZero"/>
        <c:crossBetween val="between"/>
      </c:valAx>
    </c:plotArea>
    <c:legend>
      <c:legendPos val="r"/>
      <c:overlay val="0"/>
    </c:legend>
    <c:plotVisOnly val="1"/>
    <c:dispBlanksAs val="gap"/>
    <c:showDLblsOverMax val="0"/>
  </c:chart>
  <c:txPr>
    <a:bodyPr/>
    <a:lstStyle/>
    <a:p>
      <a:pPr>
        <a:defRPr sz="700">
          <a:latin typeface="Times New Roman" panose="02020603050405020304" pitchFamily="18" charset="0"/>
          <a:cs typeface="Times New Roman" panose="02020603050405020304" pitchFamily="18" charset="0"/>
        </a:defRPr>
      </a:pPr>
      <a:endParaRPr lang="lt-LT"/>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lt-LT"/>
              <a:t>Mokiniai, augantys šeimose, kuriose dėl tėvystės / socialinių įgūdžių stokos, vaikai yra neprižiūrimi</a:t>
            </a:r>
          </a:p>
        </c:rich>
      </c:tx>
      <c:overlay val="0"/>
      <c:spPr>
        <a:noFill/>
        <a:ln w="25400">
          <a:noFill/>
        </a:ln>
      </c:spPr>
    </c:title>
    <c:autoTitleDeleted val="0"/>
    <c:plotArea>
      <c:layout/>
      <c:barChart>
        <c:barDir val="col"/>
        <c:grouping val="clustered"/>
        <c:varyColors val="0"/>
        <c:ser>
          <c:idx val="1"/>
          <c:order val="0"/>
          <c:tx>
            <c:v>2015 m.</c:v>
          </c:tx>
          <c:spPr>
            <a:solidFill>
              <a:srgbClr val="92D05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m.'!$E$41,'2013-2015 m.'!$J$41,'2013-2015 m.'!$O$41,'2013-2015 m.'!$T$41,'2013-2015 m.'!$Y$41,'2013-2015 m.'!$AD$41,'2013-2015 m.'!$AG$41,'2013-2015 m.'!$AJ$41,'2013-2015 m.'!$AM$41)</c:f>
              <c:numCache>
                <c:formatCode>0.0</c:formatCode>
                <c:ptCount val="9"/>
                <c:pt idx="0">
                  <c:v>3.3369483607241179E-2</c:v>
                </c:pt>
                <c:pt idx="1">
                  <c:v>1.9382911392405064</c:v>
                </c:pt>
                <c:pt idx="2">
                  <c:v>1.7441860465116279</c:v>
                </c:pt>
                <c:pt idx="3">
                  <c:v>8.4388185654008435E-2</c:v>
                </c:pt>
                <c:pt idx="4">
                  <c:v>0.75159714393085308</c:v>
                </c:pt>
                <c:pt idx="5">
                  <c:v>8.99581589958159</c:v>
                </c:pt>
                <c:pt idx="6">
                  <c:v>0.94747682801235844</c:v>
                </c:pt>
                <c:pt idx="7">
                  <c:v>1.1385199240986719</c:v>
                </c:pt>
                <c:pt idx="8">
                  <c:v>0</c:v>
                </c:pt>
              </c:numCache>
            </c:numRef>
          </c:val>
        </c:ser>
        <c:ser>
          <c:idx val="0"/>
          <c:order val="1"/>
          <c:tx>
            <c:v>2014 m.</c:v>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m.'!$F$41,'2013-2015 m.'!$K$41,'2013-2015 m.'!$P$41,'2013-2015 m.'!$U$41,'2013-2015 m.'!$Z$41,'2013-2015 m.'!$AE$41,'2013-2015 m.'!$AH$41,'2013-2015 m.'!$AK$41)</c:f>
              <c:numCache>
                <c:formatCode>0.0</c:formatCode>
                <c:ptCount val="8"/>
                <c:pt idx="0">
                  <c:v>0</c:v>
                </c:pt>
                <c:pt idx="1">
                  <c:v>1.3600816048962938</c:v>
                </c:pt>
                <c:pt idx="2">
                  <c:v>2.8409090909090913</c:v>
                </c:pt>
                <c:pt idx="3">
                  <c:v>7.7279752704791344E-2</c:v>
                </c:pt>
                <c:pt idx="4">
                  <c:v>1.1663597298956416</c:v>
                </c:pt>
                <c:pt idx="5">
                  <c:v>3.3195020746887969</c:v>
                </c:pt>
                <c:pt idx="6">
                  <c:v>1.0404949381327333</c:v>
                </c:pt>
                <c:pt idx="7">
                  <c:v>0</c:v>
                </c:pt>
              </c:numCache>
            </c:numRef>
          </c:val>
        </c:ser>
        <c:ser>
          <c:idx val="3"/>
          <c:order val="2"/>
          <c:tx>
            <c:v>2013 m.</c:v>
          </c:tx>
          <c:spPr>
            <a:solidFill>
              <a:schemeClr val="accent2"/>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m.'!$G$41,'2013-2015 m.'!$L$41,'2013-2015 m.'!$Q$41,'2013-2015 m.'!$V$41,'2013-2015 m.'!$AA$41,'2013-2015 m.'!$AF$41,'2013-2015 m.'!$AI$41,'2013-2015 m.'!$AL$41)</c:f>
              <c:numCache>
                <c:formatCode>0.0</c:formatCode>
                <c:ptCount val="8"/>
                <c:pt idx="0">
                  <c:v>7.9660116834838035E-2</c:v>
                </c:pt>
                <c:pt idx="1">
                  <c:v>0.61883899233296824</c:v>
                </c:pt>
                <c:pt idx="2">
                  <c:v>6.25</c:v>
                </c:pt>
                <c:pt idx="3">
                  <c:v>8.1933633756657104E-2</c:v>
                </c:pt>
                <c:pt idx="4">
                  <c:v>1.6770799079250247</c:v>
                </c:pt>
                <c:pt idx="5">
                  <c:v>4.8611111111111107</c:v>
                </c:pt>
                <c:pt idx="6">
                  <c:v>0.88764899822470211</c:v>
                </c:pt>
                <c:pt idx="7">
                  <c:v>0.15625</c:v>
                </c:pt>
              </c:numCache>
            </c:numRef>
          </c:val>
        </c:ser>
        <c:dLbls>
          <c:showLegendKey val="0"/>
          <c:showVal val="0"/>
          <c:showCatName val="0"/>
          <c:showSerName val="0"/>
          <c:showPercent val="0"/>
          <c:showBubbleSize val="0"/>
        </c:dLbls>
        <c:gapWidth val="150"/>
        <c:axId val="127861888"/>
        <c:axId val="127863424"/>
      </c:barChart>
      <c:catAx>
        <c:axId val="127861888"/>
        <c:scaling>
          <c:orientation val="minMax"/>
        </c:scaling>
        <c:delete val="0"/>
        <c:axPos val="b"/>
        <c:numFmt formatCode="General" sourceLinked="1"/>
        <c:majorTickMark val="none"/>
        <c:minorTickMark val="none"/>
        <c:tickLblPos val="nextTo"/>
        <c:txPr>
          <a:bodyPr rot="-2640000" vert="horz"/>
          <a:lstStyle/>
          <a:p>
            <a:pPr>
              <a:defRPr/>
            </a:pPr>
            <a:endParaRPr lang="lt-LT"/>
          </a:p>
        </c:txPr>
        <c:crossAx val="127863424"/>
        <c:crosses val="autoZero"/>
        <c:auto val="1"/>
        <c:lblAlgn val="ctr"/>
        <c:lblOffset val="100"/>
        <c:tickLblSkip val="1"/>
        <c:tickMarkSkip val="1"/>
        <c:noMultiLvlLbl val="0"/>
      </c:catAx>
      <c:valAx>
        <c:axId val="127863424"/>
        <c:scaling>
          <c:orientation val="minMax"/>
        </c:scaling>
        <c:delete val="0"/>
        <c:axPos val="l"/>
        <c:majorGridlines/>
        <c:numFmt formatCode="0.0" sourceLinked="1"/>
        <c:majorTickMark val="none"/>
        <c:minorTickMark val="none"/>
        <c:tickLblPos val="nextTo"/>
        <c:txPr>
          <a:bodyPr rot="0" vert="horz"/>
          <a:lstStyle/>
          <a:p>
            <a:pPr>
              <a:defRPr/>
            </a:pPr>
            <a:endParaRPr lang="lt-LT"/>
          </a:p>
        </c:txPr>
        <c:crossAx val="127861888"/>
        <c:crosses val="autoZero"/>
        <c:crossBetween val="between"/>
      </c:valAx>
    </c:plotArea>
    <c:legend>
      <c:legendPos val="r"/>
      <c:overlay val="0"/>
    </c:legend>
    <c:plotVisOnly val="1"/>
    <c:dispBlanksAs val="gap"/>
    <c:showDLblsOverMax val="0"/>
  </c:chart>
  <c:txPr>
    <a:bodyPr/>
    <a:lstStyle/>
    <a:p>
      <a:pPr>
        <a:defRPr sz="700">
          <a:latin typeface="Times New Roman" panose="02020603050405020304" pitchFamily="18" charset="0"/>
          <a:cs typeface="Times New Roman" panose="02020603050405020304" pitchFamily="18" charset="0"/>
        </a:defRPr>
      </a:pPr>
      <a:endParaRPr lang="lt-LT"/>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lt-LT"/>
              <a:t>Mokiniai, augantys daugiavaikėse šeimose</a:t>
            </a:r>
          </a:p>
        </c:rich>
      </c:tx>
      <c:overlay val="0"/>
    </c:title>
    <c:autoTitleDeleted val="0"/>
    <c:plotArea>
      <c:layout/>
      <c:barChart>
        <c:barDir val="col"/>
        <c:grouping val="clustered"/>
        <c:varyColors val="0"/>
        <c:ser>
          <c:idx val="1"/>
          <c:order val="0"/>
          <c:tx>
            <c:v>2015 m.</c:v>
          </c:tx>
          <c:spPr>
            <a:solidFill>
              <a:srgbClr val="92D05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m.'!$E$26,'2013-2015 m.'!$J$26,'2013-2015 m.'!$O$26,'2013-2015 m.'!$T$26,'2013-2015 m.'!$Y$26,'2013-2015 m.'!$AD$26,'2013-2015 m.'!$AG$26,'2013-2015 m.'!$AJ$26,'2013-2015 m.'!$AM$26)</c:f>
              <c:numCache>
                <c:formatCode>0.0</c:formatCode>
                <c:ptCount val="9"/>
                <c:pt idx="0">
                  <c:v>7.4747643280220242</c:v>
                </c:pt>
                <c:pt idx="1">
                  <c:v>14.675632911392405</c:v>
                </c:pt>
                <c:pt idx="2">
                  <c:v>36.627906976744185</c:v>
                </c:pt>
                <c:pt idx="3">
                  <c:v>17.257383966244724</c:v>
                </c:pt>
                <c:pt idx="4">
                  <c:v>11.724915445321308</c:v>
                </c:pt>
                <c:pt idx="5">
                  <c:v>21.548117154811713</c:v>
                </c:pt>
                <c:pt idx="6">
                  <c:v>14.933058702368692</c:v>
                </c:pt>
                <c:pt idx="7">
                  <c:v>18.026565464895636</c:v>
                </c:pt>
                <c:pt idx="8">
                  <c:v>15.235109717868337</c:v>
                </c:pt>
              </c:numCache>
            </c:numRef>
          </c:val>
        </c:ser>
        <c:ser>
          <c:idx val="0"/>
          <c:order val="1"/>
          <c:tx>
            <c:v>2014 m.</c:v>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m.'!$F$26,'2013-2015 m.'!$K$26,'2013-2015 m.'!$P$26,'2013-2015 m.'!$U$26,'2013-2015 m.'!$Z$26,'2013-2015 m.'!$AE$26,'2013-2015 m.'!$AH$26,'2013-2015 m.'!$AK$26)</c:f>
              <c:numCache>
                <c:formatCode>0.0</c:formatCode>
                <c:ptCount val="8"/>
                <c:pt idx="0">
                  <c:v>11.018812606889812</c:v>
                </c:pt>
                <c:pt idx="1">
                  <c:v>14.867392043522612</c:v>
                </c:pt>
                <c:pt idx="2">
                  <c:v>46.022727272727273</c:v>
                </c:pt>
                <c:pt idx="3">
                  <c:v>17.001545595054097</c:v>
                </c:pt>
                <c:pt idx="4">
                  <c:v>11.172498465316146</c:v>
                </c:pt>
                <c:pt idx="5">
                  <c:v>17.634854771784234</c:v>
                </c:pt>
                <c:pt idx="6">
                  <c:v>26.602924634420699</c:v>
                </c:pt>
                <c:pt idx="7">
                  <c:v>15.689381933438986</c:v>
                </c:pt>
              </c:numCache>
            </c:numRef>
          </c:val>
        </c:ser>
        <c:ser>
          <c:idx val="3"/>
          <c:order val="2"/>
          <c:tx>
            <c:v>2013 m.</c:v>
          </c:tx>
          <c:spPr>
            <a:solidFill>
              <a:schemeClr val="accent2"/>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m.'!$G$26,'2013-2015 m.'!$L$26,'2013-2015 m.'!$Q$26,'2013-2015 m.'!$V$26,'2013-2015 m.'!$AA$26,'2013-2015 m.'!$AF$26,'2013-2015 m.'!$AI$26,'2013-2015 m.'!$AL$26)</c:f>
              <c:numCache>
                <c:formatCode>0.0</c:formatCode>
                <c:ptCount val="8"/>
                <c:pt idx="0">
                  <c:v>11.28518321826872</c:v>
                </c:pt>
                <c:pt idx="1">
                  <c:v>8.3296823658269439</c:v>
                </c:pt>
                <c:pt idx="2">
                  <c:v>41.666666666666671</c:v>
                </c:pt>
                <c:pt idx="3">
                  <c:v>17.001229004506349</c:v>
                </c:pt>
                <c:pt idx="4">
                  <c:v>12.446563630384741</c:v>
                </c:pt>
                <c:pt idx="5">
                  <c:v>21.180555555555554</c:v>
                </c:pt>
                <c:pt idx="6">
                  <c:v>17.017499365965001</c:v>
                </c:pt>
                <c:pt idx="7">
                  <c:v>15.46875</c:v>
                </c:pt>
              </c:numCache>
            </c:numRef>
          </c:val>
        </c:ser>
        <c:dLbls>
          <c:showLegendKey val="0"/>
          <c:showVal val="0"/>
          <c:showCatName val="0"/>
          <c:showSerName val="0"/>
          <c:showPercent val="0"/>
          <c:showBubbleSize val="0"/>
        </c:dLbls>
        <c:gapWidth val="150"/>
        <c:axId val="64070784"/>
        <c:axId val="64072320"/>
      </c:barChart>
      <c:catAx>
        <c:axId val="64070784"/>
        <c:scaling>
          <c:orientation val="minMax"/>
        </c:scaling>
        <c:delete val="0"/>
        <c:axPos val="b"/>
        <c:numFmt formatCode="General" sourceLinked="1"/>
        <c:majorTickMark val="none"/>
        <c:minorTickMark val="none"/>
        <c:tickLblPos val="nextTo"/>
        <c:txPr>
          <a:bodyPr rot="-2640000" vert="horz"/>
          <a:lstStyle/>
          <a:p>
            <a:pPr>
              <a:defRPr/>
            </a:pPr>
            <a:endParaRPr lang="lt-LT"/>
          </a:p>
        </c:txPr>
        <c:crossAx val="64072320"/>
        <c:crosses val="autoZero"/>
        <c:auto val="1"/>
        <c:lblAlgn val="ctr"/>
        <c:lblOffset val="100"/>
        <c:tickLblSkip val="1"/>
        <c:tickMarkSkip val="1"/>
        <c:noMultiLvlLbl val="0"/>
      </c:catAx>
      <c:valAx>
        <c:axId val="64072320"/>
        <c:scaling>
          <c:orientation val="minMax"/>
        </c:scaling>
        <c:delete val="0"/>
        <c:axPos val="l"/>
        <c:majorGridlines/>
        <c:numFmt formatCode="0.0" sourceLinked="1"/>
        <c:majorTickMark val="none"/>
        <c:minorTickMark val="none"/>
        <c:tickLblPos val="nextTo"/>
        <c:txPr>
          <a:bodyPr rot="0" vert="horz"/>
          <a:lstStyle/>
          <a:p>
            <a:pPr>
              <a:defRPr/>
            </a:pPr>
            <a:endParaRPr lang="lt-LT"/>
          </a:p>
        </c:txPr>
        <c:crossAx val="64070784"/>
        <c:crosses val="autoZero"/>
        <c:crossBetween val="between"/>
      </c:valAx>
    </c:plotArea>
    <c:legend>
      <c:legendPos val="r"/>
      <c:overlay val="0"/>
    </c:legend>
    <c:plotVisOnly val="1"/>
    <c:dispBlanksAs val="gap"/>
    <c:showDLblsOverMax val="0"/>
  </c:chart>
  <c:txPr>
    <a:bodyPr/>
    <a:lstStyle/>
    <a:p>
      <a:pPr>
        <a:defRPr sz="700">
          <a:latin typeface="Times New Roman" panose="02020603050405020304" pitchFamily="18" charset="0"/>
          <a:cs typeface="Times New Roman" panose="02020603050405020304" pitchFamily="18" charset="0"/>
        </a:defRPr>
      </a:pPr>
      <a:endParaRPr lang="lt-LT"/>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lt-LT"/>
              <a:t>Mokiniai, augantys pilnose šeimose</a:t>
            </a:r>
          </a:p>
        </c:rich>
      </c:tx>
      <c:overlay val="0"/>
      <c:spPr>
        <a:noFill/>
        <a:ln w="25400">
          <a:noFill/>
        </a:ln>
      </c:spPr>
    </c:title>
    <c:autoTitleDeleted val="0"/>
    <c:plotArea>
      <c:layout/>
      <c:barChart>
        <c:barDir val="col"/>
        <c:grouping val="clustered"/>
        <c:varyColors val="0"/>
        <c:ser>
          <c:idx val="1"/>
          <c:order val="0"/>
          <c:tx>
            <c:v>2015 m.</c:v>
          </c:tx>
          <c:spPr>
            <a:solidFill>
              <a:srgbClr val="92D05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m.'!$E$27,'2013-2015 m.'!$J$27,'2013-2015 m.'!$O$27,'2013-2015 m.'!$T$27,'2013-2015 m.'!$Y$27,'2013-2015 m.'!$AD$27,'2013-2015 m.'!$AG$27,'2013-2015 m.'!$AJ$27,'2013-2015 m.'!$AM$27)</c:f>
              <c:numCache>
                <c:formatCode>0.0</c:formatCode>
                <c:ptCount val="9"/>
                <c:pt idx="0">
                  <c:v>42.370901810294491</c:v>
                </c:pt>
                <c:pt idx="1">
                  <c:v>68.868670886075961</c:v>
                </c:pt>
                <c:pt idx="2">
                  <c:v>37.79069767441861</c:v>
                </c:pt>
                <c:pt idx="3">
                  <c:v>88.734177215189874</c:v>
                </c:pt>
                <c:pt idx="4">
                  <c:v>69.128147313040202</c:v>
                </c:pt>
                <c:pt idx="5">
                  <c:v>50</c:v>
                </c:pt>
                <c:pt idx="6">
                  <c:v>66.920700308959837</c:v>
                </c:pt>
                <c:pt idx="7">
                  <c:v>79.696394686907027</c:v>
                </c:pt>
                <c:pt idx="8">
                  <c:v>66.896551724137922</c:v>
                </c:pt>
              </c:numCache>
            </c:numRef>
          </c:val>
        </c:ser>
        <c:ser>
          <c:idx val="0"/>
          <c:order val="1"/>
          <c:tx>
            <c:v>2014 m.</c:v>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m.'!$F$27,'2013-2015 m.'!$K$27,'2013-2015 m.'!$P$27,'2013-2015 m.'!$U$27,'2013-2015 m.'!$Z$27,'2013-2015 m.'!$AE$27,'2013-2015 m.'!$AH$27,'2013-2015 m.'!$AK$27)</c:f>
              <c:numCache>
                <c:formatCode>0.0</c:formatCode>
                <c:ptCount val="8"/>
                <c:pt idx="0">
                  <c:v>70.657219643293416</c:v>
                </c:pt>
                <c:pt idx="1">
                  <c:v>67.417545052703161</c:v>
                </c:pt>
                <c:pt idx="2">
                  <c:v>35.795454545454547</c:v>
                </c:pt>
                <c:pt idx="3">
                  <c:v>54.636785162287481</c:v>
                </c:pt>
                <c:pt idx="4">
                  <c:v>68.723143032535305</c:v>
                </c:pt>
                <c:pt idx="5">
                  <c:v>47.925311203319502</c:v>
                </c:pt>
                <c:pt idx="6">
                  <c:v>67.54780652418448</c:v>
                </c:pt>
                <c:pt idx="7">
                  <c:v>84.627575277337556</c:v>
                </c:pt>
              </c:numCache>
            </c:numRef>
          </c:val>
        </c:ser>
        <c:dLbls>
          <c:showLegendKey val="0"/>
          <c:showVal val="0"/>
          <c:showCatName val="0"/>
          <c:showSerName val="0"/>
          <c:showPercent val="0"/>
          <c:showBubbleSize val="0"/>
        </c:dLbls>
        <c:gapWidth val="150"/>
        <c:axId val="64184320"/>
        <c:axId val="64185856"/>
      </c:barChart>
      <c:catAx>
        <c:axId val="64184320"/>
        <c:scaling>
          <c:orientation val="minMax"/>
        </c:scaling>
        <c:delete val="0"/>
        <c:axPos val="b"/>
        <c:numFmt formatCode="General" sourceLinked="1"/>
        <c:majorTickMark val="none"/>
        <c:minorTickMark val="none"/>
        <c:tickLblPos val="nextTo"/>
        <c:txPr>
          <a:bodyPr rot="-2640000" vert="horz"/>
          <a:lstStyle/>
          <a:p>
            <a:pPr>
              <a:defRPr/>
            </a:pPr>
            <a:endParaRPr lang="lt-LT"/>
          </a:p>
        </c:txPr>
        <c:crossAx val="64185856"/>
        <c:crosses val="autoZero"/>
        <c:auto val="1"/>
        <c:lblAlgn val="ctr"/>
        <c:lblOffset val="100"/>
        <c:tickLblSkip val="1"/>
        <c:tickMarkSkip val="1"/>
        <c:noMultiLvlLbl val="0"/>
      </c:catAx>
      <c:valAx>
        <c:axId val="64185856"/>
        <c:scaling>
          <c:orientation val="minMax"/>
        </c:scaling>
        <c:delete val="0"/>
        <c:axPos val="l"/>
        <c:majorGridlines/>
        <c:numFmt formatCode="0.0" sourceLinked="1"/>
        <c:majorTickMark val="none"/>
        <c:minorTickMark val="none"/>
        <c:tickLblPos val="nextTo"/>
        <c:txPr>
          <a:bodyPr rot="0" vert="horz"/>
          <a:lstStyle/>
          <a:p>
            <a:pPr>
              <a:defRPr/>
            </a:pPr>
            <a:endParaRPr lang="lt-LT"/>
          </a:p>
        </c:txPr>
        <c:crossAx val="64184320"/>
        <c:crosses val="autoZero"/>
        <c:crossBetween val="between"/>
      </c:valAx>
    </c:plotArea>
    <c:legend>
      <c:legendPos val="r"/>
      <c:overlay val="0"/>
    </c:legend>
    <c:plotVisOnly val="1"/>
    <c:dispBlanksAs val="gap"/>
    <c:showDLblsOverMax val="0"/>
  </c:chart>
  <c:txPr>
    <a:bodyPr/>
    <a:lstStyle/>
    <a:p>
      <a:pPr>
        <a:defRPr sz="700">
          <a:latin typeface="Times New Roman" panose="02020603050405020304" pitchFamily="18" charset="0"/>
          <a:cs typeface="Times New Roman" panose="02020603050405020304" pitchFamily="18" charset="0"/>
        </a:defRPr>
      </a:pPr>
      <a:endParaRPr lang="lt-LT"/>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lt-LT"/>
              <a:t>Mokiniai, kurių tėvai išsituokę</a:t>
            </a:r>
          </a:p>
        </c:rich>
      </c:tx>
      <c:overlay val="0"/>
      <c:spPr>
        <a:noFill/>
        <a:ln w="25400">
          <a:noFill/>
        </a:ln>
      </c:spPr>
    </c:title>
    <c:autoTitleDeleted val="0"/>
    <c:plotArea>
      <c:layout/>
      <c:barChart>
        <c:barDir val="col"/>
        <c:grouping val="clustered"/>
        <c:varyColors val="0"/>
        <c:ser>
          <c:idx val="1"/>
          <c:order val="0"/>
          <c:tx>
            <c:v>2015 m.</c:v>
          </c:tx>
          <c:spPr>
            <a:solidFill>
              <a:srgbClr val="92D05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m.'!$E$28,'2013-2015 m.'!$J$28,'2013-2015 m.'!$O$28,'2013-2015 m.'!$T$28,'2013-2015 m.'!$Y$28,'2013-2015 m.'!$AD$28,'2013-2015 m.'!$AG$28,'2013-2015 m.'!$AJ$28,'2013-2015 m.'!$AM$28)</c:f>
              <c:numCache>
                <c:formatCode>0.0</c:formatCode>
                <c:ptCount val="9"/>
                <c:pt idx="0">
                  <c:v>12.847251188787855</c:v>
                </c:pt>
                <c:pt idx="1">
                  <c:v>17.958860759493671</c:v>
                </c:pt>
                <c:pt idx="2">
                  <c:v>19.767441860465116</c:v>
                </c:pt>
                <c:pt idx="3">
                  <c:v>9.2405063291139236</c:v>
                </c:pt>
                <c:pt idx="4">
                  <c:v>18.865088312664412</c:v>
                </c:pt>
                <c:pt idx="5">
                  <c:v>18.828451882845187</c:v>
                </c:pt>
                <c:pt idx="6">
                  <c:v>16.51905252317199</c:v>
                </c:pt>
                <c:pt idx="7">
                  <c:v>10.815939278937382</c:v>
                </c:pt>
                <c:pt idx="8">
                  <c:v>16.802507836990593</c:v>
                </c:pt>
              </c:numCache>
            </c:numRef>
          </c:val>
        </c:ser>
        <c:ser>
          <c:idx val="0"/>
          <c:order val="1"/>
          <c:tx>
            <c:v>2014 m.</c:v>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m.'!$F$28,'2013-2015 m.'!$K$28,'2013-2015 m.'!$P$28,'2013-2015 m.'!$U$28,'2013-2015 m.'!$Z$28,'2013-2015 m.'!$AE$28,'2013-2015 m.'!$AH$28,'2013-2015 m.'!$AK$28)</c:f>
              <c:numCache>
                <c:formatCode>0.0</c:formatCode>
                <c:ptCount val="8"/>
                <c:pt idx="0">
                  <c:v>19.728805277302712</c:v>
                </c:pt>
                <c:pt idx="1">
                  <c:v>18.981638898333902</c:v>
                </c:pt>
                <c:pt idx="2">
                  <c:v>19.886363636363637</c:v>
                </c:pt>
                <c:pt idx="3">
                  <c:v>9.4281298299845435</c:v>
                </c:pt>
                <c:pt idx="4">
                  <c:v>19.705340699815839</c:v>
                </c:pt>
                <c:pt idx="5">
                  <c:v>15.767634854771785</c:v>
                </c:pt>
                <c:pt idx="6">
                  <c:v>15.719910011248594</c:v>
                </c:pt>
                <c:pt idx="7">
                  <c:v>10.618066561014263</c:v>
                </c:pt>
              </c:numCache>
            </c:numRef>
          </c:val>
        </c:ser>
        <c:ser>
          <c:idx val="3"/>
          <c:order val="2"/>
          <c:tx>
            <c:v>2013 m.</c:v>
          </c:tx>
          <c:spPr>
            <a:solidFill>
              <a:schemeClr val="accent2"/>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m.'!$G$28,'2013-2015 m.'!$L$28,'2013-2015 m.'!$Q$28,'2013-2015 m.'!$V$28,'2013-2015 m.'!$AA$28,'2013-2015 m.'!$AF$28,'2013-2015 m.'!$AI$28,'2013-2015 m.'!$AL$28)</c:f>
              <c:numCache>
                <c:formatCode>0.0</c:formatCode>
                <c:ptCount val="8"/>
                <c:pt idx="0">
                  <c:v>22.742963356346259</c:v>
                </c:pt>
                <c:pt idx="1">
                  <c:v>11.04052573932092</c:v>
                </c:pt>
                <c:pt idx="2">
                  <c:v>26.562500000000004</c:v>
                </c:pt>
                <c:pt idx="3">
                  <c:v>11.06104055714871</c:v>
                </c:pt>
                <c:pt idx="4">
                  <c:v>18.8424860243341</c:v>
                </c:pt>
                <c:pt idx="5">
                  <c:v>17.881944444444443</c:v>
                </c:pt>
                <c:pt idx="6">
                  <c:v>21.683996956632008</c:v>
                </c:pt>
                <c:pt idx="7">
                  <c:v>7.65625</c:v>
                </c:pt>
              </c:numCache>
            </c:numRef>
          </c:val>
        </c:ser>
        <c:dLbls>
          <c:showLegendKey val="0"/>
          <c:showVal val="0"/>
          <c:showCatName val="0"/>
          <c:showSerName val="0"/>
          <c:showPercent val="0"/>
          <c:showBubbleSize val="0"/>
        </c:dLbls>
        <c:gapWidth val="150"/>
        <c:axId val="64205568"/>
        <c:axId val="64207104"/>
      </c:barChart>
      <c:catAx>
        <c:axId val="64205568"/>
        <c:scaling>
          <c:orientation val="minMax"/>
        </c:scaling>
        <c:delete val="0"/>
        <c:axPos val="b"/>
        <c:numFmt formatCode="General" sourceLinked="1"/>
        <c:majorTickMark val="none"/>
        <c:minorTickMark val="none"/>
        <c:tickLblPos val="nextTo"/>
        <c:txPr>
          <a:bodyPr rot="-2640000" vert="horz"/>
          <a:lstStyle/>
          <a:p>
            <a:pPr>
              <a:defRPr/>
            </a:pPr>
            <a:endParaRPr lang="lt-LT"/>
          </a:p>
        </c:txPr>
        <c:crossAx val="64207104"/>
        <c:crosses val="autoZero"/>
        <c:auto val="1"/>
        <c:lblAlgn val="ctr"/>
        <c:lblOffset val="100"/>
        <c:tickLblSkip val="1"/>
        <c:tickMarkSkip val="1"/>
        <c:noMultiLvlLbl val="0"/>
      </c:catAx>
      <c:valAx>
        <c:axId val="64207104"/>
        <c:scaling>
          <c:orientation val="minMax"/>
        </c:scaling>
        <c:delete val="0"/>
        <c:axPos val="l"/>
        <c:majorGridlines/>
        <c:numFmt formatCode="0.0" sourceLinked="1"/>
        <c:majorTickMark val="none"/>
        <c:minorTickMark val="none"/>
        <c:tickLblPos val="nextTo"/>
        <c:txPr>
          <a:bodyPr rot="0" vert="horz"/>
          <a:lstStyle/>
          <a:p>
            <a:pPr>
              <a:defRPr/>
            </a:pPr>
            <a:endParaRPr lang="lt-LT"/>
          </a:p>
        </c:txPr>
        <c:crossAx val="64205568"/>
        <c:crosses val="autoZero"/>
        <c:crossBetween val="between"/>
      </c:valAx>
    </c:plotArea>
    <c:legend>
      <c:legendPos val="r"/>
      <c:overlay val="0"/>
    </c:legend>
    <c:plotVisOnly val="1"/>
    <c:dispBlanksAs val="gap"/>
    <c:showDLblsOverMax val="0"/>
  </c:chart>
  <c:txPr>
    <a:bodyPr/>
    <a:lstStyle/>
    <a:p>
      <a:pPr>
        <a:defRPr sz="700">
          <a:latin typeface="Times New Roman" panose="02020603050405020304" pitchFamily="18" charset="0"/>
          <a:cs typeface="Times New Roman" panose="02020603050405020304" pitchFamily="18" charset="0"/>
        </a:defRPr>
      </a:pPr>
      <a:endParaRPr lang="lt-LT"/>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lt-LT"/>
              <a:t>Mokiniai, kuriuos augina vienišos mamos / tėčiai</a:t>
            </a:r>
          </a:p>
        </c:rich>
      </c:tx>
      <c:overlay val="0"/>
      <c:spPr>
        <a:noFill/>
        <a:ln w="25400">
          <a:noFill/>
        </a:ln>
      </c:spPr>
    </c:title>
    <c:autoTitleDeleted val="0"/>
    <c:plotArea>
      <c:layout/>
      <c:barChart>
        <c:barDir val="col"/>
        <c:grouping val="clustered"/>
        <c:varyColors val="0"/>
        <c:ser>
          <c:idx val="1"/>
          <c:order val="0"/>
          <c:tx>
            <c:v>2015 m.</c:v>
          </c:tx>
          <c:spPr>
            <a:solidFill>
              <a:srgbClr val="92D05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m.'!$E$29,'2013-2015 m.'!$J$29,'2013-2015 m.'!$O$29,'2013-2015 m.'!$T$29,'2013-2015 m.'!$Y$29,'2013-2015 m.'!$AD$29,'2013-2015 m.'!$AG$29,'2013-2015 m.'!$AJ$29,'2013-2015 m.'!$AM$29)</c:f>
              <c:numCache>
                <c:formatCode>0.0</c:formatCode>
                <c:ptCount val="9"/>
                <c:pt idx="0">
                  <c:v>3.5955618586802371</c:v>
                </c:pt>
                <c:pt idx="1">
                  <c:v>7.4367088607594942</c:v>
                </c:pt>
                <c:pt idx="2">
                  <c:v>25.581395348837212</c:v>
                </c:pt>
                <c:pt idx="3">
                  <c:v>3.4599156118143459</c:v>
                </c:pt>
                <c:pt idx="4">
                  <c:v>8.4178880120255535</c:v>
                </c:pt>
                <c:pt idx="5">
                  <c:v>10.251046025104602</c:v>
                </c:pt>
                <c:pt idx="6">
                  <c:v>4.9639546858908341</c:v>
                </c:pt>
                <c:pt idx="7">
                  <c:v>3.4155597722960152</c:v>
                </c:pt>
                <c:pt idx="8">
                  <c:v>6.6457680250783691</c:v>
                </c:pt>
              </c:numCache>
            </c:numRef>
          </c:val>
        </c:ser>
        <c:ser>
          <c:idx val="0"/>
          <c:order val="1"/>
          <c:tx>
            <c:v>2014 m.</c:v>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m.'!$F$29,'2013-2015 m.'!$K$29,'2013-2015 m.'!$P$29,'2013-2015 m.'!$U$29,'2013-2015 m.'!$Z$29,'2013-2015 m.'!$AE$29,'2013-2015 m.'!$AH$29,'2013-2015 m.'!$AK$29)</c:f>
              <c:numCache>
                <c:formatCode>0.0</c:formatCode>
                <c:ptCount val="8"/>
                <c:pt idx="0">
                  <c:v>5.301734668946982</c:v>
                </c:pt>
                <c:pt idx="1">
                  <c:v>6.638898333900034</c:v>
                </c:pt>
                <c:pt idx="2">
                  <c:v>34.659090909090914</c:v>
                </c:pt>
                <c:pt idx="3">
                  <c:v>3.2071097372488406</c:v>
                </c:pt>
                <c:pt idx="4">
                  <c:v>7.9496623695518727</c:v>
                </c:pt>
                <c:pt idx="5">
                  <c:v>6.4315352697095438</c:v>
                </c:pt>
                <c:pt idx="6">
                  <c:v>4.8931383577052872</c:v>
                </c:pt>
                <c:pt idx="7">
                  <c:v>2.5356576862123612</c:v>
                </c:pt>
              </c:numCache>
            </c:numRef>
          </c:val>
        </c:ser>
        <c:ser>
          <c:idx val="3"/>
          <c:order val="2"/>
          <c:tx>
            <c:v>2013 m.</c:v>
          </c:tx>
          <c:spPr>
            <a:solidFill>
              <a:schemeClr val="accent2"/>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m.'!$G$29,'2013-2015 m.'!$L$29,'2013-2015 m.'!$Q$29,'2013-2015 m.'!$V$29,'2013-2015 m.'!$AA$29,'2013-2015 m.'!$AF$29,'2013-2015 m.'!$AI$29,'2013-2015 m.'!$AL$29)</c:f>
              <c:numCache>
                <c:formatCode>0.0</c:formatCode>
                <c:ptCount val="8"/>
                <c:pt idx="0">
                  <c:v>7.6872012745618701</c:v>
                </c:pt>
                <c:pt idx="1">
                  <c:v>3.9539978094194961</c:v>
                </c:pt>
                <c:pt idx="2">
                  <c:v>22.916666666666668</c:v>
                </c:pt>
                <c:pt idx="3">
                  <c:v>3.4412126177795983</c:v>
                </c:pt>
                <c:pt idx="4">
                  <c:v>7.7934889838868795</c:v>
                </c:pt>
                <c:pt idx="5">
                  <c:v>11.284722222222221</c:v>
                </c:pt>
                <c:pt idx="6">
                  <c:v>7.6591427846817153</c:v>
                </c:pt>
                <c:pt idx="7">
                  <c:v>3.59375</c:v>
                </c:pt>
              </c:numCache>
            </c:numRef>
          </c:val>
        </c:ser>
        <c:dLbls>
          <c:showLegendKey val="0"/>
          <c:showVal val="0"/>
          <c:showCatName val="0"/>
          <c:showSerName val="0"/>
          <c:showPercent val="0"/>
          <c:showBubbleSize val="0"/>
        </c:dLbls>
        <c:gapWidth val="150"/>
        <c:axId val="64238720"/>
        <c:axId val="64240256"/>
      </c:barChart>
      <c:catAx>
        <c:axId val="64238720"/>
        <c:scaling>
          <c:orientation val="minMax"/>
        </c:scaling>
        <c:delete val="0"/>
        <c:axPos val="b"/>
        <c:numFmt formatCode="General" sourceLinked="1"/>
        <c:majorTickMark val="none"/>
        <c:minorTickMark val="none"/>
        <c:tickLblPos val="nextTo"/>
        <c:txPr>
          <a:bodyPr rot="-2640000" vert="horz"/>
          <a:lstStyle/>
          <a:p>
            <a:pPr>
              <a:defRPr/>
            </a:pPr>
            <a:endParaRPr lang="lt-LT"/>
          </a:p>
        </c:txPr>
        <c:crossAx val="64240256"/>
        <c:crosses val="autoZero"/>
        <c:auto val="1"/>
        <c:lblAlgn val="ctr"/>
        <c:lblOffset val="100"/>
        <c:tickLblSkip val="1"/>
        <c:tickMarkSkip val="1"/>
        <c:noMultiLvlLbl val="0"/>
      </c:catAx>
      <c:valAx>
        <c:axId val="64240256"/>
        <c:scaling>
          <c:orientation val="minMax"/>
        </c:scaling>
        <c:delete val="0"/>
        <c:axPos val="l"/>
        <c:majorGridlines/>
        <c:numFmt formatCode="0.0" sourceLinked="1"/>
        <c:majorTickMark val="none"/>
        <c:minorTickMark val="none"/>
        <c:tickLblPos val="nextTo"/>
        <c:txPr>
          <a:bodyPr rot="0" vert="horz"/>
          <a:lstStyle/>
          <a:p>
            <a:pPr>
              <a:defRPr/>
            </a:pPr>
            <a:endParaRPr lang="lt-LT"/>
          </a:p>
        </c:txPr>
        <c:crossAx val="64238720"/>
        <c:crosses val="autoZero"/>
        <c:crossBetween val="between"/>
      </c:valAx>
    </c:plotArea>
    <c:legend>
      <c:legendPos val="r"/>
      <c:overlay val="0"/>
    </c:legend>
    <c:plotVisOnly val="1"/>
    <c:dispBlanksAs val="gap"/>
    <c:showDLblsOverMax val="0"/>
  </c:chart>
  <c:txPr>
    <a:bodyPr/>
    <a:lstStyle/>
    <a:p>
      <a:pPr>
        <a:defRPr sz="700">
          <a:latin typeface="Times New Roman" panose="02020603050405020304" pitchFamily="18" charset="0"/>
          <a:cs typeface="Times New Roman" panose="02020603050405020304" pitchFamily="18" charset="0"/>
        </a:defRPr>
      </a:pPr>
      <a:endParaRPr lang="lt-LT"/>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lt-LT"/>
              <a:t>Mokiniai, kurie gyvena neformaliose šeimose ( ne su biologiniu vienu iš tėvų)</a:t>
            </a:r>
          </a:p>
        </c:rich>
      </c:tx>
      <c:overlay val="0"/>
      <c:spPr>
        <a:noFill/>
        <a:ln w="25400">
          <a:noFill/>
        </a:ln>
      </c:spPr>
    </c:title>
    <c:autoTitleDeleted val="0"/>
    <c:plotArea>
      <c:layout/>
      <c:barChart>
        <c:barDir val="col"/>
        <c:grouping val="clustered"/>
        <c:varyColors val="0"/>
        <c:ser>
          <c:idx val="1"/>
          <c:order val="0"/>
          <c:tx>
            <c:v>2015 m.</c:v>
          </c:tx>
          <c:spPr>
            <a:solidFill>
              <a:srgbClr val="92D05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m.'!$E$30,'2013-2015 m.'!$J$30,'2013-2015 m.'!$O$30,'2013-2015 m.'!$T$30,'2013-2015 m.'!$Y$30,'2013-2015 m.'!$AD$30,'2013-2015 m.'!$AG$30,'2013-2015 m.'!$AJ$30,'2013-2015 m.'!$AM$30)</c:f>
              <c:numCache>
                <c:formatCode>0.0</c:formatCode>
                <c:ptCount val="9"/>
                <c:pt idx="0">
                  <c:v>1.4515725369149912</c:v>
                </c:pt>
                <c:pt idx="1">
                  <c:v>4.9050632911392409</c:v>
                </c:pt>
                <c:pt idx="2">
                  <c:v>12.790697674418606</c:v>
                </c:pt>
                <c:pt idx="3">
                  <c:v>3.2489451476793247</c:v>
                </c:pt>
                <c:pt idx="4">
                  <c:v>5.3739195791055989</c:v>
                </c:pt>
                <c:pt idx="5">
                  <c:v>7.531380753138075</c:v>
                </c:pt>
                <c:pt idx="6">
                  <c:v>4.4902162718846554</c:v>
                </c:pt>
                <c:pt idx="7">
                  <c:v>4.9335863377609108</c:v>
                </c:pt>
                <c:pt idx="8">
                  <c:v>4.3887147335423196</c:v>
                </c:pt>
              </c:numCache>
            </c:numRef>
          </c:val>
        </c:ser>
        <c:ser>
          <c:idx val="0"/>
          <c:order val="1"/>
          <c:tx>
            <c:v>2014 m.</c:v>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m.'!$F$30,'2013-2015 m.'!$K$30,'2013-2015 m.'!$P$30,'2013-2015 m.'!$U$30,'2013-2015 m.'!$Z$30,'2013-2015 m.'!$AE$30,'2013-2015 m.'!$AH$30,'2013-2015 m.'!$AK$30)</c:f>
              <c:numCache>
                <c:formatCode>0.0</c:formatCode>
                <c:ptCount val="8"/>
                <c:pt idx="0">
                  <c:v>3.7991693134620079</c:v>
                </c:pt>
                <c:pt idx="1">
                  <c:v>5.338320299217953</c:v>
                </c:pt>
                <c:pt idx="2">
                  <c:v>15.340909090909092</c:v>
                </c:pt>
                <c:pt idx="3">
                  <c:v>3.2843894899536319</c:v>
                </c:pt>
                <c:pt idx="4">
                  <c:v>6.6912216083486804</c:v>
                </c:pt>
                <c:pt idx="5">
                  <c:v>8.5062240663900415</c:v>
                </c:pt>
                <c:pt idx="6">
                  <c:v>9.1113610798650164</c:v>
                </c:pt>
                <c:pt idx="7">
                  <c:v>1.5847860538827256</c:v>
                </c:pt>
              </c:numCache>
            </c:numRef>
          </c:val>
        </c:ser>
        <c:ser>
          <c:idx val="3"/>
          <c:order val="2"/>
          <c:tx>
            <c:v>2013 m.</c:v>
          </c:tx>
          <c:spPr>
            <a:solidFill>
              <a:schemeClr val="accent2"/>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m.'!$G$30,'2013-2015 m.'!$L$30,'2013-2015 m.'!$Q$30,'2013-2015 m.'!$V$30,'2013-2015 m.'!$AA$30,'2013-2015 m.'!$AF$30,'2013-2015 m.'!$AI$30,'2013-2015 m.'!$AL$30)</c:f>
              <c:numCache>
                <c:formatCode>0.0</c:formatCode>
                <c:ptCount val="8"/>
                <c:pt idx="0">
                  <c:v>4.8592671269251193</c:v>
                </c:pt>
                <c:pt idx="1">
                  <c:v>2.6834611171960567</c:v>
                </c:pt>
                <c:pt idx="2">
                  <c:v>16.666666666666668</c:v>
                </c:pt>
                <c:pt idx="3">
                  <c:v>2.7447767308480131</c:v>
                </c:pt>
                <c:pt idx="4">
                  <c:v>8.3196317000986522</c:v>
                </c:pt>
                <c:pt idx="5">
                  <c:v>8.1597222222222214</c:v>
                </c:pt>
                <c:pt idx="6">
                  <c:v>6.9236621861526757</c:v>
                </c:pt>
                <c:pt idx="7">
                  <c:v>1.875</c:v>
                </c:pt>
              </c:numCache>
            </c:numRef>
          </c:val>
        </c:ser>
        <c:dLbls>
          <c:showLegendKey val="0"/>
          <c:showVal val="0"/>
          <c:showCatName val="0"/>
          <c:showSerName val="0"/>
          <c:showPercent val="0"/>
          <c:showBubbleSize val="0"/>
        </c:dLbls>
        <c:gapWidth val="150"/>
        <c:axId val="64267776"/>
        <c:axId val="64269312"/>
      </c:barChart>
      <c:catAx>
        <c:axId val="64267776"/>
        <c:scaling>
          <c:orientation val="minMax"/>
        </c:scaling>
        <c:delete val="0"/>
        <c:axPos val="b"/>
        <c:numFmt formatCode="General" sourceLinked="1"/>
        <c:majorTickMark val="none"/>
        <c:minorTickMark val="none"/>
        <c:tickLblPos val="nextTo"/>
        <c:txPr>
          <a:bodyPr rot="-2640000" vert="horz"/>
          <a:lstStyle/>
          <a:p>
            <a:pPr>
              <a:defRPr/>
            </a:pPr>
            <a:endParaRPr lang="lt-LT"/>
          </a:p>
        </c:txPr>
        <c:crossAx val="64269312"/>
        <c:crosses val="autoZero"/>
        <c:auto val="1"/>
        <c:lblAlgn val="ctr"/>
        <c:lblOffset val="100"/>
        <c:tickLblSkip val="1"/>
        <c:tickMarkSkip val="1"/>
        <c:noMultiLvlLbl val="0"/>
      </c:catAx>
      <c:valAx>
        <c:axId val="64269312"/>
        <c:scaling>
          <c:orientation val="minMax"/>
        </c:scaling>
        <c:delete val="0"/>
        <c:axPos val="l"/>
        <c:majorGridlines/>
        <c:numFmt formatCode="0.0" sourceLinked="1"/>
        <c:majorTickMark val="none"/>
        <c:minorTickMark val="none"/>
        <c:tickLblPos val="nextTo"/>
        <c:txPr>
          <a:bodyPr rot="0" vert="horz"/>
          <a:lstStyle/>
          <a:p>
            <a:pPr>
              <a:defRPr/>
            </a:pPr>
            <a:endParaRPr lang="lt-LT"/>
          </a:p>
        </c:txPr>
        <c:crossAx val="64267776"/>
        <c:crosses val="autoZero"/>
        <c:crossBetween val="between"/>
      </c:valAx>
    </c:plotArea>
    <c:legend>
      <c:legendPos val="r"/>
      <c:overlay val="0"/>
    </c:legend>
    <c:plotVisOnly val="1"/>
    <c:dispBlanksAs val="gap"/>
    <c:showDLblsOverMax val="0"/>
  </c:chart>
  <c:txPr>
    <a:bodyPr/>
    <a:lstStyle/>
    <a:p>
      <a:pPr>
        <a:defRPr sz="700">
          <a:latin typeface="Times New Roman" panose="02020603050405020304" pitchFamily="18" charset="0"/>
          <a:cs typeface="Times New Roman" panose="02020603050405020304" pitchFamily="18" charset="0"/>
        </a:defRPr>
      </a:pPr>
      <a:endParaRPr lang="lt-LT"/>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lt-LT"/>
              <a:t>Mokiniai, kurių vienas iš tėvų/ar abu turi negalią</a:t>
            </a:r>
          </a:p>
        </c:rich>
      </c:tx>
      <c:overlay val="0"/>
    </c:title>
    <c:autoTitleDeleted val="0"/>
    <c:plotArea>
      <c:layout/>
      <c:barChart>
        <c:barDir val="col"/>
        <c:grouping val="clustered"/>
        <c:varyColors val="0"/>
        <c:ser>
          <c:idx val="1"/>
          <c:order val="0"/>
          <c:tx>
            <c:v>2015 m.</c:v>
          </c:tx>
          <c:spPr>
            <a:solidFill>
              <a:srgbClr val="92D05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m.'!$E$32,'2013-2015 m.'!$J$32,'2013-2015 m.'!$O$32,'2013-2015 m.'!$T$32,'2013-2015 m.'!$Y$32,'2013-2015 m.'!$AD$32,'2013-2015 m.'!$AG$32,'2013-2015 m.'!$AJ$32,'2013-2015 m.'!$AM$32)</c:f>
              <c:numCache>
                <c:formatCode>0.0</c:formatCode>
                <c:ptCount val="9"/>
                <c:pt idx="0">
                  <c:v>1.3681488278968883</c:v>
                </c:pt>
                <c:pt idx="1">
                  <c:v>2.1756329113924053</c:v>
                </c:pt>
                <c:pt idx="2">
                  <c:v>1.1627906976744187</c:v>
                </c:pt>
                <c:pt idx="3">
                  <c:v>0.97046413502109696</c:v>
                </c:pt>
                <c:pt idx="4">
                  <c:v>1.3904547162720782</c:v>
                </c:pt>
                <c:pt idx="5">
                  <c:v>12.343096234309623</c:v>
                </c:pt>
                <c:pt idx="6">
                  <c:v>1.9361483007209064</c:v>
                </c:pt>
                <c:pt idx="7">
                  <c:v>1.3282732447817838</c:v>
                </c:pt>
                <c:pt idx="8">
                  <c:v>1.3166144200626957</c:v>
                </c:pt>
              </c:numCache>
            </c:numRef>
          </c:val>
        </c:ser>
        <c:ser>
          <c:idx val="0"/>
          <c:order val="1"/>
          <c:tx>
            <c:v>2014 m.</c:v>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m.'!$F$32,'2013-2015 m.'!$K$32,'2013-2015 m.'!$P$32,'2013-2015 m.'!$U$32,'2013-2015 m.'!$Z$32,'2013-2015 m.'!$AE$32,'2013-2015 m.'!$AH$32,'2013-2015 m.'!$AK$32)</c:f>
              <c:numCache>
                <c:formatCode>0.0</c:formatCode>
                <c:ptCount val="8"/>
                <c:pt idx="0">
                  <c:v>1.8568287319814316</c:v>
                </c:pt>
                <c:pt idx="1">
                  <c:v>2.2781366882012923</c:v>
                </c:pt>
                <c:pt idx="2">
                  <c:v>2.8409090909090913</c:v>
                </c:pt>
                <c:pt idx="3">
                  <c:v>1.0432766615146831</c:v>
                </c:pt>
                <c:pt idx="4">
                  <c:v>1.565377532228361</c:v>
                </c:pt>
                <c:pt idx="5">
                  <c:v>12.863070539419088</c:v>
                </c:pt>
                <c:pt idx="6">
                  <c:v>2.1091113610798651</c:v>
                </c:pt>
                <c:pt idx="7">
                  <c:v>0.6339144215530903</c:v>
                </c:pt>
              </c:numCache>
            </c:numRef>
          </c:val>
        </c:ser>
        <c:ser>
          <c:idx val="3"/>
          <c:order val="2"/>
          <c:tx>
            <c:v>2013 m. </c:v>
          </c:tx>
          <c:spPr>
            <a:solidFill>
              <a:schemeClr val="accent2"/>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m.'!$G$32,'2013-2015 m.'!$L$32,'2013-2015 m.'!$Q$32,'2013-2015 m.'!$V$32,'2013-2015 m.'!$AA$32,'2013-2015 m.'!$AF$32,'2013-2015 m.'!$AI$32,'2013-2015 m.'!$AL$32)</c:f>
              <c:numCache>
                <c:formatCode>0.0</c:formatCode>
                <c:ptCount val="8"/>
                <c:pt idx="0">
                  <c:v>1.6861391396707384</c:v>
                </c:pt>
                <c:pt idx="1">
                  <c:v>1.6867469879518071</c:v>
                </c:pt>
                <c:pt idx="2">
                  <c:v>0.52083333333333337</c:v>
                </c:pt>
                <c:pt idx="3">
                  <c:v>1.3109381401065137</c:v>
                </c:pt>
                <c:pt idx="4">
                  <c:v>2.071686945083854</c:v>
                </c:pt>
                <c:pt idx="5">
                  <c:v>11.631944444444445</c:v>
                </c:pt>
                <c:pt idx="6">
                  <c:v>1.8767435962465129</c:v>
                </c:pt>
                <c:pt idx="7">
                  <c:v>0.78125</c:v>
                </c:pt>
              </c:numCache>
            </c:numRef>
          </c:val>
        </c:ser>
        <c:dLbls>
          <c:showLegendKey val="0"/>
          <c:showVal val="0"/>
          <c:showCatName val="0"/>
          <c:showSerName val="0"/>
          <c:showPercent val="0"/>
          <c:showBubbleSize val="0"/>
        </c:dLbls>
        <c:gapWidth val="150"/>
        <c:axId val="64309120"/>
        <c:axId val="64310656"/>
      </c:barChart>
      <c:catAx>
        <c:axId val="64309120"/>
        <c:scaling>
          <c:orientation val="minMax"/>
        </c:scaling>
        <c:delete val="0"/>
        <c:axPos val="b"/>
        <c:numFmt formatCode="General" sourceLinked="1"/>
        <c:majorTickMark val="none"/>
        <c:minorTickMark val="none"/>
        <c:tickLblPos val="nextTo"/>
        <c:txPr>
          <a:bodyPr rot="-2640000" vert="horz"/>
          <a:lstStyle/>
          <a:p>
            <a:pPr>
              <a:defRPr/>
            </a:pPr>
            <a:endParaRPr lang="lt-LT"/>
          </a:p>
        </c:txPr>
        <c:crossAx val="64310656"/>
        <c:crosses val="autoZero"/>
        <c:auto val="1"/>
        <c:lblAlgn val="ctr"/>
        <c:lblOffset val="100"/>
        <c:tickLblSkip val="1"/>
        <c:tickMarkSkip val="1"/>
        <c:noMultiLvlLbl val="0"/>
      </c:catAx>
      <c:valAx>
        <c:axId val="64310656"/>
        <c:scaling>
          <c:orientation val="minMax"/>
        </c:scaling>
        <c:delete val="0"/>
        <c:axPos val="l"/>
        <c:majorGridlines/>
        <c:numFmt formatCode="0.0" sourceLinked="1"/>
        <c:majorTickMark val="none"/>
        <c:minorTickMark val="none"/>
        <c:tickLblPos val="nextTo"/>
        <c:txPr>
          <a:bodyPr rot="0" vert="horz"/>
          <a:lstStyle/>
          <a:p>
            <a:pPr>
              <a:defRPr/>
            </a:pPr>
            <a:endParaRPr lang="lt-LT"/>
          </a:p>
        </c:txPr>
        <c:crossAx val="64309120"/>
        <c:crosses val="autoZero"/>
        <c:crossBetween val="between"/>
      </c:valAx>
    </c:plotArea>
    <c:legend>
      <c:legendPos val="r"/>
      <c:overlay val="0"/>
    </c:legend>
    <c:plotVisOnly val="1"/>
    <c:dispBlanksAs val="gap"/>
    <c:showDLblsOverMax val="0"/>
  </c:chart>
  <c:txPr>
    <a:bodyPr/>
    <a:lstStyle/>
    <a:p>
      <a:pPr>
        <a:defRPr sz="700">
          <a:latin typeface="Times New Roman" panose="02020603050405020304" pitchFamily="18" charset="0"/>
          <a:cs typeface="Times New Roman" panose="02020603050405020304" pitchFamily="18" charset="0"/>
        </a:defRPr>
      </a:pPr>
      <a:endParaRPr lang="lt-LT"/>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lt-LT"/>
              <a:t>Mokiniai, kurių vienas iš tėvų dirba užsienyje</a:t>
            </a:r>
          </a:p>
        </c:rich>
      </c:tx>
      <c:overlay val="0"/>
      <c:spPr>
        <a:noFill/>
        <a:ln w="25400">
          <a:noFill/>
        </a:ln>
      </c:spPr>
    </c:title>
    <c:autoTitleDeleted val="0"/>
    <c:plotArea>
      <c:layout/>
      <c:barChart>
        <c:barDir val="col"/>
        <c:grouping val="clustered"/>
        <c:varyColors val="0"/>
        <c:ser>
          <c:idx val="1"/>
          <c:order val="0"/>
          <c:tx>
            <c:v>2015 m.</c:v>
          </c:tx>
          <c:spPr>
            <a:solidFill>
              <a:srgbClr val="92D05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m.'!$E$33,'2013-2015 m.'!$J$33,'2013-2015 m.'!$O$33,'2013-2015 m.'!$T$33,'2013-2015 m.'!$Y$33,'2013-2015 m.'!$AD$33,'2013-2015 m.'!$AG$33,'2013-2015 m.'!$AJ$33,'2013-2015 m.'!$AM$33)</c:f>
              <c:numCache>
                <c:formatCode>0.0</c:formatCode>
                <c:ptCount val="9"/>
                <c:pt idx="0">
                  <c:v>3.4787686660548931</c:v>
                </c:pt>
                <c:pt idx="1">
                  <c:v>3.5601265822784813</c:v>
                </c:pt>
                <c:pt idx="2">
                  <c:v>4.0697674418604652</c:v>
                </c:pt>
                <c:pt idx="3">
                  <c:v>2.7426160337552741</c:v>
                </c:pt>
                <c:pt idx="4">
                  <c:v>3.9083051484404359</c:v>
                </c:pt>
                <c:pt idx="5">
                  <c:v>3.9748953974895396</c:v>
                </c:pt>
                <c:pt idx="6">
                  <c:v>2.8424304840370755</c:v>
                </c:pt>
                <c:pt idx="7">
                  <c:v>1.5180265654648957</c:v>
                </c:pt>
                <c:pt idx="8">
                  <c:v>5.2037617554858926</c:v>
                </c:pt>
              </c:numCache>
            </c:numRef>
          </c:val>
        </c:ser>
        <c:ser>
          <c:idx val="0"/>
          <c:order val="1"/>
          <c:tx>
            <c:v>2014 m.</c:v>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m.'!$F$33,'2013-2015 m.'!$K$33,'2013-2015 m.'!$P$33,'2013-2015 m.'!$U$33,'2013-2015 m.'!$Z$33,'2013-2015 m.'!$AE$33,'2013-2015 m.'!$AH$33,'2013-2015 m.'!$AK$33)</c:f>
              <c:numCache>
                <c:formatCode>0.0</c:formatCode>
                <c:ptCount val="8"/>
                <c:pt idx="0">
                  <c:v>5.2406547764475935</c:v>
                </c:pt>
                <c:pt idx="1">
                  <c:v>4.5902754165249915</c:v>
                </c:pt>
                <c:pt idx="2">
                  <c:v>3.9772727272727275</c:v>
                </c:pt>
                <c:pt idx="3">
                  <c:v>3.2843894899536319</c:v>
                </c:pt>
                <c:pt idx="4">
                  <c:v>5.4941682013505222</c:v>
                </c:pt>
                <c:pt idx="5">
                  <c:v>2.9045643153526974</c:v>
                </c:pt>
                <c:pt idx="6">
                  <c:v>3.7401574803149606</c:v>
                </c:pt>
                <c:pt idx="7">
                  <c:v>1.2678288431061806</c:v>
                </c:pt>
              </c:numCache>
            </c:numRef>
          </c:val>
        </c:ser>
        <c:ser>
          <c:idx val="3"/>
          <c:order val="2"/>
          <c:tx>
            <c:v>2013 m. </c:v>
          </c:tx>
          <c:spPr>
            <a:solidFill>
              <a:schemeClr val="accent2"/>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m.'!$G$33,'2013-2015 m.'!$L$33,'2013-2015 m.'!$Q$33,'2013-2015 m.'!$V$33,'2013-2015 m.'!$AA$33,'2013-2015 m.'!$AF$33,'2013-2015 m.'!$AI$33,'2013-2015 m.'!$AL$33)</c:f>
              <c:numCache>
                <c:formatCode>0.0</c:formatCode>
                <c:ptCount val="8"/>
                <c:pt idx="0">
                  <c:v>5.7089750398300589</c:v>
                </c:pt>
                <c:pt idx="1">
                  <c:v>2.6506024096385543</c:v>
                </c:pt>
                <c:pt idx="2">
                  <c:v>3.6458333333333335</c:v>
                </c:pt>
                <c:pt idx="3">
                  <c:v>2.8267103646046703</c:v>
                </c:pt>
                <c:pt idx="4">
                  <c:v>4.8503781650772773</c:v>
                </c:pt>
                <c:pt idx="5">
                  <c:v>2.7777777777777777</c:v>
                </c:pt>
                <c:pt idx="6">
                  <c:v>4.4382449911235105</c:v>
                </c:pt>
                <c:pt idx="7">
                  <c:v>1.25</c:v>
                </c:pt>
              </c:numCache>
            </c:numRef>
          </c:val>
        </c:ser>
        <c:dLbls>
          <c:showLegendKey val="0"/>
          <c:showVal val="0"/>
          <c:showCatName val="0"/>
          <c:showSerName val="0"/>
          <c:showPercent val="0"/>
          <c:showBubbleSize val="0"/>
        </c:dLbls>
        <c:gapWidth val="150"/>
        <c:axId val="64362752"/>
        <c:axId val="64364544"/>
      </c:barChart>
      <c:catAx>
        <c:axId val="64362752"/>
        <c:scaling>
          <c:orientation val="minMax"/>
        </c:scaling>
        <c:delete val="0"/>
        <c:axPos val="b"/>
        <c:numFmt formatCode="General" sourceLinked="1"/>
        <c:majorTickMark val="none"/>
        <c:minorTickMark val="none"/>
        <c:tickLblPos val="nextTo"/>
        <c:txPr>
          <a:bodyPr rot="-2640000" vert="horz"/>
          <a:lstStyle/>
          <a:p>
            <a:pPr>
              <a:defRPr/>
            </a:pPr>
            <a:endParaRPr lang="lt-LT"/>
          </a:p>
        </c:txPr>
        <c:crossAx val="64364544"/>
        <c:crosses val="autoZero"/>
        <c:auto val="1"/>
        <c:lblAlgn val="ctr"/>
        <c:lblOffset val="100"/>
        <c:tickLblSkip val="1"/>
        <c:tickMarkSkip val="1"/>
        <c:noMultiLvlLbl val="0"/>
      </c:catAx>
      <c:valAx>
        <c:axId val="64364544"/>
        <c:scaling>
          <c:orientation val="minMax"/>
        </c:scaling>
        <c:delete val="0"/>
        <c:axPos val="l"/>
        <c:majorGridlines/>
        <c:numFmt formatCode="0.0" sourceLinked="1"/>
        <c:majorTickMark val="none"/>
        <c:minorTickMark val="none"/>
        <c:tickLblPos val="nextTo"/>
        <c:txPr>
          <a:bodyPr rot="0" vert="horz"/>
          <a:lstStyle/>
          <a:p>
            <a:pPr>
              <a:defRPr/>
            </a:pPr>
            <a:endParaRPr lang="lt-LT"/>
          </a:p>
        </c:txPr>
        <c:crossAx val="64362752"/>
        <c:crosses val="autoZero"/>
        <c:crossBetween val="between"/>
      </c:valAx>
    </c:plotArea>
    <c:legend>
      <c:legendPos val="r"/>
      <c:overlay val="0"/>
    </c:legend>
    <c:plotVisOnly val="1"/>
    <c:dispBlanksAs val="gap"/>
    <c:showDLblsOverMax val="0"/>
  </c:chart>
  <c:txPr>
    <a:bodyPr/>
    <a:lstStyle/>
    <a:p>
      <a:pPr>
        <a:defRPr sz="700">
          <a:latin typeface="Times New Roman" panose="02020603050405020304" pitchFamily="18" charset="0"/>
          <a:cs typeface="Times New Roman" panose="02020603050405020304" pitchFamily="18" charset="0"/>
        </a:defRPr>
      </a:pPr>
      <a:endParaRPr lang="lt-LT"/>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lt-LT"/>
              <a:t>Mokiniai, kurių tėvai abu dirba užsienyje</a:t>
            </a:r>
          </a:p>
        </c:rich>
      </c:tx>
      <c:overlay val="0"/>
      <c:spPr>
        <a:noFill/>
        <a:ln w="25400">
          <a:noFill/>
        </a:ln>
      </c:spPr>
    </c:title>
    <c:autoTitleDeleted val="0"/>
    <c:plotArea>
      <c:layout/>
      <c:barChart>
        <c:barDir val="col"/>
        <c:grouping val="clustered"/>
        <c:varyColors val="0"/>
        <c:ser>
          <c:idx val="1"/>
          <c:order val="0"/>
          <c:tx>
            <c:v>2015 m.</c:v>
          </c:tx>
          <c:spPr>
            <a:solidFill>
              <a:srgbClr val="92D05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m.'!$E$34,'2013-2015 m.'!$J$34,'2013-2015 m.'!$O$34,'2013-2015 m.'!$T$34,'2013-2015 m.'!$Y$34,'2013-2015 m.'!$AD$34,'2013-2015 m.'!$AG$34,'2013-2015 m.'!$AJ$34,'2013-2015 m.'!$AM$34)</c:f>
              <c:numCache>
                <c:formatCode>0.0</c:formatCode>
                <c:ptCount val="9"/>
                <c:pt idx="0">
                  <c:v>0.23358638525068826</c:v>
                </c:pt>
                <c:pt idx="1">
                  <c:v>0.43512658227848106</c:v>
                </c:pt>
                <c:pt idx="2">
                  <c:v>0</c:v>
                </c:pt>
                <c:pt idx="3">
                  <c:v>0</c:v>
                </c:pt>
                <c:pt idx="4">
                  <c:v>0.39458850056369782</c:v>
                </c:pt>
                <c:pt idx="5">
                  <c:v>0.20920502092050208</c:v>
                </c:pt>
                <c:pt idx="6">
                  <c:v>0.41194644696189497</c:v>
                </c:pt>
                <c:pt idx="7">
                  <c:v>0</c:v>
                </c:pt>
                <c:pt idx="8">
                  <c:v>0</c:v>
                </c:pt>
              </c:numCache>
            </c:numRef>
          </c:val>
        </c:ser>
        <c:ser>
          <c:idx val="0"/>
          <c:order val="1"/>
          <c:tx>
            <c:v>2014 m.</c:v>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m.'!$F$34,'2013-2015 m.'!$K$34,'2013-2015 m.'!$P$34,'2013-2015 m.'!$U$34,'2013-2015 m.'!$Z$34,'2013-2015 m.'!$AE$34,'2013-2015 m.'!$AH$34,'2013-2015 m.'!$AK$34)</c:f>
              <c:numCache>
                <c:formatCode>0.0</c:formatCode>
                <c:ptCount val="8"/>
                <c:pt idx="0">
                  <c:v>0.30539946249694599</c:v>
                </c:pt>
                <c:pt idx="1">
                  <c:v>0.46752805168310102</c:v>
                </c:pt>
                <c:pt idx="2">
                  <c:v>0</c:v>
                </c:pt>
                <c:pt idx="3">
                  <c:v>0.15455950540958269</c:v>
                </c:pt>
                <c:pt idx="4">
                  <c:v>0.49109883364027013</c:v>
                </c:pt>
                <c:pt idx="5">
                  <c:v>0</c:v>
                </c:pt>
                <c:pt idx="6">
                  <c:v>0.2249718785151856</c:v>
                </c:pt>
                <c:pt idx="7">
                  <c:v>0</c:v>
                </c:pt>
              </c:numCache>
            </c:numRef>
          </c:val>
        </c:ser>
        <c:ser>
          <c:idx val="3"/>
          <c:order val="2"/>
          <c:tx>
            <c:v>2013 m. </c:v>
          </c:tx>
          <c:spPr>
            <a:solidFill>
              <a:schemeClr val="accent2"/>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'2013-2015 m.'!$C$21:$K$21</c:f>
              <c:strCache>
                <c:ptCount val="9"/>
                <c:pt idx="0">
                  <c:v>Gimnazijos</c:v>
                </c:pt>
                <c:pt idx="1">
                  <c:v>Vidurinės - daugiafunkciniai centrai</c:v>
                </c:pt>
                <c:pt idx="2">
                  <c:v>Jaunimo</c:v>
                </c:pt>
                <c:pt idx="3">
                  <c:v>Pradinės</c:v>
                </c:pt>
                <c:pt idx="4">
                  <c:v>Pagrindinės</c:v>
                </c:pt>
                <c:pt idx="5">
                  <c:v>Spec. mokyklos</c:v>
                </c:pt>
                <c:pt idx="6">
                  <c:v>Progimnazijos</c:v>
                </c:pt>
                <c:pt idx="7">
                  <c:v>Mokyklos - darželiai</c:v>
                </c:pt>
                <c:pt idx="8">
                  <c:v>Licėjai</c:v>
                </c:pt>
              </c:strCache>
            </c:strRef>
          </c:cat>
          <c:val>
            <c:numRef>
              <c:f>('2013-2015 m.'!$G$34,'2013-2015 m.'!$L$34,'2013-2015 m.'!$Q$34,'2013-2015 m.'!$V$34,'2013-2015 m.'!$AA$34,'2013-2015 m.'!$AF$34,'2013-2015 m.'!$AI$34,'2013-2015 m.'!$AL$34)</c:f>
              <c:numCache>
                <c:formatCode>0.0</c:formatCode>
                <c:ptCount val="8"/>
                <c:pt idx="0">
                  <c:v>0.61072756240042492</c:v>
                </c:pt>
                <c:pt idx="1">
                  <c:v>0.40525739320920046</c:v>
                </c:pt>
                <c:pt idx="2">
                  <c:v>1.5625</c:v>
                </c:pt>
                <c:pt idx="3">
                  <c:v>0.40966816878328549</c:v>
                </c:pt>
                <c:pt idx="4">
                  <c:v>0.87142387372574814</c:v>
                </c:pt>
                <c:pt idx="5">
                  <c:v>0.52083333333333326</c:v>
                </c:pt>
                <c:pt idx="6">
                  <c:v>0.81156479837687046</c:v>
                </c:pt>
                <c:pt idx="7">
                  <c:v>0.15625</c:v>
                </c:pt>
              </c:numCache>
            </c:numRef>
          </c:val>
        </c:ser>
        <c:dLbls>
          <c:showLegendKey val="0"/>
          <c:showVal val="0"/>
          <c:showCatName val="0"/>
          <c:showSerName val="0"/>
          <c:showPercent val="0"/>
          <c:showBubbleSize val="0"/>
        </c:dLbls>
        <c:gapWidth val="150"/>
        <c:axId val="64383616"/>
        <c:axId val="64393600"/>
      </c:barChart>
      <c:catAx>
        <c:axId val="64383616"/>
        <c:scaling>
          <c:orientation val="minMax"/>
        </c:scaling>
        <c:delete val="0"/>
        <c:axPos val="b"/>
        <c:numFmt formatCode="General" sourceLinked="1"/>
        <c:majorTickMark val="none"/>
        <c:minorTickMark val="none"/>
        <c:tickLblPos val="nextTo"/>
        <c:txPr>
          <a:bodyPr rot="-2640000" vert="horz"/>
          <a:lstStyle/>
          <a:p>
            <a:pPr>
              <a:defRPr/>
            </a:pPr>
            <a:endParaRPr lang="lt-LT"/>
          </a:p>
        </c:txPr>
        <c:crossAx val="64393600"/>
        <c:crosses val="autoZero"/>
        <c:auto val="1"/>
        <c:lblAlgn val="ctr"/>
        <c:lblOffset val="100"/>
        <c:tickLblSkip val="1"/>
        <c:tickMarkSkip val="1"/>
        <c:noMultiLvlLbl val="0"/>
      </c:catAx>
      <c:valAx>
        <c:axId val="64393600"/>
        <c:scaling>
          <c:orientation val="minMax"/>
        </c:scaling>
        <c:delete val="0"/>
        <c:axPos val="l"/>
        <c:majorGridlines/>
        <c:numFmt formatCode="0.0" sourceLinked="1"/>
        <c:majorTickMark val="none"/>
        <c:minorTickMark val="none"/>
        <c:tickLblPos val="nextTo"/>
        <c:txPr>
          <a:bodyPr rot="0" vert="horz"/>
          <a:lstStyle/>
          <a:p>
            <a:pPr>
              <a:defRPr/>
            </a:pPr>
            <a:endParaRPr lang="lt-LT"/>
          </a:p>
        </c:txPr>
        <c:crossAx val="64383616"/>
        <c:crosses val="autoZero"/>
        <c:crossBetween val="between"/>
      </c:valAx>
    </c:plotArea>
    <c:legend>
      <c:legendPos val="r"/>
      <c:overlay val="0"/>
    </c:legend>
    <c:plotVisOnly val="1"/>
    <c:dispBlanksAs val="gap"/>
    <c:showDLblsOverMax val="0"/>
  </c:chart>
  <c:txPr>
    <a:bodyPr/>
    <a:lstStyle/>
    <a:p>
      <a:pPr>
        <a:defRPr sz="700">
          <a:latin typeface="Times New Roman" panose="02020603050405020304" pitchFamily="18" charset="0"/>
          <a:cs typeface="Times New Roman" panose="02020603050405020304" pitchFamily="18" charset="0"/>
        </a:defRPr>
      </a:pPr>
      <a:endParaRPr lang="lt-LT"/>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84869-215E-4E7E-A3F9-5D531CB6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8249</Words>
  <Characters>4702</Characters>
  <Application>Microsoft Office Word</Application>
  <DocSecurity>0</DocSecurity>
  <Lines>39</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Adminas</dc:creator>
  <cp:lastModifiedBy>Jurgita Česnulevičienė</cp:lastModifiedBy>
  <cp:revision>3</cp:revision>
  <cp:lastPrinted>2016-01-18T12:59:00Z</cp:lastPrinted>
  <dcterms:created xsi:type="dcterms:W3CDTF">2016-01-18T13:10:00Z</dcterms:created>
  <dcterms:modified xsi:type="dcterms:W3CDTF">2016-03-23T07:00:00Z</dcterms:modified>
</cp:coreProperties>
</file>